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Fracturable Wafer Architecture</w:t>
      </w:r>
    </w:p>
    <w:p>
      <w:pPr>
        <w:spacing w:after="120"/>
        <w:jc w:val="center"/>
      </w:pPr>
      <w:r>
        <w:rPr>
          <w:color w:val="1E293B"/>
          <w:sz w:val="28"/>
          <w:szCs w:val="28"/>
        </w:rPr>
        <w:t xml:space="preserve">Multi-Agent Silicon with Configurable Post-Manufacturing Dicing</w:t>
      </w:r>
    </w:p>
    <w:p>
      <w:pPr>
        <w:spacing w:after="120"/>
        <w:jc w:val="center"/>
      </w:pPr>
      <w:r>
        <w:rPr>
          <w:i/>
          <w:iCs/>
          <w:color w:val="64748B"/>
          <w:sz w:val="22"/>
          <w:szCs w:val="22"/>
        </w:rPr>
        <w:t xml:space="preserve">"CrewAI at the Metal" - Conceptual Architecture Analysis</w:t>
      </w:r>
    </w:p>
    <w:p>
      <w:pPr>
        <w:spacing w:after="400"/>
        <w:jc w:val="center"/>
      </w:pPr>
      <w:r>
        <w:rPr>
          <w:color w:val="64748B"/>
          <w:sz w:val="20"/>
          <w:szCs w:val="20"/>
        </w:rPr>
        <w:t xml:space="preserve">Research Document | January 2025</w:t>
      </w:r>
    </w:p>
    <w:p>
      <w:pPr>
        <w:pStyle w:val="Heading1"/>
      </w:pPr>
      <w:r>
        <w:t xml:space="preserve">Executive Summary</w:t>
      </w:r>
    </w:p>
    <w:p>
      <w:pPr>
        <w:spacing w:after="120"/>
      </w:pPr>
      <w:r>
        <w:rPr>
          <w:color w:val="1E293B"/>
        </w:rPr>
        <w:t xml:space="preserve">This document analyzes a novel concept: designing semiconductor wafers with multiple mask-locked neural network models arranged in configurable tiles that can be either kept together as a unified multi-model accelerator or separated into individual chips through selective dicing. The approach would enable a single wafer design to serve multiple product configurations: a unified "swarm" chip with multiple specialized models (vision, reasoning, language), separate individual chips for each model, or defect-tolerant configurations that disable problematic tiles.</w:t>
      </w:r>
    </w:p>
    <w:p>
      <w:pPr>
        <w:spacing w:after="120"/>
      </w:pPr>
      <w:r>
        <w:rPr>
          <w:color w:val="1E293B"/>
        </w:rPr>
        <w:t xml:space="preserve">This concept draws parallels to software multi-agent frameworks like CrewAI and AutoGen, but implements the orchestration at the silicon level. A single wafer could contain SmolVLM for vision, multiple FunctionGemma instances for tool calling, and specialized reasoning models—all configurable through post-manufacturing dicing decisions.</w:t>
      </w:r>
    </w:p>
    <w:p>
      <w:pPr>
        <w:spacing w:after="200"/>
      </w:pPr>
      <w:r>
        <w:rPr>
          <w:b/>
          <w:bCs/>
          <w:color w:val="020617"/>
        </w:rPr>
        <w:t xml:space="preserve">Assessment: </w:t>
      </w:r>
      <w:r>
        <w:rPr>
          <w:color w:val="1E293B"/>
        </w:rPr>
        <w:t xml:space="preserve">The concept is technically feasible but requires significant architectural innovation. No existing product implements this exact approach. Key enabling technologies (UCIe chiplet interconnects, wafer-scale integration, defect-tolerant design) are verified, but their combination into a "fracturable" architecture is novel and requires further research. This document clearly distinguishes between verified technologies and speculative extensions.</w:t>
      </w:r>
    </w:p>
    <w:p>
      <w:pPr>
        <w:pStyle w:val="Heading1"/>
      </w:pPr>
      <w:r>
        <w:t xml:space="preserve">1. Concept Definition</w:t>
      </w:r>
    </w:p>
    <w:p>
      <w:pPr>
        <w:pStyle w:val="Heading2"/>
      </w:pPr>
      <w:r>
        <w:t xml:space="preserve">1.1 Core Idea</w:t>
      </w:r>
    </w:p>
    <w:p>
      <w:pPr>
        <w:spacing w:after="120"/>
      </w:pPr>
      <w:r>
        <w:rPr>
          <w:color w:val="1E293B"/>
        </w:rPr>
        <w:t xml:space="preserve">The "Fracturable Wafer" concept proposes designing a single photomask set that produces wafers containing multiple neural network inference engines, each mask-locked to a specific model. The key innovation is that these engines can be configured post-manufacturing through selective dicing:</w:t>
      </w:r>
    </w:p>
    <w:p>
      <w:pPr>
        <w:pStyle w:val="ListParagraph"/>
        <w:numPr>
          <w:ilvl w:val="0"/>
          <w:numId w:val="2"/>
        </w:numPr>
        <w:spacing w:after="60"/>
      </w:pPr>
      <w:r>
        <w:rPr>
          <w:b/>
          <w:bCs/>
          <w:color w:val="020617"/>
        </w:rPr>
        <w:t xml:space="preserve">Unified Configuration: </w:t>
      </w:r>
      <w:r>
        <w:rPr>
          <w:color w:val="1E293B"/>
        </w:rPr>
        <w:t xml:space="preserve">Keep the wafer section intact as a single multi-model accelerator with multiple specialized models communicating on-chip</w:t>
      </w:r>
    </w:p>
    <w:p>
      <w:pPr>
        <w:pStyle w:val="ListParagraph"/>
        <w:numPr>
          <w:ilvl w:val="0"/>
          <w:numId w:val="2"/>
        </w:numPr>
        <w:spacing w:after="60"/>
      </w:pPr>
      <w:r>
        <w:rPr>
          <w:b/>
          <w:bCs/>
          <w:color w:val="020617"/>
        </w:rPr>
        <w:t xml:space="preserve">Distributed Configuration: </w:t>
      </w:r>
      <w:r>
        <w:rPr>
          <w:color w:val="1E293B"/>
        </w:rPr>
        <w:t xml:space="preserve">Dice the wafer into separate chips, each containing one model, for deployment across multiple devices</w:t>
      </w:r>
    </w:p>
    <w:p>
      <w:pPr>
        <w:pStyle w:val="ListParagraph"/>
        <w:numPr>
          <w:ilvl w:val="0"/>
          <w:numId w:val="2"/>
        </w:numPr>
        <w:spacing w:after="60"/>
      </w:pPr>
      <w:r>
        <w:rPr>
          <w:b/>
          <w:bCs/>
          <w:color w:val="020617"/>
        </w:rPr>
        <w:t xml:space="preserve">Swarm Configuration: </w:t>
      </w:r>
      <w:r>
        <w:rPr>
          <w:color w:val="1E293B"/>
        </w:rPr>
        <w:t xml:space="preserve">Dice into multiple instances of the same model plus an orchestrator for parallel processing</w:t>
      </w:r>
    </w:p>
    <w:p>
      <w:pPr>
        <w:pStyle w:val="ListParagraph"/>
        <w:numPr>
          <w:ilvl w:val="0"/>
          <w:numId w:val="2"/>
        </w:numPr>
        <w:spacing w:after="200"/>
      </w:pPr>
      <w:r>
        <w:rPr>
          <w:b/>
          <w:bCs/>
          <w:color w:val="020617"/>
        </w:rPr>
        <w:t xml:space="preserve">Defect-Tolerant Configuration: </w:t>
      </w:r>
      <w:r>
        <w:rPr>
          <w:color w:val="1E293B"/>
        </w:rPr>
        <w:t xml:space="preserve">Disable tiles that fail wafer-level testing, dicing around defects to salvage functional models</w:t>
      </w:r>
    </w:p>
    <w:p>
      <w:pPr>
        <w:pStyle w:val="Heading2"/>
      </w:pPr>
      <w:r>
        <w:t xml:space="preserve">1.2 Example Multi-Agent Tile Layout</w:t>
      </w:r>
    </w:p>
    <w:p>
      <w:pPr>
        <w:spacing w:after="120"/>
      </w:pPr>
      <w:r>
        <w:rPr>
          <w:color w:val="1E293B"/>
        </w:rPr>
        <w:t xml:space="preserve">A conceptual wafer tile arrangement for multi-agent AI: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2200"/>
        <w:gridCol w:w="2200"/>
        <w:gridCol w:w="2760"/>
      </w:tblGrid>
      <w:tr>
        <w:trPr>
          <w:tblHeader/>
        </w:trPr>
        <w:tc>
          <w:tcPr>
            <w:tcW w:type="dxa" w:w="22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Tile</w:t>
            </w:r>
          </w:p>
        </w:tc>
        <w:tc>
          <w:tcPr>
            <w:tcW w:type="dxa" w:w="22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Model</w:t>
            </w:r>
          </w:p>
        </w:tc>
        <w:tc>
          <w:tcPr>
            <w:tcW w:type="dxa" w:w="22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Parameters</w:t>
            </w:r>
          </w:p>
        </w:tc>
        <w:tc>
          <w:tcPr>
            <w:tcW w:type="dxa" w:w="276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Function</w:t>
            </w:r>
          </w:p>
        </w:tc>
      </w:tr>
      <w:tr>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Tile A</w:t>
            </w:r>
          </w:p>
        </w:tc>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SmolVLM</w:t>
            </w:r>
          </w:p>
        </w:tc>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2B (INT4)</w:t>
            </w:r>
          </w:p>
        </w:tc>
        <w:tc>
          <w:tcPr>
            <w:tcW w:type="dxa" w:w="27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Vision understanding, VQA</w:t>
            </w:r>
          </w:p>
        </w:tc>
      </w:tr>
      <w:tr>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Tile B</w:t>
            </w:r>
          </w:p>
        </w:tc>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FunctionGemma x3</w:t>
            </w:r>
          </w:p>
        </w:tc>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270M x 3 (INT4)</w:t>
            </w:r>
          </w:p>
        </w:tc>
        <w:tc>
          <w:tcPr>
            <w:tcW w:type="dxa" w:w="27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Tool calling, API invocation</w:t>
            </w:r>
          </w:p>
        </w:tc>
      </w:tr>
      <w:tr>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Tile C</w:t>
            </w:r>
          </w:p>
        </w:tc>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Reasoner Model</w:t>
            </w:r>
          </w:p>
        </w:tc>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1B (INT4)</w:t>
            </w:r>
          </w:p>
        </w:tc>
        <w:tc>
          <w:tcPr>
            <w:tcW w:type="dxa" w:w="27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Chain-of-thought reasoning</w:t>
            </w:r>
          </w:p>
        </w:tc>
      </w:tr>
      <w:tr>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Tile D</w:t>
            </w:r>
          </w:p>
        </w:tc>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Orchestrator</w:t>
            </w:r>
          </w:p>
        </w:tc>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500M (INT4)</w:t>
            </w:r>
          </w:p>
        </w:tc>
        <w:tc>
          <w:tcPr>
            <w:tcW w:type="dxa" w:w="27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Agent routing, task dispatch</w:t>
            </w:r>
          </w:p>
        </w:tc>
      </w:tr>
      <w:tr>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Tile E</w:t>
            </w:r>
          </w:p>
        </w:tc>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Conversationalist</w:t>
            </w:r>
          </w:p>
        </w:tc>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1B (INT4)</w:t>
            </w:r>
          </w:p>
        </w:tc>
        <w:tc>
          <w:tcPr>
            <w:tcW w:type="dxa" w:w="27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Natural language output</w:t>
            </w:r>
          </w:p>
        </w:tc>
      </w:tr>
    </w:tbl>
    <w:p>
      <w:pPr>
        <w:spacing w:after="200" w:before="120"/>
        <w:jc w:val="center"/>
      </w:pPr>
      <w:r>
        <w:rPr>
          <w:i/>
          <w:iCs/>
          <w:color w:val="64748B"/>
          <w:sz w:val="18"/>
          <w:szCs w:val="18"/>
        </w:rPr>
        <w:t xml:space="preserve">Table 1: Example tile layout for multi-agent silicon configuration</w:t>
      </w:r>
    </w:p>
    <w:p>
      <w:pPr>
        <w:pStyle w:val="Heading1"/>
      </w:pPr>
      <w:r>
        <w:t xml:space="preserve">2. Verified Enabling Technologies</w:t>
      </w:r>
    </w:p>
    <w:p>
      <w:pPr>
        <w:spacing w:after="120"/>
      </w:pPr>
      <w:r>
        <w:rPr>
          <w:color w:val="1E293B"/>
        </w:rPr>
        <w:t xml:space="preserve">The fracturable wafer concept builds on several verified technologies. The following sections document what exists today versus what would require innovation.</w:t>
      </w:r>
    </w:p>
    <w:p>
      <w:pPr>
        <w:pStyle w:val="Heading2"/>
      </w:pPr>
      <w:r>
        <w:t xml:space="preserve">2.1 UCIe Chiplet Interconnect (VERIFIED)</w:t>
      </w:r>
    </w:p>
    <w:p>
      <w:pPr>
        <w:spacing w:after="120"/>
      </w:pPr>
      <w:r>
        <w:rPr>
          <w:color w:val="1E293B"/>
        </w:rPr>
        <w:t xml:space="preserve">The Universal Chiplet Interconnect Express (UCIe) standard provides die-to-die connectivity that could enable communication between separated tiles: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3200"/>
        <w:gridCol w:w="3160"/>
      </w:tblGrid>
      <w:tr>
        <w:trPr>
          <w:tblHeader/>
        </w:trPr>
        <w:tc>
          <w:tcPr>
            <w:tcW w:type="dxa" w:w="30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Specification</w:t>
            </w:r>
          </w:p>
        </w:tc>
        <w:tc>
          <w:tcPr>
            <w:tcW w:type="dxa" w:w="32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UCIe 2.0</w:t>
            </w:r>
          </w:p>
        </w:tc>
        <w:tc>
          <w:tcPr>
            <w:tcW w:type="dxa" w:w="316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UCIe 3.0</w:t>
            </w:r>
          </w:p>
        </w:tc>
      </w:tr>
      <w:tr>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Data Rate</w:t>
            </w:r>
          </w:p>
        </w:tc>
        <w:tc>
          <w:tcPr>
            <w:tcW w:type="dxa" w:w="32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Up to 32 GT/s</w:t>
            </w:r>
          </w:p>
        </w:tc>
        <w:tc>
          <w:tcPr>
            <w:tcW w:type="dxa" w:w="31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48 GT/s and 64 GT/s</w:t>
            </w:r>
          </w:p>
        </w:tc>
      </w:tr>
      <w:tr>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Bandwidth</w:t>
            </w:r>
          </w:p>
        </w:tc>
        <w:tc>
          <w:tcPr>
            <w:tcW w:type="dxa" w:w="32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Up to 2 Tbps</w:t>
            </w:r>
          </w:p>
        </w:tc>
        <w:tc>
          <w:tcPr>
            <w:tcW w:type="dxa" w:w="31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Up to 4 Tbps (64 lanes)</w:t>
            </w:r>
          </w:p>
        </w:tc>
      </w:tr>
      <w:tr>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Source</w:t>
            </w:r>
          </w:p>
        </w:tc>
        <w:tc>
          <w:tcPr>
            <w:tcW w:type="dxa" w:w="32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Wikipedia; UCIe Consortium</w:t>
            </w:r>
          </w:p>
        </w:tc>
        <w:tc>
          <w:tcPr>
            <w:tcW w:type="dxa" w:w="31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UCIe 3.0 Specification (2025)</w:t>
            </w:r>
          </w:p>
        </w:tc>
      </w:tr>
    </w:tbl>
    <w:p>
      <w:pPr>
        <w:spacing w:after="200" w:before="120"/>
        <w:jc w:val="center"/>
      </w:pPr>
      <w:r>
        <w:rPr>
          <w:i/>
          <w:iCs/>
          <w:color w:val="64748B"/>
          <w:sz w:val="18"/>
          <w:szCs w:val="18"/>
        </w:rPr>
        <w:t xml:space="preserve">Table 2: UCIe interconnect specifications (verified from uciexpress.org)</w:t>
      </w:r>
    </w:p>
    <w:p>
      <w:pPr>
        <w:spacing w:after="200"/>
      </w:pPr>
      <w:r>
        <w:rPr>
          <w:b/>
          <w:bCs/>
          <w:color w:val="020617"/>
        </w:rPr>
        <w:t xml:space="preserve">Relevance: </w:t>
      </w:r>
      <w:r>
        <w:rPr>
          <w:color w:val="1E293B"/>
        </w:rPr>
        <w:t xml:space="preserve">UCIe could enable tiles diced apart to communicate when packaged together on an interposer. However, UCIe requires specific packaging (2.5D or 3D) that adds cost. Standard dicing streets do not include UCIe pads—this would require architectural innovation.</w:t>
      </w:r>
    </w:p>
    <w:p>
      <w:pPr>
        <w:pStyle w:val="Heading2"/>
      </w:pPr>
      <w:r>
        <w:t xml:space="preserve">2.2 Wafer-Scale Integration (VERIFIED)</w:t>
      </w:r>
    </w:p>
    <w:p>
      <w:pPr>
        <w:spacing w:after="120"/>
      </w:pPr>
      <w:r>
        <w:rPr>
          <w:color w:val="1E293B"/>
        </w:rPr>
        <w:t xml:space="preserve">Cerebras Systems demonstrates that keeping an entire wafer functional is possible: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500"/>
        <w:gridCol w:w="5860"/>
      </w:tblGrid>
      <w:tr>
        <w:trPr>
          <w:tblHeader/>
        </w:trPr>
        <w:tc>
          <w:tcPr>
            <w:tcW w:type="dxa" w:w="35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Attribute</w:t>
            </w:r>
          </w:p>
        </w:tc>
        <w:tc>
          <w:tcPr>
            <w:tcW w:type="dxa" w:w="586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Cerebras WSE-3 (2024)</w:t>
            </w:r>
          </w:p>
        </w:tc>
      </w:tr>
      <w:tr>
        <w:tc>
          <w:tcPr>
            <w:tcW w:type="dxa" w:w="3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Die Size</w:t>
            </w:r>
          </w:p>
        </w:tc>
        <w:tc>
          <w:tcPr>
            <w:tcW w:type="dxa" w:w="58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46,255 mm² (entire wafer)</w:t>
            </w:r>
          </w:p>
        </w:tc>
      </w:tr>
      <w:tr>
        <w:tc>
          <w:tcPr>
            <w:tcW w:type="dxa" w:w="3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Transistors</w:t>
            </w:r>
          </w:p>
        </w:tc>
        <w:tc>
          <w:tcPr>
            <w:tcW w:type="dxa" w:w="58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4 trillion</w:t>
            </w:r>
          </w:p>
        </w:tc>
      </w:tr>
      <w:tr>
        <w:tc>
          <w:tcPr>
            <w:tcW w:type="dxa" w:w="3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AI Compute</w:t>
            </w:r>
          </w:p>
        </w:tc>
        <w:tc>
          <w:tcPr>
            <w:tcW w:type="dxa" w:w="58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125 petaflops</w:t>
            </w:r>
          </w:p>
        </w:tc>
      </w:tr>
      <w:tr>
        <w:tc>
          <w:tcPr>
            <w:tcW w:type="dxa" w:w="3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On-Chip Memory</w:t>
            </w:r>
          </w:p>
        </w:tc>
        <w:tc>
          <w:tcPr>
            <w:tcW w:type="dxa" w:w="58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44 GB</w:t>
            </w:r>
          </w:p>
        </w:tc>
      </w:tr>
      <w:tr>
        <w:tc>
          <w:tcPr>
            <w:tcW w:type="dxa" w:w="3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Cores</w:t>
            </w:r>
          </w:p>
        </w:tc>
        <w:tc>
          <w:tcPr>
            <w:tcW w:type="dxa" w:w="58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900,000</w:t>
            </w:r>
          </w:p>
        </w:tc>
      </w:tr>
      <w:tr>
        <w:tc>
          <w:tcPr>
            <w:tcW w:type="dxa" w:w="3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Source</w:t>
            </w:r>
          </w:p>
        </w:tc>
        <w:tc>
          <w:tcPr>
            <w:tcW w:type="dxa" w:w="58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cerebras.ai; arXiv:2503.11698 (March 2025)</w:t>
            </w:r>
          </w:p>
        </w:tc>
      </w:tr>
    </w:tbl>
    <w:p>
      <w:pPr>
        <w:spacing w:after="200" w:before="120"/>
        <w:jc w:val="center"/>
      </w:pPr>
      <w:r>
        <w:rPr>
          <w:i/>
          <w:iCs/>
          <w:color w:val="64748B"/>
          <w:sz w:val="18"/>
          <w:szCs w:val="18"/>
        </w:rPr>
        <w:t xml:space="preserve">Table 3: Cerebras WSE-3 specifications (verified from official sources)</w:t>
      </w:r>
    </w:p>
    <w:p>
      <w:pPr>
        <w:spacing w:after="200"/>
      </w:pPr>
      <w:r>
        <w:rPr>
          <w:b/>
          <w:bCs/>
          <w:color w:val="020617"/>
        </w:rPr>
        <w:t xml:space="preserve">Key Insight: </w:t>
      </w:r>
      <w:r>
        <w:rPr>
          <w:color w:val="1E293B"/>
        </w:rPr>
        <w:t xml:space="preserve">Cerebras solves the reticle limit problem by stitching across reticle boundaries using specialized interconnect. They do NOT dice the wafer. The fracturable wafer concept would need similar inter-stitch capability but with the ability to sever connections cleanly.</w:t>
      </w:r>
    </w:p>
    <w:p>
      <w:pPr>
        <w:pStyle w:val="Heading2"/>
      </w:pPr>
      <w:r>
        <w:t xml:space="preserve">2.3 Known Good Die and Wafer-Level Testing (VERIFIED)</w:t>
      </w:r>
    </w:p>
    <w:p>
      <w:pPr>
        <w:spacing w:after="120"/>
      </w:pPr>
      <w:r>
        <w:rPr>
          <w:color w:val="1E293B"/>
        </w:rPr>
        <w:t xml:space="preserve">Semiconductor manufacturing uses wafer-level testing to identify functional die before packaging:</w:t>
      </w:r>
    </w:p>
    <w:p>
      <w:pPr>
        <w:pStyle w:val="ListParagraph"/>
        <w:numPr>
          <w:ilvl w:val="0"/>
          <w:numId w:val="3"/>
        </w:numPr>
        <w:spacing w:after="60"/>
      </w:pPr>
      <w:r>
        <w:rPr>
          <w:color w:val="1E293B"/>
        </w:rPr>
        <w:t xml:space="preserve">Wafer Probe Testing: Electrical tests performed on each die while still on the wafer</w:t>
      </w:r>
    </w:p>
    <w:p>
      <w:pPr>
        <w:pStyle w:val="ListParagraph"/>
        <w:numPr>
          <w:ilvl w:val="0"/>
          <w:numId w:val="3"/>
        </w:numPr>
        <w:spacing w:after="60"/>
      </w:pPr>
      <w:r>
        <w:rPr>
          <w:color w:val="1E293B"/>
        </w:rPr>
        <w:t xml:space="preserve">Known Good Die (KGD): Die that pass all tests before packaging, critical for multi-chip modules</w:t>
      </w:r>
    </w:p>
    <w:p>
      <w:pPr>
        <w:pStyle w:val="ListParagraph"/>
        <w:numPr>
          <w:ilvl w:val="0"/>
          <w:numId w:val="3"/>
        </w:numPr>
        <w:spacing w:after="200"/>
      </w:pPr>
      <w:r>
        <w:rPr>
          <w:color w:val="1E293B"/>
        </w:rPr>
        <w:t xml:space="preserve">Defect Mapping: Failed die are mapped and excluded from packaging (Source: FormFactor, Feb 2025; IEEE EPS Best-Known-Methods)</w:t>
      </w:r>
    </w:p>
    <w:p>
      <w:pPr>
        <w:spacing w:after="200"/>
      </w:pPr>
      <w:r>
        <w:rPr>
          <w:b/>
          <w:bCs/>
          <w:color w:val="020617"/>
        </w:rPr>
        <w:t xml:space="preserve">Relevance: </w:t>
      </w:r>
      <w:r>
        <w:rPr>
          <w:color w:val="1E293B"/>
        </w:rPr>
        <w:t xml:space="preserve">Wafer-level testing could identify which tiles are functional. The fracturable wafer would need test infrastructure per tile, enabling decisions about which dicing pattern to use based on defect map.</w:t>
      </w:r>
    </w:p>
    <w:p>
      <w:pPr>
        <w:pStyle w:val="Heading2"/>
      </w:pPr>
      <w:r>
        <w:t xml:space="preserve">2.4 Defect-Tolerant Architecture (VERIFIED)</w:t>
      </w:r>
    </w:p>
    <w:p>
      <w:pPr>
        <w:spacing w:after="120"/>
      </w:pPr>
      <w:r>
        <w:rPr>
          <w:color w:val="1E293B"/>
        </w:rPr>
        <w:t xml:space="preserve">Academic research demonstrates redundancy techniques for yield improvement:</w:t>
      </w:r>
    </w:p>
    <w:p>
      <w:pPr>
        <w:pStyle w:val="ListParagraph"/>
        <w:numPr>
          <w:ilvl w:val="0"/>
          <w:numId w:val="3"/>
        </w:numPr>
        <w:spacing w:after="60"/>
      </w:pPr>
      <w:r>
        <w:rPr>
          <w:color w:val="1E293B"/>
        </w:rPr>
        <w:t xml:space="preserve">N+M Redundancy: Provide M spare cores for N-core processors (ScienceDirect, 2007, 39 citations)</w:t>
      </w:r>
    </w:p>
    <w:p>
      <w:pPr>
        <w:pStyle w:val="ListParagraph"/>
        <w:numPr>
          <w:ilvl w:val="0"/>
          <w:numId w:val="3"/>
        </w:numPr>
        <w:spacing w:after="60"/>
      </w:pPr>
      <w:r>
        <w:rPr>
          <w:color w:val="1E293B"/>
        </w:rPr>
        <w:t xml:space="preserve">Core-Level Redundancy: Spare cores replace defective ones at boot time (UT Austin ICCD 2003, 212 citations)</w:t>
      </w:r>
    </w:p>
    <w:p>
      <w:pPr>
        <w:pStyle w:val="ListParagraph"/>
        <w:numPr>
          <w:ilvl w:val="0"/>
          <w:numId w:val="3"/>
        </w:numPr>
        <w:spacing w:after="60"/>
      </w:pPr>
      <w:r>
        <w:rPr>
          <w:color w:val="1E293B"/>
        </w:rPr>
        <w:t xml:space="preserve">Self-Organizing Arrays: Chip self-organization for fault tolerance (LAAS Toulouse, 53 citations)</w:t>
      </w:r>
    </w:p>
    <w:p>
      <w:pPr>
        <w:pStyle w:val="ListParagraph"/>
        <w:numPr>
          <w:ilvl w:val="0"/>
          <w:numId w:val="3"/>
        </w:numPr>
        <w:spacing w:after="200"/>
      </w:pPr>
      <w:r>
        <w:rPr>
          <w:color w:val="1E293B"/>
        </w:rPr>
        <w:t xml:space="preserve">Yield Improvement Framework: ACM DAC 2022 framework for synthesizing defect-tolerant netlists</w:t>
      </w:r>
    </w:p>
    <w:p>
      <w:pPr>
        <w:pStyle w:val="Heading1"/>
      </w:pPr>
      <w:r>
        <w:t xml:space="preserve">3. Speculative Innovation Requirements</w:t>
      </w:r>
    </w:p>
    <w:p>
      <w:pPr>
        <w:spacing w:after="120"/>
      </w:pPr>
      <w:r>
        <w:rPr>
          <w:color w:val="1E293B"/>
        </w:rPr>
        <w:t xml:space="preserve">The following sections identify what would need to be invented or significantly adapted to realize the fracturable wafer concept. These are </w:t>
      </w:r>
      <w:r>
        <w:rPr>
          <w:b/>
          <w:bCs/>
          <w:color w:val="7C3AED"/>
        </w:rPr>
        <w:t xml:space="preserve">NOT verified technologies</w:t>
      </w:r>
      <w:r>
        <w:rPr>
          <w:color w:val="1E293B"/>
        </w:rPr>
        <w:t xml:space="preserve"> but rather research directions requiring investigation.</w:t>
      </w:r>
    </w:p>
    <w:p>
      <w:pPr>
        <w:pStyle w:val="Heading2"/>
      </w:pPr>
      <w:r>
        <w:t xml:space="preserve">3.1 Active Scribe Lines (SPECULATIVE)</w:t>
      </w:r>
    </w:p>
    <w:p>
      <w:pPr>
        <w:spacing w:after="120"/>
      </w:pPr>
      <w:r>
        <w:rPr>
          <w:b/>
          <w:bCs/>
          <w:color w:val="020617"/>
        </w:rPr>
        <w:t xml:space="preserve">Current State: </w:t>
      </w:r>
      <w:r>
        <w:rPr>
          <w:color w:val="1E293B"/>
        </w:rPr>
        <w:t xml:space="preserve">Dicing streets (scribe lines) between chips are passive areas, typically 30-150µm wide, containing no active circuitry. They exist solely for the saw blade or laser to cut through.</w:t>
      </w:r>
    </w:p>
    <w:p>
      <w:pPr>
        <w:spacing w:after="120"/>
      </w:pPr>
      <w:r>
        <w:rPr>
          <w:b/>
          <w:bCs/>
          <w:color w:val="7C3AED"/>
        </w:rPr>
        <w:t xml:space="preserve">Required Innovation: </w:t>
      </w:r>
      <w:r>
        <w:rPr>
          <w:color w:val="1E293B"/>
        </w:rPr>
        <w:t xml:space="preserve">Design scribe lines that contain interconnect traces connecting adjacent tiles. These traces would need to:</w:t>
      </w:r>
    </w:p>
    <w:p>
      <w:pPr>
        <w:pStyle w:val="ListParagraph"/>
        <w:numPr>
          <w:ilvl w:val="0"/>
          <w:numId w:val="4"/>
        </w:numPr>
        <w:spacing w:after="60"/>
      </w:pPr>
      <w:r>
        <w:rPr>
          <w:color w:val="1E293B"/>
        </w:rPr>
        <w:t xml:space="preserve">Function when intact (unified configuration)</w:t>
      </w:r>
    </w:p>
    <w:p>
      <w:pPr>
        <w:pStyle w:val="ListParagraph"/>
        <w:numPr>
          <w:ilvl w:val="0"/>
          <w:numId w:val="4"/>
        </w:numPr>
        <w:spacing w:after="60"/>
      </w:pPr>
      <w:r>
        <w:rPr>
          <w:color w:val="1E293B"/>
        </w:rPr>
        <w:t xml:space="preserve">Sever cleanly without damaging adjacent tiles (diced configuration)</w:t>
      </w:r>
    </w:p>
    <w:p>
      <w:pPr>
        <w:pStyle w:val="ListParagraph"/>
        <w:numPr>
          <w:ilvl w:val="0"/>
          <w:numId w:val="4"/>
        </w:numPr>
        <w:spacing w:after="200"/>
      </w:pPr>
      <w:r>
        <w:rPr>
          <w:color w:val="1E293B"/>
        </w:rPr>
        <w:t xml:space="preserve">Potentially reconnect through packaging (separate chips on interposer)</w:t>
      </w:r>
    </w:p>
    <w:p>
      <w:pPr>
        <w:pStyle w:val="Heading2"/>
      </w:pPr>
      <w:r>
        <w:t xml:space="preserve">3.2 Per-Tile Power Domains (SPECULATIVE)</w:t>
      </w:r>
    </w:p>
    <w:p>
      <w:pPr>
        <w:spacing w:after="120"/>
      </w:pPr>
      <w:r>
        <w:rPr>
          <w:b/>
          <w:bCs/>
          <w:color w:val="020617"/>
        </w:rPr>
        <w:t xml:space="preserve">Current State: </w:t>
      </w:r>
      <w:r>
        <w:rPr>
          <w:color w:val="1E293B"/>
        </w:rPr>
        <w:t xml:space="preserve">Power distribution typically spans entire die. Power gates exist at macro-block level but not typically at tile boundaries designed for physical separation.</w:t>
      </w:r>
    </w:p>
    <w:p>
      <w:pPr>
        <w:spacing w:after="200"/>
      </w:pPr>
      <w:r>
        <w:rPr>
          <w:b/>
          <w:bCs/>
          <w:color w:val="7C3AED"/>
        </w:rPr>
        <w:t xml:space="preserve">Required Innovation: </w:t>
      </w:r>
      <w:r>
        <w:rPr>
          <w:color w:val="1E293B"/>
        </w:rPr>
        <w:t xml:space="preserve">Independent power domains per tile with power pads accessible from multiple edges. When diced, each tile would need its own power connection capability. This requires power grid redesign with isolation at scribe lines.</w:t>
      </w:r>
    </w:p>
    <w:p>
      <w:pPr>
        <w:pStyle w:val="Heading2"/>
      </w:pPr>
      <w:r>
        <w:t xml:space="preserve">3.3 Reconfigurable Interconnect Fabric (SPECULATIVE)</w:t>
      </w:r>
    </w:p>
    <w:p>
      <w:pPr>
        <w:spacing w:after="120"/>
      </w:pPr>
      <w:r>
        <w:rPr>
          <w:b/>
          <w:bCs/>
          <w:color w:val="020617"/>
        </w:rPr>
        <w:t xml:space="preserve">Current State: </w:t>
      </w:r>
      <w:r>
        <w:rPr>
          <w:color w:val="1E293B"/>
        </w:rPr>
        <w:t xml:space="preserve">Cerebras uses a fixed mesh network across the wafer. Chiplets use UCIe for communication, but UCIe connections are fixed at design time.</w:t>
      </w:r>
    </w:p>
    <w:p>
      <w:pPr>
        <w:spacing w:after="200"/>
      </w:pPr>
      <w:r>
        <w:rPr>
          <w:b/>
          <w:bCs/>
          <w:color w:val="7C3AED"/>
        </w:rPr>
        <w:t xml:space="preserve">Required Innovation: </w:t>
      </w:r>
      <w:r>
        <w:rPr>
          <w:color w:val="1E293B"/>
        </w:rPr>
        <w:t xml:space="preserve">A routing fabric that adapts to tile configuration. If tiles are kept together, the fabric routes internally. If tiles are separated, the fabric provides external I/O for package-level interconnect. This could draw inspiration from FPGA programmable interconnect, but for post-manufacturing physical configuration.</w:t>
      </w:r>
    </w:p>
    <w:p>
      <w:pPr>
        <w:pStyle w:val="Heading1"/>
      </w:pPr>
      <w:r>
        <w:t xml:space="preserve">4. Multi-Agent Silicon Patterns</w:t>
      </w:r>
    </w:p>
    <w:p>
      <w:pPr>
        <w:spacing w:after="120"/>
      </w:pPr>
      <w:r>
        <w:rPr>
          <w:color w:val="1E293B"/>
        </w:rPr>
        <w:t xml:space="preserve">The fracturable wafer concept draws inspiration from software multi-agent frameworks. The following patterns map software concepts to silicon implementation: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3300"/>
        <w:gridCol w:w="3860"/>
      </w:tblGrid>
      <w:tr>
        <w:trPr>
          <w:tblHeader/>
        </w:trPr>
        <w:tc>
          <w:tcPr>
            <w:tcW w:type="dxa" w:w="22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Pattern</w:t>
            </w:r>
          </w:p>
        </w:tc>
        <w:tc>
          <w:tcPr>
            <w:tcW w:type="dxa" w:w="33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Software (CrewAI/AutoGen)</w:t>
            </w:r>
          </w:p>
        </w:tc>
        <w:tc>
          <w:tcPr>
            <w:tcW w:type="dxa" w:w="386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Silicon Implementation</w:t>
            </w:r>
          </w:p>
        </w:tc>
      </w:tr>
      <w:tr>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Orchestrator-Worker</w:t>
            </w:r>
          </w:p>
        </w:tc>
        <w:tc>
          <w:tcPr>
            <w:tcW w:type="dxa" w:w="33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Central agent dispatches tasks to workers</w:t>
            </w:r>
          </w:p>
        </w:tc>
        <w:tc>
          <w:tcPr>
            <w:tcW w:type="dxa" w:w="38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Orchestrator tile routes to multiple identical worker tiles</w:t>
            </w:r>
          </w:p>
        </w:tc>
      </w:tr>
      <w:tr>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Specialist Team</w:t>
            </w:r>
          </w:p>
        </w:tc>
        <w:tc>
          <w:tcPr>
            <w:tcW w:type="dxa" w:w="33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Agents with different skills collaborate</w:t>
            </w:r>
          </w:p>
        </w:tc>
        <w:tc>
          <w:tcPr>
            <w:tcW w:type="dxa" w:w="38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Vision + Reasoner + Linguist tiles with inter-tile communication</w:t>
            </w:r>
          </w:p>
        </w:tc>
      </w:tr>
      <w:tr>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Hierarchical</w:t>
            </w:r>
          </w:p>
        </w:tc>
        <w:tc>
          <w:tcPr>
            <w:tcW w:type="dxa" w:w="33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Manager agents oversee worker agents</w:t>
            </w:r>
          </w:p>
        </w:tc>
        <w:tc>
          <w:tcPr>
            <w:tcW w:type="dxa" w:w="38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Multi-level tile hierarchy with routing fabric</w:t>
            </w:r>
          </w:p>
        </w:tc>
      </w:tr>
      <w:tr>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Peer-to-Peer</w:t>
            </w:r>
          </w:p>
        </w:tc>
        <w:tc>
          <w:tcPr>
            <w:tcW w:type="dxa" w:w="33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Agents negotiate without central controller</w:t>
            </w:r>
          </w:p>
        </w:tc>
        <w:tc>
          <w:tcPr>
            <w:tcW w:type="dxa" w:w="38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Mesh-connected tiles with distributed routing</w:t>
            </w:r>
          </w:p>
        </w:tc>
      </w:tr>
    </w:tbl>
    <w:p>
      <w:pPr>
        <w:spacing w:after="200" w:before="120"/>
        <w:jc w:val="center"/>
      </w:pPr>
      <w:r>
        <w:rPr>
          <w:i/>
          <w:iCs/>
          <w:color w:val="64748B"/>
          <w:sz w:val="18"/>
          <w:szCs w:val="18"/>
        </w:rPr>
        <w:t xml:space="preserve">Table 4: Software multi-agent patterns mapped to silicon architecture</w:t>
      </w:r>
    </w:p>
    <w:p>
      <w:pPr>
        <w:pStyle w:val="Heading2"/>
      </w:pPr>
      <w:r>
        <w:t xml:space="preserve">4.1 Example: Orchestrator-Worker Configuration</w:t>
      </w:r>
    </w:p>
    <w:p>
      <w:pPr>
        <w:spacing w:after="120"/>
      </w:pPr>
      <w:r>
        <w:rPr>
          <w:color w:val="1E293B"/>
        </w:rPr>
        <w:t xml:space="preserve">Configuration: One orchestrator tile (500M params, INT4) + 4-8 worker tiles (1B params each, INT4, identical model).</w:t>
      </w:r>
    </w:p>
    <w:p>
      <w:pPr>
        <w:pStyle w:val="ListParagraph"/>
        <w:numPr>
          <w:ilvl w:val="0"/>
          <w:numId w:val="3"/>
        </w:numPr>
        <w:spacing w:after="60"/>
      </w:pPr>
      <w:r>
        <w:rPr>
          <w:color w:val="1E293B"/>
        </w:rPr>
        <w:t xml:space="preserve">Unified: All tiles on single chip, orchestrator routes tasks to workers via on-chip network</w:t>
      </w:r>
    </w:p>
    <w:p>
      <w:pPr>
        <w:pStyle w:val="ListParagraph"/>
        <w:numPr>
          <w:ilvl w:val="0"/>
          <w:numId w:val="3"/>
        </w:numPr>
        <w:spacing w:after="60"/>
      </w:pPr>
      <w:r>
        <w:rPr>
          <w:color w:val="1E293B"/>
        </w:rPr>
        <w:t xml:space="preserve">Distributed: Each worker diced into separate chip, connected via UCIe on interposer or Thunderbolt cable</w:t>
      </w:r>
    </w:p>
    <w:p>
      <w:pPr>
        <w:pStyle w:val="ListParagraph"/>
        <w:numPr>
          <w:ilvl w:val="0"/>
          <w:numId w:val="3"/>
        </w:numPr>
        <w:spacing w:after="200"/>
      </w:pPr>
      <w:r>
        <w:rPr>
          <w:color w:val="1E293B"/>
        </w:rPr>
        <w:t xml:space="preserve">Defect Tolerance: If worker tile 3 fails testing, dice around it; system operates with 3 workers</w:t>
      </w:r>
    </w:p>
    <w:p>
      <w:pPr>
        <w:pStyle w:val="Heading1"/>
      </w:pPr>
      <w:r>
        <w:t xml:space="preserve">5. Verified Model Options for Tiles</w:t>
      </w:r>
    </w:p>
    <w:p>
      <w:pPr>
        <w:spacing w:after="120"/>
      </w:pPr>
      <w:r>
        <w:rPr>
          <w:color w:val="1E293B"/>
        </w:rPr>
        <w:t xml:space="preserve">The following open models are suitable for mask-locked tile implementation: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1800"/>
        <w:gridCol w:w="2000"/>
        <w:gridCol w:w="3360"/>
      </w:tblGrid>
      <w:tr>
        <w:trPr>
          <w:tblHeader/>
        </w:trPr>
        <w:tc>
          <w:tcPr>
            <w:tcW w:type="dxa" w:w="22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Model</w:t>
            </w:r>
          </w:p>
        </w:tc>
        <w:tc>
          <w:tcPr>
            <w:tcW w:type="dxa" w:w="18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Params</w:t>
            </w:r>
          </w:p>
        </w:tc>
        <w:tc>
          <w:tcPr>
            <w:tcW w:type="dxa" w:w="20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INT4 Size</w:t>
            </w:r>
          </w:p>
        </w:tc>
        <w:tc>
          <w:tcPr>
            <w:tcW w:type="dxa" w:w="336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Function / Source</w:t>
            </w:r>
          </w:p>
        </w:tc>
      </w:tr>
      <w:tr>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SmolVLM</w:t>
            </w:r>
          </w:p>
        </w:tc>
        <w:tc>
          <w:tcPr>
            <w:tcW w:type="dxa" w:w="18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2B</w:t>
            </w:r>
          </w:p>
        </w:tc>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~500 MB</w:t>
            </w:r>
          </w:p>
        </w:tc>
        <w:tc>
          <w:tcPr>
            <w:tcW w:type="dxa" w:w="33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Vision-Language; Hugging Face Nov 2024</w:t>
            </w:r>
          </w:p>
        </w:tc>
      </w:tr>
      <w:tr>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FunctionGemma</w:t>
            </w:r>
          </w:p>
        </w:tc>
        <w:tc>
          <w:tcPr>
            <w:tcW w:type="dxa" w:w="18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270M</w:t>
            </w:r>
          </w:p>
        </w:tc>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~70 MB</w:t>
            </w:r>
          </w:p>
        </w:tc>
        <w:tc>
          <w:tcPr>
            <w:tcW w:type="dxa" w:w="33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Function calling; Google Dec 2025</w:t>
            </w:r>
          </w:p>
        </w:tc>
      </w:tr>
      <w:tr>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Gemma 3n</w:t>
            </w:r>
          </w:p>
        </w:tc>
        <w:tc>
          <w:tcPr>
            <w:tcW w:type="dxa" w:w="18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Varies</w:t>
            </w:r>
          </w:p>
        </w:tc>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Varies</w:t>
            </w:r>
          </w:p>
        </w:tc>
        <w:tc>
          <w:tcPr>
            <w:tcW w:type="dxa" w:w="33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Multimodal edge; Google May 2025</w:t>
            </w:r>
          </w:p>
        </w:tc>
      </w:tr>
      <w:tr>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Qwen2.5-0.5B</w:t>
            </w:r>
          </w:p>
        </w:tc>
        <w:tc>
          <w:tcPr>
            <w:tcW w:type="dxa" w:w="18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500M</w:t>
            </w:r>
          </w:p>
        </w:tc>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~125 MB</w:t>
            </w:r>
          </w:p>
        </w:tc>
        <w:tc>
          <w:tcPr>
            <w:tcW w:type="dxa" w:w="33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General purpose; open weights</w:t>
            </w:r>
          </w:p>
        </w:tc>
      </w:tr>
      <w:tr>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Phi-3 Mini</w:t>
            </w:r>
          </w:p>
        </w:tc>
        <w:tc>
          <w:tcPr>
            <w:tcW w:type="dxa" w:w="18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3.8B</w:t>
            </w:r>
          </w:p>
        </w:tc>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~1 GB</w:t>
            </w:r>
          </w:p>
        </w:tc>
        <w:tc>
          <w:tcPr>
            <w:tcW w:type="dxa" w:w="33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Reasoning; Microsoft</w:t>
            </w:r>
          </w:p>
        </w:tc>
      </w:tr>
    </w:tbl>
    <w:p>
      <w:pPr>
        <w:spacing w:after="200" w:before="120"/>
        <w:jc w:val="center"/>
      </w:pPr>
      <w:r>
        <w:rPr>
          <w:i/>
          <w:iCs/>
          <w:color w:val="64748B"/>
          <w:sz w:val="18"/>
          <w:szCs w:val="18"/>
        </w:rPr>
        <w:t xml:space="preserve">Table 5: Open models suitable for mask-locked tile implementation (verified from official sources)</w:t>
      </w:r>
    </w:p>
    <w:p>
      <w:pPr>
        <w:pStyle w:val="Heading1"/>
      </w:pPr>
      <w:r>
        <w:t xml:space="preserve">6. Technical Challenges and Open Questions</w:t>
      </w:r>
    </w:p>
    <w:p>
      <w:pPr>
        <w:pStyle w:val="Heading2"/>
      </w:pPr>
      <w:r>
        <w:t xml:space="preserve">6.1 Manufacturing Challenges</w:t>
      </w:r>
    </w:p>
    <w:p>
      <w:pPr>
        <w:pStyle w:val="ListParagraph"/>
        <w:numPr>
          <w:ilvl w:val="0"/>
          <w:numId w:val="5"/>
        </w:numPr>
        <w:spacing w:after="60"/>
      </w:pPr>
      <w:r>
        <w:rPr>
          <w:b/>
          <w:bCs/>
          <w:color w:val="020617"/>
        </w:rPr>
        <w:t xml:space="preserve">Scribe Line Integrity: </w:t>
      </w:r>
      <w:r>
        <w:rPr>
          <w:color w:val="1E293B"/>
        </w:rPr>
        <w:t xml:space="preserve">Active interconnects in scribe lines may not survive dicing cleanly. Research needed on "breakaway" interconnect designs.</w:t>
      </w:r>
    </w:p>
    <w:p>
      <w:pPr>
        <w:pStyle w:val="ListParagraph"/>
        <w:numPr>
          <w:ilvl w:val="0"/>
          <w:numId w:val="5"/>
        </w:numPr>
        <w:spacing w:after="60"/>
      </w:pPr>
      <w:r>
        <w:rPr>
          <w:b/>
          <w:bCs/>
          <w:color w:val="020617"/>
        </w:rPr>
        <w:t xml:space="preserve">Power Grid Redesign: </w:t>
      </w:r>
      <w:r>
        <w:rPr>
          <w:color w:val="1E293B"/>
        </w:rPr>
        <w:t xml:space="preserve">Per-tile power domains require redesign of traditional power distribution networks.</w:t>
      </w:r>
    </w:p>
    <w:p>
      <w:pPr>
        <w:pStyle w:val="ListParagraph"/>
        <w:numPr>
          <w:ilvl w:val="0"/>
          <w:numId w:val="5"/>
        </w:numPr>
        <w:spacing w:after="200"/>
      </w:pPr>
      <w:r>
        <w:rPr>
          <w:b/>
          <w:bCs/>
          <w:color w:val="020617"/>
        </w:rPr>
        <w:t xml:space="preserve">Testing Complexity: </w:t>
      </w:r>
      <w:r>
        <w:rPr>
          <w:color w:val="1E293B"/>
        </w:rPr>
        <w:t xml:space="preserve">Each tile needs independent test access, plus inter-tile communication testing for unified configurations.</w:t>
      </w:r>
    </w:p>
    <w:p>
      <w:pPr>
        <w:pStyle w:val="Heading2"/>
      </w:pPr>
      <w:r>
        <w:t xml:space="preserve">6.2 Architecture Challenges</w:t>
      </w:r>
    </w:p>
    <w:p>
      <w:pPr>
        <w:pStyle w:val="ListParagraph"/>
        <w:numPr>
          <w:ilvl w:val="0"/>
          <w:numId w:val="6"/>
        </w:numPr>
        <w:spacing w:after="60"/>
      </w:pPr>
      <w:r>
        <w:rPr>
          <w:b/>
          <w:bCs/>
          <w:color w:val="020617"/>
        </w:rPr>
        <w:t xml:space="preserve">Inter-Tile Communication Bandwidth: </w:t>
      </w:r>
      <w:r>
        <w:rPr>
          <w:color w:val="1E293B"/>
        </w:rPr>
        <w:t xml:space="preserve">Multi-agent collaboration requires high-bandwidth communication. UCIe 3.0 provides up to 4 Tbps, but is this sufficient for token-level collaboration?</w:t>
      </w:r>
    </w:p>
    <w:p>
      <w:pPr>
        <w:pStyle w:val="ListParagraph"/>
        <w:numPr>
          <w:ilvl w:val="0"/>
          <w:numId w:val="6"/>
        </w:numPr>
        <w:spacing w:after="60"/>
      </w:pPr>
      <w:r>
        <w:rPr>
          <w:b/>
          <w:bCs/>
          <w:color w:val="020617"/>
        </w:rPr>
        <w:t xml:space="preserve">Latency for Agent Orchestration: </w:t>
      </w:r>
      <w:r>
        <w:rPr>
          <w:color w:val="1E293B"/>
        </w:rPr>
        <w:t xml:space="preserve">Software agents typically communicate with millisecond latency. On-chip communication is nanosecond scale, but package-level communication (for diced configurations) may introduce bottlenecks.</w:t>
      </w:r>
    </w:p>
    <w:p>
      <w:pPr>
        <w:pStyle w:val="ListParagraph"/>
        <w:numPr>
          <w:ilvl w:val="0"/>
          <w:numId w:val="6"/>
        </w:numPr>
        <w:spacing w:after="200"/>
      </w:pPr>
      <w:r>
        <w:rPr>
          <w:b/>
          <w:bCs/>
          <w:color w:val="020617"/>
        </w:rPr>
        <w:t xml:space="preserve">Memory Sharing: </w:t>
      </w:r>
      <w:r>
        <w:rPr>
          <w:color w:val="1E293B"/>
        </w:rPr>
        <w:t xml:space="preserve">Should tiles share activation memory or maintain separate memory pools? Shared memory is efficient but creates dicing complexity.</w:t>
      </w:r>
    </w:p>
    <w:p>
      <w:pPr>
        <w:pStyle w:val="Heading1"/>
      </w:pPr>
      <w:r>
        <w:t xml:space="preserve">7. Related Patent Landscape</w:t>
      </w:r>
    </w:p>
    <w:p>
      <w:pPr>
        <w:spacing w:after="120"/>
      </w:pPr>
      <w:r>
        <w:rPr>
          <w:color w:val="1E293B"/>
        </w:rPr>
        <w:t xml:space="preserve">A relevant patent exists in this space:</w:t>
      </w:r>
    </w:p>
    <w:p>
      <w:pPr>
        <w:pStyle w:val="ListParagraph"/>
        <w:numPr>
          <w:ilvl w:val="0"/>
          <w:numId w:val="3"/>
        </w:numPr>
        <w:spacing w:after="60"/>
      </w:pPr>
      <w:r>
        <w:rPr>
          <w:color w:val="1E293B"/>
        </w:rPr>
        <w:t xml:space="preserve">US Patent 5,107,146 (1992): "Mixed Mode Analog/Digital Programmable Interconnect Architecture" (Actel Corporation)</w:t>
      </w:r>
    </w:p>
    <w:p>
      <w:pPr>
        <w:pStyle w:val="ListParagraph"/>
        <w:numPr>
          <w:ilvl w:val="0"/>
          <w:numId w:val="3"/>
        </w:numPr>
        <w:spacing w:after="200"/>
      </w:pPr>
      <w:r>
        <w:rPr>
          <w:color w:val="1E293B"/>
        </w:rPr>
        <w:t xml:space="preserve">Field Programmable Platform Array: Patent describing wafer-level programmable interconnect (Google Patents reference)</w:t>
      </w:r>
    </w:p>
    <w:p>
      <w:pPr>
        <w:spacing w:after="200"/>
      </w:pPr>
      <w:r>
        <w:rPr>
          <w:b/>
          <w:bCs/>
          <w:color w:val="020617"/>
        </w:rPr>
        <w:t xml:space="preserve">Note: </w:t>
      </w:r>
      <w:r>
        <w:rPr>
          <w:color w:val="1E293B"/>
        </w:rPr>
        <w:t xml:space="preserve">The fracturable wafer concept differs from existing patents in that it combines: (1) mask-locked neural network weights, (2) multiple different models per wafer, (3) selective dicing for configuration. A patent search by qualified counsel would be required before filing.</w:t>
      </w:r>
    </w:p>
    <w:p>
      <w:pPr>
        <w:pStyle w:val="Heading1"/>
      </w:pPr>
      <w:r>
        <w:t xml:space="preserve">8. Research Roadmap</w:t>
      </w:r>
    </w:p>
    <w:p>
      <w:pPr>
        <w:spacing w:after="120"/>
      </w:pPr>
      <w:r>
        <w:rPr>
          <w:color w:val="1E293B"/>
        </w:rPr>
        <w:t xml:space="preserve">To validate the fracturable wafer concept, the following research steps are recommended:</w:t>
      </w:r>
    </w:p>
    <w:p>
      <w:pPr>
        <w:pStyle w:val="Heading2"/>
      </w:pPr>
      <w:r>
        <w:t xml:space="preserve">Phase 1: Architecture Feasibility (Months 1-3)</w:t>
      </w:r>
    </w:p>
    <w:p>
      <w:pPr>
        <w:pStyle w:val="ListParagraph"/>
        <w:numPr>
          <w:ilvl w:val="0"/>
          <w:numId w:val="3"/>
        </w:numPr>
        <w:spacing w:after="60"/>
      </w:pPr>
      <w:r>
        <w:rPr>
          <w:color w:val="1E293B"/>
        </w:rPr>
        <w:t xml:space="preserve">Design tile architecture with UCIe-compatible edge pads</w:t>
      </w:r>
    </w:p>
    <w:p>
      <w:pPr>
        <w:pStyle w:val="ListParagraph"/>
        <w:numPr>
          <w:ilvl w:val="0"/>
          <w:numId w:val="3"/>
        </w:numPr>
        <w:spacing w:after="60"/>
      </w:pPr>
      <w:r>
        <w:rPr>
          <w:color w:val="1E293B"/>
        </w:rPr>
        <w:t xml:space="preserve">Simulate inter-tile communication bandwidth requirements for multi-agent patterns</w:t>
      </w:r>
    </w:p>
    <w:p>
      <w:pPr>
        <w:pStyle w:val="ListParagraph"/>
        <w:numPr>
          <w:ilvl w:val="0"/>
          <w:numId w:val="3"/>
        </w:numPr>
        <w:spacing w:after="200"/>
      </w:pPr>
      <w:r>
        <w:rPr>
          <w:color w:val="1E293B"/>
        </w:rPr>
        <w:t xml:space="preserve">Survey packaging options for post-dice reconnection (interposer, multi-chip module)</w:t>
      </w:r>
    </w:p>
    <w:p>
      <w:pPr>
        <w:pStyle w:val="Heading2"/>
      </w:pPr>
      <w:r>
        <w:t xml:space="preserve">Phase 2: Physical Design Exploration (Months 4-6)</w:t>
      </w:r>
    </w:p>
    <w:p>
      <w:pPr>
        <w:pStyle w:val="ListParagraph"/>
        <w:numPr>
          <w:ilvl w:val="0"/>
          <w:numId w:val="3"/>
        </w:numPr>
        <w:spacing w:after="60"/>
      </w:pPr>
      <w:r>
        <w:rPr>
          <w:color w:val="1E293B"/>
        </w:rPr>
        <w:t xml:space="preserve">Engage with packaging vendors on scribe-line interconnect feasibility</w:t>
      </w:r>
    </w:p>
    <w:p>
      <w:pPr>
        <w:pStyle w:val="ListParagraph"/>
        <w:numPr>
          <w:ilvl w:val="0"/>
          <w:numId w:val="3"/>
        </w:numPr>
        <w:spacing w:after="60"/>
      </w:pPr>
      <w:r>
        <w:rPr>
          <w:color w:val="1E293B"/>
        </w:rPr>
        <w:t xml:space="preserve">Design per-tile power domain architecture</w:t>
      </w:r>
    </w:p>
    <w:p>
      <w:pPr>
        <w:pStyle w:val="ListParagraph"/>
        <w:numPr>
          <w:ilvl w:val="0"/>
          <w:numId w:val="3"/>
        </w:numPr>
        <w:spacing w:after="200"/>
      </w:pPr>
      <w:r>
        <w:rPr>
          <w:color w:val="1E293B"/>
        </w:rPr>
        <w:t xml:space="preserve">Evaluate OpenROAD for tile-based design flow</w:t>
      </w:r>
    </w:p>
    <w:p>
      <w:pPr>
        <w:pStyle w:val="Heading2"/>
      </w:pPr>
      <w:r>
        <w:t xml:space="preserve">Phase 3: Prototype Implementation (Months 7-12)</w:t>
      </w:r>
    </w:p>
    <w:p>
      <w:pPr>
        <w:pStyle w:val="ListParagraph"/>
        <w:numPr>
          <w:ilvl w:val="0"/>
          <w:numId w:val="3"/>
        </w:numPr>
        <w:spacing w:after="60"/>
      </w:pPr>
      <w:r>
        <w:rPr>
          <w:color w:val="1E293B"/>
        </w:rPr>
        <w:t xml:space="preserve">Design 2-tile test chip with configurable interconnect</w:t>
      </w:r>
    </w:p>
    <w:p>
      <w:pPr>
        <w:pStyle w:val="ListParagraph"/>
        <w:numPr>
          <w:ilvl w:val="0"/>
          <w:numId w:val="3"/>
        </w:numPr>
        <w:spacing w:after="60"/>
      </w:pPr>
      <w:r>
        <w:rPr>
          <w:color w:val="1E293B"/>
        </w:rPr>
        <w:t xml:space="preserve">Submit to MPW shuttle (TinyTapeout or similar)</w:t>
      </w:r>
    </w:p>
    <w:p>
      <w:pPr>
        <w:pStyle w:val="ListParagraph"/>
        <w:numPr>
          <w:ilvl w:val="0"/>
          <w:numId w:val="3"/>
        </w:numPr>
        <w:spacing w:after="200"/>
      </w:pPr>
      <w:r>
        <w:rPr>
          <w:color w:val="1E293B"/>
        </w:rPr>
        <w:t xml:space="preserve">Validate dicing and post-dice communication</w:t>
      </w:r>
    </w:p>
    <w:p>
      <w:pPr>
        <w:pStyle w:val="Heading1"/>
      </w:pPr>
      <w:r>
        <w:t xml:space="preserve">Appendix: Source Verification Index</w:t>
      </w:r>
    </w:p>
    <w:p>
      <w:pPr>
        <w:spacing w:after="120"/>
      </w:pPr>
      <w:r>
        <w:rPr>
          <w:b/>
          <w:bCs/>
          <w:color w:val="020617"/>
        </w:rPr>
        <w:t xml:space="preserve">UCIe Specifications:</w:t>
      </w:r>
    </w:p>
    <w:p>
      <w:pPr>
        <w:pStyle w:val="ListParagraph"/>
        <w:numPr>
          <w:ilvl w:val="0"/>
          <w:numId w:val="3"/>
        </w:numPr>
        <w:spacing w:after="60"/>
      </w:pPr>
      <w:r>
        <w:rPr>
          <w:color w:val="1E293B"/>
          <w:sz w:val="18"/>
          <w:szCs w:val="18"/>
        </w:rPr>
        <w:t xml:space="preserve">UCIe Consortium: uciexpress.org/specifications (UCIe 3.0: 48/64 GT/s)</w:t>
      </w:r>
    </w:p>
    <w:p>
      <w:pPr>
        <w:pStyle w:val="ListParagraph"/>
        <w:numPr>
          <w:ilvl w:val="0"/>
          <w:numId w:val="3"/>
        </w:numPr>
        <w:spacing w:after="60"/>
      </w:pPr>
      <w:r>
        <w:rPr>
          <w:color w:val="1E293B"/>
          <w:sz w:val="18"/>
          <w:szCs w:val="18"/>
        </w:rPr>
        <w:t xml:space="preserve">IEEE Micro 2024: "UCIe: Standard for an Open Chiplet Ecosystem"</w:t>
      </w:r>
    </w:p>
    <w:p>
      <w:pPr>
        <w:pStyle w:val="ListParagraph"/>
        <w:numPr>
          <w:ilvl w:val="0"/>
          <w:numId w:val="3"/>
        </w:numPr>
        <w:spacing w:after="120"/>
      </w:pPr>
      <w:r>
        <w:rPr>
          <w:color w:val="1E293B"/>
          <w:sz w:val="18"/>
          <w:szCs w:val="18"/>
        </w:rPr>
        <w:t xml:space="preserve">Synopsys: "The Road to 64G UCIe IP" (4 Tbps bandwidth claim)</w:t>
      </w:r>
    </w:p>
    <w:p>
      <w:pPr>
        <w:spacing w:after="120"/>
      </w:pPr>
      <w:r>
        <w:rPr>
          <w:b/>
          <w:bCs/>
          <w:color w:val="020617"/>
        </w:rPr>
        <w:t xml:space="preserve">Cerebras WSE-3:</w:t>
      </w:r>
    </w:p>
    <w:p>
      <w:pPr>
        <w:pStyle w:val="ListParagraph"/>
        <w:numPr>
          <w:ilvl w:val="0"/>
          <w:numId w:val="3"/>
        </w:numPr>
        <w:spacing w:after="60"/>
      </w:pPr>
      <w:r>
        <w:rPr>
          <w:color w:val="1E293B"/>
          <w:sz w:val="18"/>
          <w:szCs w:val="18"/>
        </w:rPr>
        <w:t xml:space="preserve">Official: cerebras.ai/chip (46,255 mm², 4T transistors, 125 PF)</w:t>
      </w:r>
    </w:p>
    <w:p>
      <w:pPr>
        <w:pStyle w:val="ListParagraph"/>
        <w:numPr>
          <w:ilvl w:val="0"/>
          <w:numId w:val="3"/>
        </w:numPr>
        <w:spacing w:after="60"/>
      </w:pPr>
      <w:r>
        <w:rPr>
          <w:color w:val="1E293B"/>
          <w:sz w:val="18"/>
          <w:szCs w:val="18"/>
        </w:rPr>
        <w:t xml:space="preserve">arXiv:2503.11698 (March 2025): WSE-3 comparison study</w:t>
      </w:r>
    </w:p>
    <w:p>
      <w:pPr>
        <w:pStyle w:val="ListParagraph"/>
        <w:numPr>
          <w:ilvl w:val="0"/>
          <w:numId w:val="3"/>
        </w:numPr>
        <w:spacing w:after="120"/>
      </w:pPr>
      <w:r>
        <w:rPr>
          <w:color w:val="1E293B"/>
          <w:sz w:val="18"/>
          <w:szCs w:val="18"/>
        </w:rPr>
        <w:t xml:space="preserve">Hot Chips 2024: Cerebras presentation slides</w:t>
      </w:r>
    </w:p>
    <w:p>
      <w:pPr>
        <w:spacing w:after="120"/>
      </w:pPr>
      <w:r>
        <w:rPr>
          <w:b/>
          <w:bCs/>
          <w:color w:val="020617"/>
        </w:rPr>
        <w:t xml:space="preserve">Edge AI Models:</w:t>
      </w:r>
    </w:p>
    <w:p>
      <w:pPr>
        <w:pStyle w:val="ListParagraph"/>
        <w:numPr>
          <w:ilvl w:val="0"/>
          <w:numId w:val="3"/>
        </w:numPr>
        <w:spacing w:after="60"/>
      </w:pPr>
      <w:r>
        <w:rPr>
          <w:color w:val="1E293B"/>
          <w:sz w:val="18"/>
          <w:szCs w:val="18"/>
        </w:rPr>
        <w:t xml:space="preserve">SmolVLM: Hugging Face blog (Nov 26, 2024), arXiv:2504.05299</w:t>
      </w:r>
    </w:p>
    <w:p>
      <w:pPr>
        <w:pStyle w:val="ListParagraph"/>
        <w:numPr>
          <w:ilvl w:val="0"/>
          <w:numId w:val="3"/>
        </w:numPr>
        <w:spacing w:after="60"/>
      </w:pPr>
      <w:r>
        <w:rPr>
          <w:color w:val="1E293B"/>
          <w:sz w:val="18"/>
          <w:szCs w:val="18"/>
        </w:rPr>
        <w:t xml:space="preserve">FunctionGemma: Google AI blog (Dec 18, 2025), ai.google.dev/gemma</w:t>
      </w:r>
    </w:p>
    <w:p>
      <w:pPr>
        <w:pStyle w:val="ListParagraph"/>
        <w:numPr>
          <w:ilvl w:val="0"/>
          <w:numId w:val="3"/>
        </w:numPr>
        <w:spacing w:after="120"/>
      </w:pPr>
      <w:r>
        <w:rPr>
          <w:color w:val="1E293B"/>
          <w:sz w:val="18"/>
          <w:szCs w:val="18"/>
        </w:rPr>
        <w:t xml:space="preserve">Gemma 3n: Google Developers Blog (May 20, 2025)</w:t>
      </w:r>
    </w:p>
    <w:p>
      <w:pPr>
        <w:spacing w:after="120"/>
      </w:pPr>
      <w:r>
        <w:rPr>
          <w:b/>
          <w:bCs/>
          <w:color w:val="020617"/>
        </w:rPr>
        <w:t xml:space="preserve">Defect Tolerance Research:</w:t>
      </w:r>
    </w:p>
    <w:p>
      <w:pPr>
        <w:pStyle w:val="ListParagraph"/>
        <w:numPr>
          <w:ilvl w:val="0"/>
          <w:numId w:val="3"/>
        </w:numPr>
        <w:spacing w:after="60"/>
      </w:pPr>
      <w:r>
        <w:rPr>
          <w:color w:val="1E293B"/>
          <w:sz w:val="18"/>
          <w:szCs w:val="18"/>
        </w:rPr>
        <w:t xml:space="preserve">UT Austin ICCD 2003: "Exploiting Microarchitectural Redundancy" (212 citations)</w:t>
      </w:r>
    </w:p>
    <w:p>
      <w:pPr>
        <w:pStyle w:val="ListParagraph"/>
        <w:numPr>
          <w:ilvl w:val="0"/>
          <w:numId w:val="3"/>
        </w:numPr>
        <w:spacing w:after="60"/>
      </w:pPr>
      <w:r>
        <w:rPr>
          <w:color w:val="1E293B"/>
          <w:sz w:val="18"/>
          <w:szCs w:val="18"/>
        </w:rPr>
        <w:t xml:space="preserve">ACM DAC 2022: "A defect tolerance framework for improving yield"</w:t>
      </w:r>
    </w:p>
    <w:p>
      <w:pPr>
        <w:pStyle w:val="ListParagraph"/>
        <w:numPr>
          <w:ilvl w:val="0"/>
          <w:numId w:val="3"/>
        </w:numPr>
        <w:spacing w:after="200"/>
      </w:pPr>
      <w:r>
        <w:rPr>
          <w:color w:val="1E293B"/>
          <w:sz w:val="18"/>
          <w:szCs w:val="18"/>
        </w:rPr>
        <w:t xml:space="preserve">IEEE TDSC: "Chip Self-Organization and Fault-Tolerance" (53 citations)</w:t>
      </w:r>
    </w:p>
    <w:p>
      <w:pPr>
        <w:pStyle w:val="Heading1"/>
      </w:pPr>
      <w:r>
        <w:t xml:space="preserve">Conclusion</w:t>
      </w:r>
    </w:p>
    <w:p>
      <w:pPr>
        <w:spacing w:after="120"/>
      </w:pPr>
      <w:r>
        <w:rPr>
          <w:color w:val="1E293B"/>
        </w:rPr>
        <w:t xml:space="preserve">The fracturable wafer concept represents a potentially novel approach to semiconductor architecture for multi-agent AI. It combines verified technologies (UCIe chiplet interconnects, wafer-scale integration, defect-tolerant design) with speculative innovations (active scribe lines, per-tile power domains, reconfigurable interconnect fabric).</w:t>
      </w:r>
    </w:p>
    <w:p>
      <w:pPr>
        <w:spacing w:after="120"/>
      </w:pPr>
      <w:r>
        <w:rPr>
          <w:color w:val="1E293B"/>
        </w:rPr>
        <w:t xml:space="preserve">The concept aligns with current industry trends toward chiplet-based design and multi-agent AI systems. If feasible, it would enable a single wafer design to serve multiple product configurations—unified multi-model accelerators, distributed agent swarms, or defect-tolerant configurations—while sharing a common mask set.</w:t>
      </w:r>
    </w:p>
    <w:p>
      <w:pPr>
        <w:spacing w:after="200"/>
      </w:pPr>
      <w:r>
        <w:rPr>
          <w:b/>
          <w:bCs/>
          <w:color w:val="020617"/>
        </w:rPr>
        <w:t xml:space="preserve">Next Steps: </w:t>
      </w:r>
      <w:r>
        <w:rPr>
          <w:color w:val="1E293B"/>
        </w:rPr>
        <w:t xml:space="preserve">Engage with semiconductor packaging vendors to assess feasibility of active scribe lines and post-dice interconnect options. Begin architecture simulation for inter-tile communication patterns. Consider filing provisional patent application given novelty of the combined approach.</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Fracturable Wafer Architecture | Research &amp;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48"/>
      <w:szCs w:val="48"/>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E293B"/>
      <w:sz w:val="26"/>
      <w:szCs w:val="26"/>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2026-03-04T04:07:28.351Z</dcterms:created>
  <dcterms:modified xsi:type="dcterms:W3CDTF">2026-03-04T04:07:28.351Z</dcterms:modified>
</cp:coreProperties>
</file>

<file path=docProps/custom.xml><?xml version="1.0" encoding="utf-8"?>
<Properties xmlns="http://schemas.openxmlformats.org/officeDocument/2006/custom-properties" xmlns:vt="http://schemas.openxmlformats.org/officeDocument/2006/docPropsVTypes"/>
</file>