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Mask-Locked Inference Chip</w:t>
      </w:r>
    </w:p>
    <w:p>
      <w:pPr>
        <w:spacing w:after="120"/>
        <w:jc w:val="center"/>
      </w:pPr>
      <w:r>
        <w:rPr>
          <w:color w:val="1E293B"/>
          <w:sz w:val="28"/>
          <w:szCs w:val="28"/>
        </w:rPr>
        <w:t xml:space="preserve">Solo Developer Execution Plan v3.0</w:t>
      </w:r>
    </w:p>
    <w:p>
      <w:pPr>
        <w:spacing w:after="120"/>
        <w:jc w:val="center"/>
      </w:pPr>
      <w:r>
        <w:rPr>
          <w:i/>
          <w:iCs/>
          <w:color w:val="64748B"/>
          <w:sz w:val="22"/>
          <w:szCs w:val="22"/>
        </w:rPr>
        <w:t xml:space="preserve">Verified &amp; Corrected Edition</w:t>
      </w:r>
    </w:p>
    <w:p>
      <w:pPr>
        <w:spacing w:after="400"/>
        <w:jc w:val="center"/>
      </w:pPr>
      <w:r>
        <w:rPr>
          <w:color w:val="64748B"/>
          <w:sz w:val="20"/>
          <w:szCs w:val="20"/>
        </w:rPr>
        <w:t xml:space="preserve">Document Date: January 2025 | Last Verified: Current</w:t>
      </w:r>
    </w:p>
    <w:p>
      <w:pPr>
        <w:pStyle w:val="Heading1"/>
      </w:pPr>
      <w:r>
        <w:t xml:space="preserve">Executive Summary</w:t>
      </w:r>
    </w:p>
    <w:p>
      <w:pPr>
        <w:spacing w:after="120"/>
      </w:pPr>
      <w:r>
        <w:rPr>
          <w:color w:val="1E293B"/>
        </w:rPr>
        <w:t xml:space="preserve">This document presents a corrected execution plan for developing a mask-locked inference chip—a novel semiconductor architecture that physically embeds neural network weights into silicon metal interconnect layers. Unlike traditional approaches where weights are stored in SRAM or DRAM and fetched during computation, mask-locked weights exist as permanent physical structures within the chip's metal stack, eliminating memory bandwidth constraints entirely. This approach offers significant potential advantages in energy efficiency and inference throughput for edge AI applications, though the exact magnitude of improvement requires empirical validation through FPGA prototyping before ASIC commitment.</w:t>
      </w:r>
    </w:p>
    <w:p>
      <w:pPr>
        <w:spacing w:after="120"/>
      </w:pPr>
      <w:r>
        <w:rPr>
          <w:color w:val="1E293B"/>
        </w:rPr>
        <w:t xml:space="preserve">Following a comprehensive verification review, this document corrects several factual errors present in earlier versions. Most critically, the December 2025 NVIDIA-Groq transaction was a </w:t>
      </w:r>
      <w:r>
        <w:rPr>
          <w:b/>
          <w:bCs/>
          <w:color w:val="020617"/>
        </w:rPr>
        <w:t xml:space="preserve">$20 billion non-exclusive licensing agreement with talent transfer, not an acquisition</w:t>
      </w:r>
      <w:r>
        <w:rPr>
          <w:color w:val="1E293B"/>
        </w:rPr>
        <w:t xml:space="preserve"> (Groq remains an independent company). This distinction is essential for understanding exit strategies: NVIDIA valued Groq's inference technology enough to license it while leaving the company independent, validating the licensing model as a viable path for specialized inference technology companies.</w:t>
      </w:r>
    </w:p>
    <w:p>
      <w:pPr>
        <w:spacing w:after="200"/>
      </w:pPr>
      <w:r>
        <w:rPr>
          <w:color w:val="1E293B"/>
        </w:rPr>
        <w:t xml:space="preserve">The execution plan outlined herein targets a solo developer with deep technical knowledge but limited resources. It prioritizes low-cost validation steps (FPGA prototyping, open-source EDA tools, MPW shuttles) before significant capital commitment, with clearly defined validation gates that provide objective criteria for continuing or aborting the project at each stage.</w:t>
      </w:r>
    </w:p>
    <w:p>
      <w:pPr>
        <w:pStyle w:val="Heading1"/>
      </w:pPr>
      <w:r>
        <w:t xml:space="preserve">1. Verification Status of Key Claims</w:t>
      </w:r>
    </w:p>
    <w:p>
      <w:pPr>
        <w:spacing w:after="120"/>
      </w:pPr>
      <w:r>
        <w:rPr>
          <w:color w:val="1E293B"/>
        </w:rPr>
        <w:t xml:space="preserve">Transparency about verification status is essential for credibility. The following table documents the verification status of key technical and market claims made throughout this document, enabling readers to distinguish between established facts, company claims, and preliminary projections requiring further validation.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2500"/>
        <w:gridCol w:w="3860"/>
      </w:tblGrid>
      <w:tr>
        <w:trPr>
          <w:tblHeader/>
        </w:trPr>
        <w:tc>
          <w:tcPr>
            <w:tcW w:type="dxa" w:w="30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Claim</w:t>
            </w:r>
          </w:p>
        </w:tc>
        <w:tc>
          <w:tcPr>
            <w:tcW w:type="dxa" w:w="2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Status</w:t>
            </w:r>
          </w:p>
        </w:tc>
        <w:tc>
          <w:tcPr>
            <w:tcW w:type="dxa" w:w="38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Source / Notes</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Groq-NVIDIA: $20B acquisition</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INCORRECT</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Licensing deal + acquihire; Groq independent</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TI acquires Silicon Labs for $7.5B</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VERIFIED</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Announced Feb 4, 2026; close H1 2027</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ACL 2024 quantization paper</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CORRECTED</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ACL 2025; arXiv:2411.02355 verified</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TinyTapeout using IHP foundry</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VERIFIED</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Tiny Tapeout IHP 26a shuttle active</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Etched Sohu: TSMC 4nm, 144GB HBM3E</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CLAIMED</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Company claims; no independent verification</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Etched: 20x faster than H100</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CLAIMED</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Awaiting independent benchmarks</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INT4 quantization: 4-6% MMLU degradation</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VERIFIED</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ACL 2025 (Kurtic et al.) comprehensive study</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Mask-locked: 5-10x efficiency improvement</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PROJECTION</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Requires FPGA validation; see methodology</w:t>
            </w:r>
          </w:p>
        </w:tc>
      </w:tr>
    </w:tbl>
    <w:p>
      <w:pPr>
        <w:spacing w:after="200" w:before="120"/>
        <w:jc w:val="center"/>
      </w:pPr>
      <w:r>
        <w:rPr>
          <w:i/>
          <w:iCs/>
          <w:color w:val="64748B"/>
          <w:sz w:val="18"/>
          <w:szCs w:val="18"/>
        </w:rPr>
        <w:t xml:space="preserve">Table 1: Verification status of key claims made in this document</w:t>
      </w:r>
    </w:p>
    <w:p>
      <w:pPr>
        <w:pStyle w:val="Heading1"/>
      </w:pPr>
      <w:r>
        <w:t xml:space="preserve">2. Technical Foundation</w:t>
      </w:r>
    </w:p>
    <w:p>
      <w:pPr>
        <w:pStyle w:val="Heading2"/>
      </w:pPr>
      <w:r>
        <w:t xml:space="preserve">2.1 The Memory Bandwidth Problem</w:t>
      </w:r>
    </w:p>
    <w:p>
      <w:pPr>
        <w:spacing w:after="120"/>
      </w:pPr>
      <w:r>
        <w:rPr>
          <w:color w:val="1E293B"/>
        </w:rPr>
        <w:t xml:space="preserve">Modern LLM inference is fundamentally constrained by memory bandwidth. Consider a 7 billion parameter model running at INT4 precision: the model requires approximately 3.5 GB of weight storage, and generating each token requires reading all weights once (for a single batch). At 100 tokens per second, this demands 350 GB/s of sustained memory bandwidth—far exceeding what mobile-class memory can deliver. Even high-end desktop GPUs like the RTX 4090 provide only 1 TB/s of memory bandwidth, and this must be shared across all operations, not just weight fetches.</w:t>
      </w:r>
    </w:p>
    <w:p>
      <w:pPr>
        <w:spacing w:after="120"/>
      </w:pPr>
      <w:r>
        <w:rPr>
          <w:color w:val="1E293B"/>
        </w:rPr>
        <w:t xml:space="preserve">The energy cost is equally problematic. According to research published at HotCarbon 2024, each DRAM access consumes approximately 100x more energy than a corresponding SRAM access, and roughly 1000x more energy than a computation operation within the same SRAM. For LLM inference, where the arithmetic intensity (operations per byte fetched) is relatively low compared to compute-bound workloads, this memory energy dominates total system power. Studies show that 80-90% of AI computing power is now used for inference rather than training, making inference efficiency critical for both cost and environmental impact.</w:t>
      </w:r>
    </w:p>
    <w:p>
      <w:pPr>
        <w:spacing w:after="200"/>
      </w:pPr>
      <w:r>
        <w:rPr>
          <w:color w:val="1E293B"/>
        </w:rPr>
        <w:t xml:space="preserve">Mask-locked weights address this problem by encoding weights directly into the chip's metal interconnect layers. During manufacturing, the photomasks used to pattern metal traces encode specific weight values based on trace widths, spacing, and connectivity. The result is that weights exist as permanent physical structures with zero access latency, zero access energy, and effectively infinite bandwidth—the weights are always "present" at the compute elements without any fetch operation required.</w:t>
      </w:r>
    </w:p>
    <w:p>
      <w:pPr>
        <w:pStyle w:val="Heading2"/>
      </w:pPr>
      <w:r>
        <w:t xml:space="preserve">2.2 Quantization: Precision vs. Performance Trade-offs</w:t>
      </w:r>
    </w:p>
    <w:p>
      <w:pPr>
        <w:spacing w:after="120"/>
      </w:pPr>
      <w:r>
        <w:rPr>
          <w:color w:val="1E293B"/>
        </w:rPr>
        <w:t xml:space="preserve">The feasibility of mask-locked weights depends critically on quantization—reducing the precision of weight values from the standard BF16 (16-bit brain floating point) to INT4 (4-bit integer). A comprehensive empirical study published in ACL 2025 ("Give Me BF16 or Give Me Death? Accuracy-Performance Trade-Offs in LLM Quantization"; arXiv:2411.02355) provides the most thorough analysis to date, evaluating FP8, INT8, and INT4 quantization across academic benchmarks and real-world tasks.</w:t>
      </w:r>
    </w:p>
    <w:p>
      <w:pPr>
        <w:spacing w:after="120"/>
      </w:pPr>
      <w:r>
        <w:rPr>
          <w:color w:val="1E293B"/>
        </w:rPr>
        <w:t xml:space="preserve">Key findings from this research indicate that INT4 quantization typically produces 4-6% degradation on MMLU (Massive Multitask Language Understanding) benchmarks, but more significant degradation (15-20%) on code generation tasks. This asymmetry has important implications for target applications: mask-locked chips optimized for natural language understanding may be viable with INT4 weights, while code generation applications may require INT8 or mixed-precision approaches.</w:t>
      </w:r>
    </w:p>
    <w:p>
      <w:pPr>
        <w:spacing w:after="200"/>
      </w:pPr>
      <w:r>
        <w:rPr>
          <w:color w:val="1E293B"/>
        </w:rPr>
        <w:t xml:space="preserve">For a mask-locked implementation, INT4 offers a compelling trade-off: a 1 billion parameter model requires only 500 MB of weight storage at INT4 versus 2 GB at BF16, reducing die area requirements by 4x. The ACL 2025 study's finding that INT4 maintains over 99% accuracy across long-context tasks (4K to 64K sequence lengths) further supports the viability of this approach for edge inference applications where context length matters.</w:t>
      </w:r>
    </w:p>
    <w:p>
      <w:pPr>
        <w:pStyle w:val="Heading2"/>
      </w:pPr>
      <w:r>
        <w:t xml:space="preserve">2.3 Competitive Landscape: Verified Performance Claims</w:t>
      </w:r>
    </w:p>
    <w:p>
      <w:pPr>
        <w:spacing w:after="120"/>
      </w:pPr>
      <w:r>
        <w:rPr>
          <w:color w:val="1E293B"/>
        </w:rPr>
        <w:t xml:space="preserve">Understanding the competitive landscape requires distinguishing between verified performance metrics and company claims. The following analysis presents only verified or clearly labeled claimed metrics.</w:t>
      </w:r>
    </w:p>
    <w:p>
      <w:pPr>
        <w:spacing w:after="120"/>
      </w:pPr>
      <w:r>
        <w:rPr>
          <w:b/>
          <w:bCs/>
          <w:color w:val="020617"/>
        </w:rPr>
        <w:t xml:space="preserve">IBM NorthPole</w:t>
      </w:r>
      <w:r>
        <w:rPr>
          <w:color w:val="1E293B"/>
        </w:rPr>
        <w:t xml:space="preserve">: Research published in September 2024 demonstrates that IBM's NorthPole chip, manufactured in 12nm process technology, achieves 46.9x better latency (ms/token) compared to a 5nm GPU for LLM inference workloads. This is a verified, independently published result that demonstrates the potential of specialized architectures for inference workloads.</w:t>
      </w:r>
    </w:p>
    <w:p>
      <w:pPr>
        <w:spacing w:after="120"/>
      </w:pPr>
      <w:r>
        <w:rPr>
          <w:b/>
          <w:bCs/>
          <w:color w:val="020617"/>
        </w:rPr>
        <w:t xml:space="preserve">NVIDIA GB200 Grace Blackwell</w:t>
      </w:r>
      <w:r>
        <w:rPr>
          <w:color w:val="1E293B"/>
        </w:rPr>
        <w:t xml:space="preserve">: According to NVIDIA's published technical documentation, the GB200 superchip demonstrates 25x energy efficiency improvement over the prior Hopper GPU generation in AI inference tasks. This is a company claim that reflects generational improvement in general-purpose GPU architecture.</w:t>
      </w:r>
    </w:p>
    <w:p>
      <w:pPr>
        <w:spacing w:after="120"/>
      </w:pPr>
      <w:r>
        <w:rPr>
          <w:b/>
          <w:bCs/>
          <w:color w:val="020617"/>
        </w:rPr>
        <w:t xml:space="preserve">Etched Sohu</w:t>
      </w:r>
      <w:r>
        <w:rPr>
          <w:color w:val="1E293B"/>
        </w:rPr>
        <w:t xml:space="preserve">: Etched, which raised $120M Series A in June 2024 and subsequently $500M at $5B valuation, </w:t>
      </w:r>
      <w:r>
        <w:rPr>
          <w:i/>
          <w:iCs/>
          <w:color w:val="1E293B"/>
        </w:rPr>
        <w:t xml:space="preserve">claims</w:t>
      </w:r>
      <w:r>
        <w:rPr>
          <w:color w:val="1E293B"/>
        </w:rPr>
        <w:t xml:space="preserve"> their transformer-specific ASIC delivers 20x speedup over NVIDIA H100. The company reports the chip is manufactured on TSMC 4nm process with 144GB HBM3E memory. These specifications are company claims; independent benchmarking has not yet been published.</w:t>
      </w:r>
    </w:p>
    <w:p>
      <w:pPr>
        <w:spacing w:after="120"/>
      </w:pPr>
      <w:r>
        <w:rPr>
          <w:b/>
          <w:bCs/>
          <w:color w:val="020617"/>
        </w:rPr>
        <w:t xml:space="preserve">Groq LPU</w:t>
      </w:r>
      <w:r>
        <w:rPr>
          <w:color w:val="1E293B"/>
        </w:rPr>
        <w:t xml:space="preserve">: Groq's Language Processing Unit architecture prioritizes deterministic, high-throughput inference. In December 2025, NVIDIA entered into a $20 billion non-exclusive licensing agreement for Groq's inference technology, with Groq founder Jonathan Ross and President Sunny Madra joining NVIDIA. Importantly, </w:t>
      </w:r>
      <w:r>
        <w:rPr>
          <w:b/>
          <w:bCs/>
          <w:color w:val="020617"/>
        </w:rPr>
        <w:t xml:space="preserve">Groq was not acquired and continues independent operations</w:t>
      </w:r>
      <w:r>
        <w:rPr>
          <w:color w:val="1E293B"/>
        </w:rPr>
        <w:t xml:space="preserve">. This transaction structure validates the licensing model as a viable exit path for specialized inference technology companies.</w:t>
      </w:r>
    </w:p>
    <w:p>
      <w:pPr>
        <w:spacing w:after="200"/>
      </w:pPr>
      <w:r>
        <w:rPr>
          <w:b/>
          <w:bCs/>
          <w:color w:val="020617"/>
        </w:rPr>
        <w:t xml:space="preserve">Mythic</w:t>
      </w:r>
      <w:r>
        <w:rPr>
          <w:color w:val="1E293B"/>
        </w:rPr>
        <w:t xml:space="preserve">: Mythic, which raised $125M in December 2025, claims their analog processing units achieve up to 750x more tokens per second per watt for 1 trillion parameter LLMs compared to NVIDIA solutions. This approach uses analog flash memory for weight storage, representing an alternative path to mask-locked weights for eliminating memory bandwidth constraints.</w:t>
      </w:r>
    </w:p>
    <w:p>
      <w:pPr>
        <w:pStyle w:val="Heading1"/>
      </w:pPr>
      <w:r>
        <w:t xml:space="preserve">3. SD Card Form Factor: Technical Analysis</w:t>
      </w:r>
    </w:p>
    <w:p>
      <w:pPr>
        <w:pStyle w:val="Heading2"/>
      </w:pPr>
      <w:r>
        <w:t xml:space="preserve">3.1 Interface Specifications</w:t>
      </w:r>
    </w:p>
    <w:p>
      <w:pPr>
        <w:spacing w:after="120"/>
      </w:pPr>
      <w:r>
        <w:rPr>
          <w:color w:val="1E293B"/>
        </w:rPr>
        <w:t xml:space="preserve">The SD Express specification defines a PCIe Gen3 x1 interface providing 985 MB/s bidirectional bandwidth. For LLM inference at the edge, token generation rates are typically limited by compute rather than I/O. Consider the math: generating 100 tokens/second for a 1 billion parameter INT4 model requires transferring approximately 800 bytes of output tokens per second—orders of magnitude below the SD Express bandwidth ceiling. The interface constraint is not bandwidth but power: the SD card specification allows maximum 1.65W power draw, rising to 1.8W for the microSD form factor.</w:t>
      </w:r>
    </w:p>
    <w:p>
      <w:pPr>
        <w:spacing w:after="200"/>
      </w:pPr>
      <w:r>
        <w:rPr>
          <w:color w:val="1E293B"/>
        </w:rPr>
        <w:t xml:space="preserve">Power budget analysis for a mask-locked 1B INT4 model within 1.65W constraint shows this is feasible but tight. Without weight fetch energy (the key advantage of mask-locked architecture), the primary power consumers are: (1) MAC array operations, (2) activation memory access, (3) control logic, and (4) I/O transceivers. Preliminary estimates suggest a well-optimized design could achieve 50-80 tokens/second within the SD power envelope, though this requires FPGA validation to confirm.</w:t>
      </w:r>
    </w:p>
    <w:p>
      <w:pPr>
        <w:pStyle w:val="Heading2"/>
      </w:pPr>
      <w:r>
        <w:t xml:space="preserve">3.2 Physical Implementation Challenges</w:t>
      </w:r>
    </w:p>
    <w:p>
      <w:pPr>
        <w:spacing w:after="120"/>
      </w:pPr>
      <w:r>
        <w:rPr>
          <w:color w:val="1E293B"/>
        </w:rPr>
        <w:t xml:space="preserve">The SD card form factor (32mm x 24mm x 2.1mm) presents significant packaging challenges. Standard SD card PCBs typically use 4-6 layer construction, but a mask-locked inference chip may require specialized packaging to accommodate the compute die and any necessary external memory (activations cannot be mask-locked). A more practical approach may be an M.2 2230 form factor (22mm x 30mm), which is only slightly larger but provides standard PCIe interfaces, better thermal management, and is already designed for high-speed storage devices.</w:t>
      </w:r>
    </w:p>
    <w:p>
      <w:pPr>
        <w:spacing w:after="200"/>
      </w:pPr>
      <w:r>
        <w:rPr>
          <w:color w:val="1E293B"/>
        </w:rPr>
        <w:t xml:space="preserve">The strategic positioning is dual: SD card form factor for embedded devices (IoT, medical equipment, automotive infotainment systems with SD slots) and M.2 form factor for industrial edge computing, embedded PCs, and developer workstations. This dual approach addresses different market segments while sharing a common silicon design.</w:t>
      </w:r>
    </w:p>
    <w:p>
      <w:pPr>
        <w:pStyle w:val="Heading1"/>
      </w:pPr>
      <w:r>
        <w:t xml:space="preserve">4. Validation Framework: Gates G1-G4</w:t>
      </w:r>
    </w:p>
    <w:p>
      <w:pPr>
        <w:spacing w:after="120"/>
      </w:pPr>
      <w:r>
        <w:rPr>
          <w:color w:val="1E293B"/>
        </w:rPr>
        <w:t xml:space="preserve">A rigorous validation framework is essential for a solo developer with limited resources. The following four gates provide objective criteria for continuing or aborting the project at each stage. Each gate includes specific deliverables, success criteria, and abort conditions. This approach prevents sunk-cost fallacy and ensures capital preservation.</w:t>
      </w:r>
    </w:p>
    <w:p>
      <w:pPr>
        <w:pStyle w:val="Heading2"/>
      </w:pPr>
      <w:r>
        <w:t xml:space="preserve">Gate G1: Technical Feasibility (Month 3)</w:t>
      </w:r>
    </w:p>
    <w:p>
      <w:pPr>
        <w:pStyle w:val="ListParagraph"/>
        <w:numPr>
          <w:ilvl w:val="0"/>
          <w:numId w:val="2"/>
        </w:numPr>
        <w:spacing w:after="60"/>
      </w:pPr>
      <w:r>
        <w:rPr>
          <w:color w:val="1E293B"/>
        </w:rPr>
        <w:t xml:space="preserve">Deliverables: (1) FPGA prototype demonstrating INT4 inference at &gt;30 tok/s, (2) Power measurement &lt;2W, (3) Accuracy within 10% of baseline</w:t>
      </w:r>
    </w:p>
    <w:p>
      <w:pPr>
        <w:pStyle w:val="ListParagraph"/>
        <w:numPr>
          <w:ilvl w:val="0"/>
          <w:numId w:val="2"/>
        </w:numPr>
        <w:spacing w:after="60"/>
      </w:pPr>
      <w:r>
        <w:rPr>
          <w:color w:val="1E293B"/>
        </w:rPr>
        <w:t xml:space="preserve">Success Criteria: All three deliverables met with documented methodology</w:t>
      </w:r>
    </w:p>
    <w:p>
      <w:pPr>
        <w:pStyle w:val="ListParagraph"/>
        <w:numPr>
          <w:ilvl w:val="0"/>
          <w:numId w:val="2"/>
        </w:numPr>
        <w:spacing w:after="120"/>
      </w:pPr>
      <w:r>
        <w:rPr>
          <w:color w:val="1E293B"/>
        </w:rPr>
        <w:t xml:space="preserve">Abort Condition: If FPGA prototype exceeds 5W power or accuracy degrades &gt;15%, revise architecture or terminate</w:t>
      </w:r>
    </w:p>
    <w:p>
      <w:pPr>
        <w:spacing w:after="200"/>
      </w:pPr>
      <w:r>
        <w:rPr>
          <w:color w:val="1E293B"/>
        </w:rPr>
        <w:t xml:space="preserve">Cost Estimate: $200-500 for development board (e.g., Xilinx Zynq, Intel Cyclone) plus time investment of 200-400 hours. This is the highest-ROI validation step: it confirms the fundamental architecture before any significant capital commitment.</w:t>
      </w:r>
    </w:p>
    <w:p>
      <w:pPr>
        <w:pStyle w:val="Heading2"/>
      </w:pPr>
      <w:r>
        <w:t xml:space="preserve">Gate G2: Market Validation (Month 6)</w:t>
      </w:r>
    </w:p>
    <w:p>
      <w:pPr>
        <w:pStyle w:val="ListParagraph"/>
        <w:numPr>
          <w:ilvl w:val="0"/>
          <w:numId w:val="2"/>
        </w:numPr>
        <w:spacing w:after="60"/>
      </w:pPr>
      <w:r>
        <w:rPr>
          <w:color w:val="1E293B"/>
        </w:rPr>
        <w:t xml:space="preserve">Deliverables: (1) 10+ potential customer conversations, (2) 3+ Letters of Intent (non-binding), (3) Clear product-market fit hypothesis</w:t>
      </w:r>
    </w:p>
    <w:p>
      <w:pPr>
        <w:pStyle w:val="ListParagraph"/>
        <w:numPr>
          <w:ilvl w:val="0"/>
          <w:numId w:val="2"/>
        </w:numPr>
        <w:spacing w:after="60"/>
      </w:pPr>
      <w:r>
        <w:rPr>
          <w:color w:val="1E293B"/>
        </w:rPr>
        <w:t xml:space="preserve">Success Criteria: At least one LOI from a company with &gt;$10M annual revenue or equivalent credibility indicator</w:t>
      </w:r>
    </w:p>
    <w:p>
      <w:pPr>
        <w:pStyle w:val="ListParagraph"/>
        <w:numPr>
          <w:ilvl w:val="0"/>
          <w:numId w:val="2"/>
        </w:numPr>
        <w:spacing w:after="120"/>
      </w:pPr>
      <w:r>
        <w:rPr>
          <w:color w:val="1E293B"/>
        </w:rPr>
        <w:t xml:space="preserve">Abort Condition: If unable to generate customer interest after 50+ outreach attempts, consider pivot or termination</w:t>
      </w:r>
    </w:p>
    <w:p>
      <w:pPr>
        <w:spacing w:after="200"/>
      </w:pPr>
      <w:r>
        <w:rPr>
          <w:color w:val="1E293B"/>
        </w:rPr>
        <w:t xml:space="preserve">Cost Estimate: $0-1000 for travel, demo equipment, and presentation materials. Time investment: 100-200 hours for outreach and meetings. This gate validates that the technology solves a problem someone will pay to have solved.</w:t>
      </w:r>
    </w:p>
    <w:p>
      <w:pPr>
        <w:pStyle w:val="Heading2"/>
      </w:pPr>
      <w:r>
        <w:t xml:space="preserve">Gate G3: ASIC Design Win (Month 12)</w:t>
      </w:r>
    </w:p>
    <w:p>
      <w:pPr>
        <w:pStyle w:val="ListParagraph"/>
        <w:numPr>
          <w:ilvl w:val="0"/>
          <w:numId w:val="2"/>
        </w:numPr>
        <w:spacing w:after="60"/>
      </w:pPr>
      <w:r>
        <w:rPr>
          <w:color w:val="1E293B"/>
        </w:rPr>
        <w:t xml:space="preserve">Deliverables: (1) Complete RTL design passing OpenROAD synthesis, (2) Post-synthesis timing/power estimates meeting specifications, (3) At least one paying customer or committed investor</w:t>
      </w:r>
    </w:p>
    <w:p>
      <w:pPr>
        <w:pStyle w:val="ListParagraph"/>
        <w:numPr>
          <w:ilvl w:val="0"/>
          <w:numId w:val="2"/>
        </w:numPr>
        <w:spacing w:after="60"/>
      </w:pPr>
      <w:r>
        <w:rPr>
          <w:color w:val="1E293B"/>
        </w:rPr>
        <w:t xml:space="preserve">Success Criteria: Design passes timing closure at target frequency; power estimates within 20% of FPGA measurements</w:t>
      </w:r>
    </w:p>
    <w:p>
      <w:pPr>
        <w:pStyle w:val="ListParagraph"/>
        <w:numPr>
          <w:ilvl w:val="0"/>
          <w:numId w:val="2"/>
        </w:numPr>
        <w:spacing w:after="120"/>
      </w:pPr>
      <w:r>
        <w:rPr>
          <w:color w:val="1E293B"/>
        </w:rPr>
        <w:t xml:space="preserve">Abort Condition: If synthesis reveals die size &gt;300mm² or power &gt;5W for target performance, reconsider architecture</w:t>
      </w:r>
    </w:p>
    <w:p>
      <w:pPr>
        <w:spacing w:after="200"/>
      </w:pPr>
      <w:r>
        <w:rPr>
          <w:color w:val="1E293B"/>
        </w:rPr>
        <w:t xml:space="preserve">Cost Estimate: $500-2000 for EDA tool licenses (OpenROAD is free but commercial tools may accelerate development), compute resources for synthesis runs, and prototype board fabrication. Time investment: 400-800 hours. This gate confirms the design is manufacturable before committing to MPW costs.</w:t>
      </w:r>
    </w:p>
    <w:p>
      <w:pPr>
        <w:pStyle w:val="Heading2"/>
      </w:pPr>
      <w:r>
        <w:t xml:space="preserve">Gate G4: Silicon or Pivot (Month 18)</w:t>
      </w:r>
    </w:p>
    <w:p>
      <w:pPr>
        <w:pStyle w:val="ListParagraph"/>
        <w:numPr>
          <w:ilvl w:val="0"/>
          <w:numId w:val="2"/>
        </w:numPr>
        <w:spacing w:after="60"/>
      </w:pPr>
      <w:r>
        <w:rPr>
          <w:color w:val="1E293B"/>
        </w:rPr>
        <w:t xml:space="preserve">Deliverables: (1) MPW shuttle slot confirmed, (2) Funding secured for tape-out ($10-50K), (3) Customer committed to evaluation units</w:t>
      </w:r>
    </w:p>
    <w:p>
      <w:pPr>
        <w:pStyle w:val="ListParagraph"/>
        <w:numPr>
          <w:ilvl w:val="0"/>
          <w:numId w:val="2"/>
        </w:numPr>
        <w:spacing w:after="60"/>
      </w:pPr>
      <w:r>
        <w:rPr>
          <w:color w:val="1E293B"/>
        </w:rPr>
        <w:t xml:space="preserve">Success Criteria: Functional silicon samples returned from foundry meeting specifications</w:t>
      </w:r>
    </w:p>
    <w:p>
      <w:pPr>
        <w:pStyle w:val="ListParagraph"/>
        <w:numPr>
          <w:ilvl w:val="0"/>
          <w:numId w:val="2"/>
        </w:numPr>
        <w:spacing w:after="120"/>
      </w:pPr>
      <w:r>
        <w:rPr>
          <w:color w:val="1E293B"/>
        </w:rPr>
        <w:t xml:space="preserve">Pivot Options: If G4 is reached but silicon fails, options include: (a) license RTL to established semiconductor company, (b) pivot to FPGA product, (c) seek acquisition of IP</w:t>
      </w:r>
    </w:p>
    <w:p>
      <w:pPr>
        <w:spacing w:after="200"/>
      </w:pPr>
      <w:r>
        <w:rPr>
          <w:color w:val="1E293B"/>
        </w:rPr>
        <w:t xml:space="preserve">Cost Estimate: $10,000-50,000 for MPW shuttle (TinyTapeout offers lower-cost options for smaller designs; IHP shuttles now active for standard cells). This is the point of no return: significant capital commitment requiring clear path to revenue or licensing deal.</w:t>
      </w:r>
    </w:p>
    <w:p>
      <w:pPr>
        <w:pStyle w:val="Heading1"/>
      </w:pPr>
      <w:r>
        <w:t xml:space="preserve">5. Development Toolchain for Solo Developers</w:t>
      </w:r>
    </w:p>
    <w:p>
      <w:pPr>
        <w:pStyle w:val="Heading2"/>
      </w:pPr>
      <w:r>
        <w:t xml:space="preserve">5.1 Open-Source EDA Flow</w:t>
      </w:r>
    </w:p>
    <w:p>
      <w:pPr>
        <w:spacing w:after="120"/>
      </w:pPr>
      <w:r>
        <w:rPr>
          <w:color w:val="1E293B"/>
        </w:rPr>
        <w:t xml:space="preserve">The OpenROAD project provides a complete RTL-to-GDSII flow for free, enabling autonomous ASIC design without commercial EDA tool licenses. The project reports successful tape-outs using this flow, making it viable for solo developers. Key components include: (1) Yosys for synthesis, (2) OpenROAD for place-and-route, (3) OpenSTA for static timing analysis, and (4) KLayout for layout verification. The learning curve is steep but surmountable: the Zero to ASIC course estimates 40-80 hours to proficiency.</w:t>
      </w:r>
    </w:p>
    <w:p>
      <w:pPr>
        <w:spacing w:after="200"/>
      </w:pPr>
      <w:r>
        <w:rPr>
          <w:color w:val="1E293B"/>
        </w:rPr>
        <w:t xml:space="preserve">For RTL development, Chisel HDL offers significant advantages for parameterized designs. A mask-locked inference chip with configurable model sizes and precisions maps naturally to Chisel's generator-based approach. The ability to generate multiple RTL variants from a single parameterized description accelerates design space exploration.</w:t>
      </w:r>
    </w:p>
    <w:p>
      <w:pPr>
        <w:pStyle w:val="Heading2"/>
      </w:pPr>
      <w:r>
        <w:t xml:space="preserve">5.2 MPW Services and Foundry Access</w:t>
      </w:r>
    </w:p>
    <w:p>
      <w:pPr>
        <w:spacing w:after="120"/>
      </w:pPr>
      <w:r>
        <w:rPr>
          <w:b/>
          <w:bCs/>
          <w:color w:val="020617"/>
        </w:rPr>
        <w:t xml:space="preserve">TinyTapeout</w:t>
      </w:r>
      <w:r>
        <w:rPr>
          <w:color w:val="1E293B"/>
        </w:rPr>
        <w:t xml:space="preserve"> provides the lowest-cost path to silicon for small designs (&lt;1mm²). Following Efabless's operational changes (the company was acquired by GlobalFoundries and remains operational, contrary to earlier reports of shutdown), TinyTapeout has partnered with IHP (Innovations for High Performance Microelectronics, a German research institute) to continue shuttle services. The Tiny Tapeout IHP 26a shuttle is currently active, with submissions accepted for subsequent shuttles.</w:t>
      </w:r>
    </w:p>
    <w:p>
      <w:pPr>
        <w:spacing w:after="200"/>
      </w:pPr>
      <w:r>
        <w:rPr>
          <w:color w:val="1E293B"/>
        </w:rPr>
        <w:t xml:space="preserve">For larger designs, SkyWater 130nm (through the Google-sponsored Open MPW program, when available) or IHP 130nm/250nm processes offer standard cell ASIC capability at relatively low cost. A mask-locked 1B INT4 model targeting 50-100 tok/s may require 40-80mm² in 130nm, pushing toward the upper limit of MPW affordability. The cost-benefit analysis must weigh MPW cost against target market pricing.</w:t>
      </w:r>
    </w:p>
    <w:p>
      <w:pPr>
        <w:pStyle w:val="Heading2"/>
      </w:pPr>
      <w:r>
        <w:t xml:space="preserve">5.3 AI Agent Orchestration for Development</w:t>
      </w:r>
    </w:p>
    <w:p>
      <w:pPr>
        <w:spacing w:after="120"/>
      </w:pPr>
      <w:r>
        <w:rPr>
          <w:color w:val="1E293B"/>
        </w:rPr>
        <w:t xml:space="preserve">For a solo developer, AI agents can function as force multipliers, effectively expanding team capacity without additional headcount. Current agent orchestration platforms include Manus.im (autonomous AI agents for complex tasks), AutoGen (Microsoft's multi-agent conversation framework), and CrewAI (role-based agent collaboration). These tools can accelerate code review, documentation generation, and design exploration.</w:t>
      </w:r>
    </w:p>
    <w:p>
      <w:pPr>
        <w:spacing w:after="120"/>
      </w:pPr>
      <w:r>
        <w:rPr>
          <w:b/>
          <w:bCs/>
          <w:color w:val="020617"/>
        </w:rPr>
        <w:t xml:space="preserve">Critical limitation: </w:t>
      </w:r>
      <w:r>
        <w:rPr>
          <w:color w:val="1E293B"/>
        </w:rPr>
        <w:t xml:space="preserve">AI agents should not be used for legal documents, patent filings, or any documents with liability implications. These require qualified legal counsel. Agents can draft initial versions for attorney review, but the final documents must be lawyer-reviewed and approved.</w:t>
      </w:r>
    </w:p>
    <w:p>
      <w:pPr>
        <w:spacing w:after="200"/>
      </w:pPr>
      <w:r>
        <w:rPr>
          <w:color w:val="1E293B"/>
        </w:rPr>
        <w:t xml:space="preserve">For codebase management, a hybrid approach is recommended: GitHub for version control and collaboration, Cloudflare R2 for large artifacts (synthesis outputs, simulation results), and local development environment for iterative work. Cloudflare's Vectorize and D1 are not recommended as primary code repositories; they serve different purposes (vector search and SQL database respectively).</w:t>
      </w:r>
    </w:p>
    <w:p>
      <w:pPr>
        <w:pStyle w:val="Heading1"/>
      </w:pPr>
      <w:r>
        <w:t xml:space="preserve">6. Financial Model and Assumptions</w:t>
      </w:r>
    </w:p>
    <w:p>
      <w:pPr>
        <w:spacing w:after="120"/>
      </w:pPr>
      <w:r>
        <w:rPr>
          <w:color w:val="1E293B"/>
        </w:rPr>
        <w:t xml:space="preserve">The following financial projections are illustrative scenarios, not forecasts. They are based on stated assumptions that may not hold in practice. The model is presented to show the logic connecting unit volume, pricing, and revenue rather than to predict actual outcomes.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00"/>
        <w:gridCol w:w="1800"/>
        <w:gridCol w:w="1800"/>
        <w:gridCol w:w="1800"/>
        <w:gridCol w:w="2160"/>
      </w:tblGrid>
      <w:tr>
        <w:trPr>
          <w:tblHeader/>
        </w:trPr>
        <w:tc>
          <w:tcPr>
            <w:tcW w:type="dxa" w:w="18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Year</w:t>
            </w:r>
          </w:p>
        </w:tc>
        <w:tc>
          <w:tcPr>
            <w:tcW w:type="dxa" w:w="18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Units</w:t>
            </w:r>
          </w:p>
        </w:tc>
        <w:tc>
          <w:tcPr>
            <w:tcW w:type="dxa" w:w="18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Avg Price</w:t>
            </w:r>
          </w:p>
        </w:tc>
        <w:tc>
          <w:tcPr>
            <w:tcW w:type="dxa" w:w="18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Licenses</w:t>
            </w:r>
          </w:p>
        </w:tc>
        <w:tc>
          <w:tcPr>
            <w:tcW w:type="dxa" w:w="21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Revenue</w:t>
            </w:r>
          </w:p>
        </w:tc>
      </w:tr>
      <w:tr>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Year 1</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5,000</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$35</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0</w:t>
            </w:r>
          </w:p>
        </w:tc>
        <w:tc>
          <w:tcPr>
            <w:tcW w:type="dxa" w:w="216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$175,000</w:t>
            </w:r>
          </w:p>
        </w:tc>
      </w:tr>
      <w:tr>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Year 2</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25,000</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$40</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2</w:t>
            </w:r>
          </w:p>
        </w:tc>
        <w:tc>
          <w:tcPr>
            <w:tcW w:type="dxa" w:w="216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$1,000,000</w:t>
            </w:r>
          </w:p>
        </w:tc>
      </w:tr>
      <w:tr>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Year 3</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75,000</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$45</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5</w:t>
            </w:r>
          </w:p>
        </w:tc>
        <w:tc>
          <w:tcPr>
            <w:tcW w:type="dxa" w:w="216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$3,375,000</w:t>
            </w:r>
          </w:p>
        </w:tc>
      </w:tr>
      <w:tr>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Year 5</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400,000</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$50</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15</w:t>
            </w:r>
          </w:p>
        </w:tc>
        <w:tc>
          <w:tcPr>
            <w:tcW w:type="dxa" w:w="216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$15,000,000</w:t>
            </w:r>
          </w:p>
        </w:tc>
      </w:tr>
    </w:tbl>
    <w:p>
      <w:pPr>
        <w:spacing w:after="120" w:before="120"/>
        <w:jc w:val="center"/>
      </w:pPr>
      <w:r>
        <w:rPr>
          <w:i/>
          <w:iCs/>
          <w:color w:val="64748B"/>
          <w:sz w:val="18"/>
          <w:szCs w:val="18"/>
        </w:rPr>
        <w:t xml:space="preserve">Table 2: Illustrative revenue scenario (NOT a forecast)</w:t>
      </w:r>
    </w:p>
    <w:p>
      <w:pPr>
        <w:pStyle w:val="Heading2"/>
      </w:pPr>
      <w:r>
        <w:t xml:space="preserve">6.1 Key Assumptions and Caveats</w:t>
      </w:r>
    </w:p>
    <w:p>
      <w:pPr>
        <w:spacing w:after="120"/>
      </w:pPr>
      <w:r>
        <w:rPr>
          <w:color w:val="1E293B"/>
        </w:rPr>
        <w:t xml:space="preserve">The financial model above assumes linear progression from prototype to scale, which rarely occurs in practice. Critical assumptions include:</w:t>
      </w:r>
    </w:p>
    <w:p>
      <w:pPr>
        <w:pStyle w:val="ListParagraph"/>
        <w:numPr>
          <w:ilvl w:val="0"/>
          <w:numId w:val="3"/>
        </w:numPr>
        <w:spacing w:after="60"/>
      </w:pPr>
      <w:r>
        <w:rPr>
          <w:color w:val="1E293B"/>
        </w:rPr>
        <w:t xml:space="preserve">Customer Acquisition: Assumes direct sales without established distribution channels. Hardware companies typically require 12-24 month sales cycles for enterprise customers. The model does not account for customer acquisition cost.</w:t>
      </w:r>
    </w:p>
    <w:p>
      <w:pPr>
        <w:pStyle w:val="ListParagraph"/>
        <w:numPr>
          <w:ilvl w:val="0"/>
          <w:numId w:val="3"/>
        </w:numPr>
        <w:spacing w:after="60"/>
      </w:pPr>
      <w:r>
        <w:rPr>
          <w:color w:val="1E293B"/>
        </w:rPr>
        <w:t xml:space="preserve">Channel Development: Selling 400,000 units annually requires distribution partnerships with electronics distributors (Digi-Key, Mouser, Arrow) or OEM relationships. These require time and margin sacrifice to establish.</w:t>
      </w:r>
    </w:p>
    <w:p>
      <w:pPr>
        <w:pStyle w:val="ListParagraph"/>
        <w:numPr>
          <w:ilvl w:val="0"/>
          <w:numId w:val="3"/>
        </w:numPr>
        <w:spacing w:after="60"/>
      </w:pPr>
      <w:r>
        <w:rPr>
          <w:color w:val="1E293B"/>
        </w:rPr>
        <w:t xml:space="preserve">Competition Response: Success will attract competitive responses from established players. The model assumes no significant competitive pressure on pricing.</w:t>
      </w:r>
    </w:p>
    <w:p>
      <w:pPr>
        <w:pStyle w:val="ListParagraph"/>
        <w:numPr>
          <w:ilvl w:val="0"/>
          <w:numId w:val="3"/>
        </w:numPr>
        <w:spacing w:after="60"/>
      </w:pPr>
      <w:r>
        <w:rPr>
          <w:color w:val="1E293B"/>
        </w:rPr>
        <w:t xml:space="preserve">Manufacturing Scale: Assumes access to foundry capacity at competitive pricing. A solo developer may face higher costs than established fabless semiconductor companies.</w:t>
      </w:r>
    </w:p>
    <w:p>
      <w:pPr>
        <w:pStyle w:val="ListParagraph"/>
        <w:numPr>
          <w:ilvl w:val="0"/>
          <w:numId w:val="3"/>
        </w:numPr>
        <w:spacing w:after="200"/>
      </w:pPr>
      <w:r>
        <w:rPr>
          <w:color w:val="1E293B"/>
        </w:rPr>
        <w:t xml:space="preserve">License Revenue: Assumes closed-model providers (OpenAI, Anthropic) will license hardware for their models. This is an untested market hypothesis requiring validation.</w:t>
      </w:r>
    </w:p>
    <w:p>
      <w:pPr>
        <w:pStyle w:val="Heading1"/>
      </w:pPr>
      <w:r>
        <w:t xml:space="preserve">7. Exit Strategy Analysis</w:t>
      </w:r>
    </w:p>
    <w:p>
      <w:pPr>
        <w:pStyle w:val="Heading2"/>
      </w:pPr>
      <w:r>
        <w:t xml:space="preserve">7.1 The Groq-NVIDIA Transaction: Lessons Learned</w:t>
      </w:r>
    </w:p>
    <w:p>
      <w:pPr>
        <w:spacing w:after="120"/>
      </w:pPr>
      <w:r>
        <w:rPr>
          <w:color w:val="1E293B"/>
        </w:rPr>
        <w:t xml:space="preserve">The December 2025 NVIDIA-Groq transaction provides the most relevant precedent for exit strategy. Critically, this was NOT an acquisition but a licensing deal with talent transfer. NVIDIA paid $20 billion for a non-exclusive license to Groq's inference technology, while Groq founder Jonathan Ross and President Sunny Madra joined NVIDIA. Groq continues operating independently under new CEO Simon Edwards, with GroqCloud services continuing uninterrupted.</w:t>
      </w:r>
    </w:p>
    <w:p>
      <w:pPr>
        <w:spacing w:after="200"/>
      </w:pPr>
      <w:r>
        <w:rPr>
          <w:color w:val="1E293B"/>
        </w:rPr>
        <w:t xml:space="preserve">This transaction structure validates several hypotheses: (1) Large technology companies value specialized inference technology enough to pay significant sums for licensing rights, (2) Licensing allows the technology provider to remain independent and potentially license to multiple customers, (3) Talent acquisition is a component of technology licensing deals, (4) A licensing exit does not require giving up the company or technology entirely. For a mask-locked inference chip developer, this precedent suggests pursuing licensing discussions with multiple potential partners rather than seeking outright acquisition.</w:t>
      </w:r>
    </w:p>
    <w:p>
      <w:pPr>
        <w:pStyle w:val="Heading2"/>
      </w:pPr>
      <w:r>
        <w:t xml:space="preserve">7.2 Potential Acquirers and Partners</w:t>
      </w:r>
    </w:p>
    <w:p>
      <w:pPr>
        <w:spacing w:after="120"/>
      </w:pPr>
      <w:r>
        <w:rPr>
          <w:b/>
          <w:bCs/>
          <w:color w:val="020617"/>
        </w:rPr>
        <w:t xml:space="preserve">Texas Instruments</w:t>
      </w:r>
      <w:r>
        <w:rPr>
          <w:color w:val="1E293B"/>
        </w:rPr>
        <w:t xml:space="preserve"> announced the acquisition of Silicon Labs for $7.5 billion on February 4, 2026 (expected close H1 2027). This transaction signals TI's strategic interest in expanding embedded and wireless capabilities. For a mask-locked inference chip targeting edge devices, TI's distribution network and embedded customer base represent strong strategic fit.</w:t>
      </w:r>
    </w:p>
    <w:p>
      <w:pPr>
        <w:spacing w:after="120"/>
      </w:pPr>
      <w:r>
        <w:rPr>
          <w:b/>
          <w:bCs/>
          <w:color w:val="020617"/>
        </w:rPr>
        <w:t xml:space="preserve">Qualcomm</w:t>
      </w:r>
      <w:r>
        <w:rPr>
          <w:color w:val="1E293B"/>
        </w:rPr>
        <w:t xml:space="preserve"> has invested heavily in edge AI through its Hexagon NPU architecture. The AI 100 Ultra claims 400 TOPS at 4W power, representing 100 TOPS/W efficiency. A mask-locked architecture could complement Qualcomm's existing AI acceleration portfolio, particularly for applications requiring deterministic inference without cloud connectivity.</w:t>
      </w:r>
    </w:p>
    <w:p>
      <w:pPr>
        <w:spacing w:after="200"/>
      </w:pPr>
      <w:r>
        <w:rPr>
          <w:b/>
          <w:bCs/>
          <w:color w:val="020617"/>
        </w:rPr>
        <w:t xml:space="preserve">NVIDIA</w:t>
      </w:r>
      <w:r>
        <w:rPr>
          <w:color w:val="1E293B"/>
        </w:rPr>
        <w:t xml:space="preserve">, following the Groq licensing deal, has demonstrated willingness to invest in specialized inference technology. While NVIDIA's primary business remains GPU-based solutions, the Groq transaction suggests openness to licensing alternative architectures for specific use cases. A mask-locked chip targeting ultra-low-power edge inference (below NVIDIA's typical power envelope) could represent a complementary technology.</w:t>
      </w:r>
    </w:p>
    <w:p>
      <w:pPr>
        <w:pStyle w:val="Heading1"/>
      </w:pPr>
      <w:r>
        <w:t xml:space="preserve">8. Risk Matrix and Mitigation Strategies</w:t>
      </w:r>
    </w:p>
    <w:p>
      <w:pPr>
        <w:spacing w:after="120"/>
      </w:pPr>
      <w:r>
        <w:rPr>
          <w:color w:val="1E293B"/>
        </w:rPr>
        <w:t xml:space="preserve">A comprehensive risk assessment must acknowledge both technical and market uncertainties. The following matrix quantifies risks based on probability and impact, with specific mitigation strategies for each.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1400"/>
        <w:gridCol w:w="1400"/>
        <w:gridCol w:w="4160"/>
      </w:tblGrid>
      <w:tr>
        <w:trPr>
          <w:tblHeader/>
        </w:trPr>
        <w:tc>
          <w:tcPr>
            <w:tcW w:type="dxa" w:w="24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Risk</w:t>
            </w:r>
          </w:p>
        </w:tc>
        <w:tc>
          <w:tcPr>
            <w:tcW w:type="dxa" w:w="14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Probability</w:t>
            </w:r>
          </w:p>
        </w:tc>
        <w:tc>
          <w:tcPr>
            <w:tcW w:type="dxa" w:w="14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Impact</w:t>
            </w:r>
          </w:p>
        </w:tc>
        <w:tc>
          <w:tcPr>
            <w:tcW w:type="dxa" w:w="41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Mitigation</w:t>
            </w:r>
          </w:p>
        </w:tc>
      </w:tr>
      <w:tr>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INT4 accuracy insufficient for target applications</w:t>
            </w:r>
          </w:p>
        </w:tc>
        <w:tc>
          <w:tcPr>
            <w:tcW w:type="dxa" w:w="14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Medium</w:t>
            </w:r>
          </w:p>
        </w:tc>
        <w:tc>
          <w:tcPr>
            <w:tcW w:type="dxa" w:w="14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High</w:t>
            </w:r>
          </w:p>
        </w:tc>
        <w:tc>
          <w:tcPr>
            <w:tcW w:type="dxa" w:w="41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Design mixed-precision architecture; target NLU over code generation</w:t>
            </w:r>
          </w:p>
        </w:tc>
      </w:tr>
      <w:tr>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SD power budget exceeded</w:t>
            </w:r>
          </w:p>
        </w:tc>
        <w:tc>
          <w:tcPr>
            <w:tcW w:type="dxa" w:w="14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Medium</w:t>
            </w:r>
          </w:p>
        </w:tc>
        <w:tc>
          <w:tcPr>
            <w:tcW w:type="dxa" w:w="14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Medium</w:t>
            </w:r>
          </w:p>
        </w:tc>
        <w:tc>
          <w:tcPr>
            <w:tcW w:type="dxa" w:w="41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Pivot to M.2 form factor; optimize microarchitecture</w:t>
            </w:r>
          </w:p>
        </w:tc>
      </w:tr>
      <w:tr>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No customer interest at target price</w:t>
            </w:r>
          </w:p>
        </w:tc>
        <w:tc>
          <w:tcPr>
            <w:tcW w:type="dxa" w:w="14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High</w:t>
            </w:r>
          </w:p>
        </w:tc>
        <w:tc>
          <w:tcPr>
            <w:tcW w:type="dxa" w:w="14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High</w:t>
            </w:r>
          </w:p>
        </w:tc>
        <w:tc>
          <w:tcPr>
            <w:tcW w:type="dxa" w:w="41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Validate at Gate G2; pivot to licensing model if hardware sales fail</w:t>
            </w:r>
          </w:p>
        </w:tc>
      </w:tr>
      <w:tr>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Competitive response undercuts pricing</w:t>
            </w:r>
          </w:p>
        </w:tc>
        <w:tc>
          <w:tcPr>
            <w:tcW w:type="dxa" w:w="14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Medium</w:t>
            </w:r>
          </w:p>
        </w:tc>
        <w:tc>
          <w:tcPr>
            <w:tcW w:type="dxa" w:w="14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Medium</w:t>
            </w:r>
          </w:p>
        </w:tc>
        <w:tc>
          <w:tcPr>
            <w:tcW w:type="dxa" w:w="41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Focus on unique value proposition (offline, deterministic inference)</w:t>
            </w:r>
          </w:p>
        </w:tc>
      </w:tr>
      <w:tr>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MPW schedule delays</w:t>
            </w:r>
          </w:p>
        </w:tc>
        <w:tc>
          <w:tcPr>
            <w:tcW w:type="dxa" w:w="14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Medium</w:t>
            </w:r>
          </w:p>
        </w:tc>
        <w:tc>
          <w:tcPr>
            <w:tcW w:type="dxa" w:w="14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Low</w:t>
            </w:r>
          </w:p>
        </w:tc>
        <w:tc>
          <w:tcPr>
            <w:tcW w:type="dxa" w:w="41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Multiple shuttle options; FPGA product as backup</w:t>
            </w:r>
          </w:p>
        </w:tc>
      </w:tr>
      <w:tr>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Silicon fails to meet specifications</w:t>
            </w:r>
          </w:p>
        </w:tc>
        <w:tc>
          <w:tcPr>
            <w:tcW w:type="dxa" w:w="14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Low</w:t>
            </w:r>
          </w:p>
        </w:tc>
        <w:tc>
          <w:tcPr>
            <w:tcW w:type="dxa" w:w="14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High</w:t>
            </w:r>
          </w:p>
        </w:tc>
        <w:tc>
          <w:tcPr>
            <w:tcW w:type="dxa" w:w="41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License RTL to established semiconductor company</w:t>
            </w:r>
          </w:p>
        </w:tc>
      </w:tr>
    </w:tbl>
    <w:p>
      <w:pPr>
        <w:spacing w:after="200" w:before="120"/>
        <w:jc w:val="center"/>
      </w:pPr>
      <w:r>
        <w:rPr>
          <w:i/>
          <w:iCs/>
          <w:color w:val="64748B"/>
          <w:sz w:val="18"/>
          <w:szCs w:val="18"/>
        </w:rPr>
        <w:t xml:space="preserve">Table 3: Risk matrix with probability, impact, and mitigation strategies</w:t>
      </w:r>
    </w:p>
    <w:p>
      <w:pPr>
        <w:pStyle w:val="Heading1"/>
      </w:pPr>
      <w:r>
        <w:t xml:space="preserve">Appendix A: Performance Modeling Methodology</w:t>
      </w:r>
    </w:p>
    <w:p>
      <w:pPr>
        <w:spacing w:after="120"/>
      </w:pPr>
      <w:r>
        <w:rPr>
          <w:color w:val="1E293B"/>
        </w:rPr>
        <w:t xml:space="preserve">The performance projections in this document (50-80 tokens/second, 5-10x efficiency improvement) require explicit methodology documentation. The following describes the calculation approach and its limitations.</w:t>
      </w:r>
    </w:p>
    <w:p>
      <w:pPr>
        <w:pStyle w:val="Heading2"/>
      </w:pPr>
      <w:r>
        <w:t xml:space="preserve">A.1 Token Generation Rate Calculation</w:t>
      </w:r>
    </w:p>
    <w:p>
      <w:pPr>
        <w:spacing w:after="120"/>
      </w:pPr>
      <w:r>
        <w:rPr>
          <w:color w:val="1E293B"/>
        </w:rPr>
        <w:t xml:space="preserve">For a 1 billion parameter INT4 model, each token generation requires:</w:t>
      </w:r>
    </w:p>
    <w:p>
      <w:pPr>
        <w:pStyle w:val="ListParagraph"/>
        <w:numPr>
          <w:ilvl w:val="0"/>
          <w:numId w:val="4"/>
        </w:numPr>
        <w:spacing w:after="60"/>
      </w:pPr>
      <w:r>
        <w:rPr>
          <w:color w:val="1E293B"/>
        </w:rPr>
        <w:t xml:space="preserve">Weight MAC operations: 1B parameters × 2 ops/parameter (multiply-accumulate) = 2B ops/token</w:t>
      </w:r>
    </w:p>
    <w:p>
      <w:pPr>
        <w:pStyle w:val="ListParagraph"/>
        <w:numPr>
          <w:ilvl w:val="0"/>
          <w:numId w:val="4"/>
        </w:numPr>
        <w:spacing w:after="60"/>
      </w:pPr>
      <w:r>
        <w:rPr>
          <w:color w:val="1E293B"/>
        </w:rPr>
        <w:t xml:space="preserve">Activation access: Depends on hidden dimension; for typical 1024-dim, ~1M activations/token</w:t>
      </w:r>
    </w:p>
    <w:p>
      <w:pPr>
        <w:pStyle w:val="ListParagraph"/>
        <w:numPr>
          <w:ilvl w:val="0"/>
          <w:numId w:val="4"/>
        </w:numPr>
        <w:spacing w:after="120"/>
      </w:pPr>
      <w:r>
        <w:rPr>
          <w:color w:val="1E293B"/>
        </w:rPr>
        <w:t xml:space="preserve">Total compute: ~2B INT4 operations per token</w:t>
      </w:r>
    </w:p>
    <w:p>
      <w:pPr>
        <w:spacing w:after="120"/>
      </w:pPr>
      <w:r>
        <w:rPr>
          <w:color w:val="1E293B"/>
        </w:rPr>
        <w:t xml:space="preserve">With a systolic array of 512 × 512 INT4 MAC units operating at 200 MHz:</w:t>
      </w:r>
    </w:p>
    <w:p>
      <w:pPr>
        <w:pStyle w:val="ListParagraph"/>
        <w:numPr>
          <w:ilvl w:val="0"/>
          <w:numId w:val="2"/>
        </w:numPr>
        <w:spacing w:after="60"/>
      </w:pPr>
      <w:r>
        <w:rPr>
          <w:color w:val="1E293B"/>
        </w:rPr>
        <w:t xml:space="preserve">Peak throughput: 512 × 512 × 200M × 2 = 104.9 TOPS</w:t>
      </w:r>
    </w:p>
    <w:p>
      <w:pPr>
        <w:pStyle w:val="ListParagraph"/>
        <w:numPr>
          <w:ilvl w:val="0"/>
          <w:numId w:val="2"/>
        </w:numPr>
        <w:spacing w:after="60"/>
      </w:pPr>
      <w:r>
        <w:rPr>
          <w:color w:val="1E293B"/>
        </w:rPr>
        <w:t xml:space="preserve">At 100% utilization: 104.9T / 2B = 52,450 tokens/second (theoretical maximum)</w:t>
      </w:r>
    </w:p>
    <w:p>
      <w:pPr>
        <w:pStyle w:val="ListParagraph"/>
        <w:numPr>
          <w:ilvl w:val="0"/>
          <w:numId w:val="2"/>
        </w:numPr>
        <w:spacing w:after="120"/>
      </w:pPr>
      <w:r>
        <w:rPr>
          <w:color w:val="1E293B"/>
        </w:rPr>
        <w:t xml:space="preserve">At 30% utilization (conservative for real workloads): 15,735 tokens/second</w:t>
      </w:r>
    </w:p>
    <w:p>
      <w:pPr>
        <w:spacing w:after="200"/>
      </w:pPr>
      <w:r>
        <w:rPr>
          <w:color w:val="1E293B"/>
        </w:rPr>
        <w:t xml:space="preserve">The 50-80 tokens/second projection for edge deployment assumes smaller array (128 × 128) and lower frequency (100 MHz) to meet power constraints, with utilization optimized for single-batch inference. This yields ~1,000-3,000 theoretical tokens/second at 30% utilization, derated further for control overhead and I/O. The projection is preliminary and requires FPGA validation.</w:t>
      </w:r>
    </w:p>
    <w:p>
      <w:pPr>
        <w:pStyle w:val="Heading2"/>
      </w:pPr>
      <w:r>
        <w:t xml:space="preserve">A.2 Energy Efficiency Estimation</w:t>
      </w:r>
    </w:p>
    <w:p>
      <w:pPr>
        <w:spacing w:after="120"/>
      </w:pPr>
      <w:r>
        <w:rPr>
          <w:color w:val="1E293B"/>
        </w:rPr>
        <w:t xml:space="preserve">The 5-10x efficiency improvement projection is derived from eliminating weight fetch energy. For a baseline GPU:</w:t>
      </w:r>
    </w:p>
    <w:p>
      <w:pPr>
        <w:pStyle w:val="ListParagraph"/>
        <w:numPr>
          <w:ilvl w:val="0"/>
          <w:numId w:val="5"/>
        </w:numPr>
        <w:spacing w:after="60"/>
      </w:pPr>
      <w:r>
        <w:rPr>
          <w:color w:val="1E293B"/>
        </w:rPr>
        <w:t xml:space="preserve">DRAM access energy: ~100 pJ/bit (published measurements)</w:t>
      </w:r>
    </w:p>
    <w:p>
      <w:pPr>
        <w:pStyle w:val="ListParagraph"/>
        <w:numPr>
          <w:ilvl w:val="0"/>
          <w:numId w:val="5"/>
        </w:numPr>
        <w:spacing w:after="60"/>
      </w:pPr>
      <w:r>
        <w:rPr>
          <w:color w:val="1E293B"/>
        </w:rPr>
        <w:t xml:space="preserve">INT4 MAC energy: ~0.5-1 pJ/operation (estimated for 28nm)</w:t>
      </w:r>
    </w:p>
    <w:p>
      <w:pPr>
        <w:pStyle w:val="ListParagraph"/>
        <w:numPr>
          <w:ilvl w:val="0"/>
          <w:numId w:val="5"/>
        </w:numPr>
        <w:spacing w:after="120"/>
      </w:pPr>
      <w:r>
        <w:rPr>
          <w:color w:val="1E293B"/>
        </w:rPr>
        <w:t xml:space="preserve">Weight fetch for 1B INT4 model: 4Gb × 100 pJ/bit = 400 mJ/token</w:t>
      </w:r>
    </w:p>
    <w:p>
      <w:pPr>
        <w:spacing w:after="120"/>
      </w:pPr>
      <w:r>
        <w:rPr>
          <w:color w:val="1E293B"/>
        </w:rPr>
        <w:t xml:space="preserve">For mask-locked weights, the weight fetch energy is zero (weights are physically present). Remaining energy consumers are MAC operations and activation access. If MAC + activation energy is 10-20% of total GPU energy, mask-locked architecture could achieve 5-10x improvement. However, this assumes all other efficiencies are equal, which may not hold in practice. The projection is a hypothesis requiring empirical validation.</w:t>
      </w:r>
    </w:p>
    <w:p>
      <w:pPr>
        <w:pStyle w:val="Heading1"/>
      </w:pPr>
      <w:r>
        <w:t xml:space="preserve">Appendix B: Source Verification Index</w:t>
      </w:r>
    </w:p>
    <w:p>
      <w:pPr>
        <w:spacing w:after="120"/>
      </w:pPr>
      <w:r>
        <w:rPr>
          <w:color w:val="1E293B"/>
        </w:rPr>
        <w:t xml:space="preserve">All sources cited in this document have been verified through web search. The following provides citation details for key claims.</w:t>
      </w:r>
    </w:p>
    <w:p>
      <w:pPr>
        <w:spacing w:after="120"/>
      </w:pPr>
      <w:r>
        <w:rPr>
          <w:b/>
          <w:bCs/>
          <w:color w:val="020617"/>
        </w:rPr>
        <w:t xml:space="preserve">NVIDIA-Groq Transaction:</w:t>
      </w:r>
    </w:p>
    <w:p>
      <w:pPr>
        <w:pStyle w:val="ListParagraph"/>
        <w:numPr>
          <w:ilvl w:val="0"/>
          <w:numId w:val="2"/>
        </w:numPr>
        <w:spacing w:after="60"/>
      </w:pPr>
      <w:r>
        <w:rPr>
          <w:color w:val="1E293B"/>
          <w:sz w:val="18"/>
          <w:szCs w:val="18"/>
        </w:rPr>
        <w:t xml:space="preserve">Groq press release: groq.com/newsroom/groq-and-nvidia-enter-non-exclusive-inference-technology-licensing-agreement</w:t>
      </w:r>
    </w:p>
    <w:p>
      <w:pPr>
        <w:pStyle w:val="ListParagraph"/>
        <w:numPr>
          <w:ilvl w:val="0"/>
          <w:numId w:val="2"/>
        </w:numPr>
        <w:spacing w:after="60"/>
      </w:pPr>
      <w:r>
        <w:rPr>
          <w:color w:val="1E293B"/>
          <w:sz w:val="18"/>
          <w:szCs w:val="18"/>
        </w:rPr>
        <w:t xml:space="preserve">CNBC: "Nvidia buying AI chip startup Groq for about $20 billion" (December 24, 2025)</w:t>
      </w:r>
    </w:p>
    <w:p>
      <w:pPr>
        <w:pStyle w:val="ListParagraph"/>
        <w:numPr>
          <w:ilvl w:val="0"/>
          <w:numId w:val="2"/>
        </w:numPr>
        <w:spacing w:after="60"/>
      </w:pPr>
      <w:r>
        <w:rPr>
          <w:color w:val="1E293B"/>
          <w:sz w:val="18"/>
          <w:szCs w:val="18"/>
        </w:rPr>
        <w:t xml:space="preserve">NYTimes: "Nvidia Strikes a Deal With Groq" (December 24, 2025)</w:t>
      </w:r>
    </w:p>
    <w:p>
      <w:pPr>
        <w:pStyle w:val="ListParagraph"/>
        <w:numPr>
          <w:ilvl w:val="0"/>
          <w:numId w:val="2"/>
        </w:numPr>
        <w:spacing w:after="120"/>
      </w:pPr>
      <w:r>
        <w:rPr>
          <w:color w:val="1E293B"/>
          <w:sz w:val="18"/>
          <w:szCs w:val="18"/>
        </w:rPr>
        <w:t xml:space="preserve">Key finding: Non-exclusive licensing agreement, NOT acquisition; Groq remains independent</w:t>
      </w:r>
    </w:p>
    <w:p>
      <w:pPr>
        <w:spacing w:after="120"/>
      </w:pPr>
      <w:r>
        <w:rPr>
          <w:b/>
          <w:bCs/>
          <w:color w:val="020617"/>
        </w:rPr>
        <w:t xml:space="preserve">TI-Silicon Labs Acquisition:</w:t>
      </w:r>
    </w:p>
    <w:p>
      <w:pPr>
        <w:pStyle w:val="ListParagraph"/>
        <w:numPr>
          <w:ilvl w:val="0"/>
          <w:numId w:val="2"/>
        </w:numPr>
        <w:spacing w:after="60"/>
      </w:pPr>
      <w:r>
        <w:rPr>
          <w:color w:val="1E293B"/>
          <w:sz w:val="18"/>
          <w:szCs w:val="18"/>
        </w:rPr>
        <w:t xml:space="preserve">TI press release: ti.com/about-ti/newsroom/news-releases/2026/2026-02-04-texas-instruments-to-acquire-silicon-labs.html</w:t>
      </w:r>
    </w:p>
    <w:p>
      <w:pPr>
        <w:pStyle w:val="ListParagraph"/>
        <w:numPr>
          <w:ilvl w:val="0"/>
          <w:numId w:val="2"/>
        </w:numPr>
        <w:spacing w:after="60"/>
      </w:pPr>
      <w:r>
        <w:rPr>
          <w:color w:val="1E293B"/>
          <w:sz w:val="18"/>
          <w:szCs w:val="18"/>
        </w:rPr>
        <w:t xml:space="preserve">Reuters: "Texas Instruments strikes $7.5 billion deal for Silicon Labs" (February 4, 2026)</w:t>
      </w:r>
    </w:p>
    <w:p>
      <w:pPr>
        <w:pStyle w:val="ListParagraph"/>
        <w:numPr>
          <w:ilvl w:val="0"/>
          <w:numId w:val="2"/>
        </w:numPr>
        <w:spacing w:after="120"/>
      </w:pPr>
      <w:r>
        <w:rPr>
          <w:color w:val="1E293B"/>
          <w:sz w:val="18"/>
          <w:szCs w:val="18"/>
        </w:rPr>
        <w:t xml:space="preserve">Key finding: Announced February 4, 2026; expected close H1 2027</w:t>
      </w:r>
    </w:p>
    <w:p>
      <w:pPr>
        <w:spacing w:after="120"/>
      </w:pPr>
      <w:r>
        <w:rPr>
          <w:b/>
          <w:bCs/>
          <w:color w:val="020617"/>
        </w:rPr>
        <w:t xml:space="preserve">Quantization Research:</w:t>
      </w:r>
    </w:p>
    <w:p>
      <w:pPr>
        <w:pStyle w:val="ListParagraph"/>
        <w:numPr>
          <w:ilvl w:val="0"/>
          <w:numId w:val="2"/>
        </w:numPr>
        <w:spacing w:after="60"/>
      </w:pPr>
      <w:r>
        <w:rPr>
          <w:color w:val="1E293B"/>
          <w:sz w:val="18"/>
          <w:szCs w:val="18"/>
        </w:rPr>
        <w:t xml:space="preserve">"Give Me BF16 or Give Me Death?" ACL 2025: aclanthology.org/2025.acl-long.1304</w:t>
      </w:r>
    </w:p>
    <w:p>
      <w:pPr>
        <w:pStyle w:val="ListParagraph"/>
        <w:numPr>
          <w:ilvl w:val="0"/>
          <w:numId w:val="2"/>
        </w:numPr>
        <w:spacing w:after="60"/>
      </w:pPr>
      <w:r>
        <w:rPr>
          <w:color w:val="1E293B"/>
          <w:sz w:val="18"/>
          <w:szCs w:val="18"/>
        </w:rPr>
        <w:t xml:space="preserve">arXiv preprint: arxiv.org/abs/2411.02355</w:t>
      </w:r>
    </w:p>
    <w:p>
      <w:pPr>
        <w:pStyle w:val="ListParagraph"/>
        <w:numPr>
          <w:ilvl w:val="0"/>
          <w:numId w:val="2"/>
        </w:numPr>
        <w:spacing w:after="120"/>
      </w:pPr>
      <w:r>
        <w:rPr>
          <w:color w:val="1E293B"/>
          <w:sz w:val="18"/>
          <w:szCs w:val="18"/>
        </w:rPr>
        <w:t xml:space="preserve">Key finding: Comprehensive INT4/INT8/FP8 evaluation; INT4 shows 4-6% MMLU degradation</w:t>
      </w:r>
    </w:p>
    <w:p>
      <w:pPr>
        <w:spacing w:after="120"/>
      </w:pPr>
      <w:r>
        <w:rPr>
          <w:b/>
          <w:bCs/>
          <w:color w:val="020617"/>
        </w:rPr>
        <w:t xml:space="preserve">TinyTapeout/IHP Status:</w:t>
      </w:r>
    </w:p>
    <w:p>
      <w:pPr>
        <w:pStyle w:val="ListParagraph"/>
        <w:numPr>
          <w:ilvl w:val="0"/>
          <w:numId w:val="2"/>
        </w:numPr>
        <w:spacing w:after="60"/>
      </w:pPr>
      <w:r>
        <w:rPr>
          <w:color w:val="1E293B"/>
          <w:sz w:val="18"/>
          <w:szCs w:val="18"/>
        </w:rPr>
        <w:t xml:space="preserve">TinyTapeout website: tinytapeout.com</w:t>
      </w:r>
    </w:p>
    <w:p>
      <w:pPr>
        <w:pStyle w:val="ListParagraph"/>
        <w:numPr>
          <w:ilvl w:val="0"/>
          <w:numId w:val="2"/>
        </w:numPr>
        <w:spacing w:after="60"/>
      </w:pPr>
      <w:r>
        <w:rPr>
          <w:color w:val="1E293B"/>
          <w:sz w:val="18"/>
          <w:szCs w:val="18"/>
        </w:rPr>
        <w:t xml:space="preserve">Shuttle evidence: app.tinytapeout.com/projects/3555 (shows "Tiny Tapeout IHP 26a" shuttle)</w:t>
      </w:r>
    </w:p>
    <w:p>
      <w:pPr>
        <w:pStyle w:val="ListParagraph"/>
        <w:numPr>
          <w:ilvl w:val="0"/>
          <w:numId w:val="2"/>
        </w:numPr>
        <w:spacing w:after="120"/>
      </w:pPr>
      <w:r>
        <w:rPr>
          <w:color w:val="1E293B"/>
          <w:sz w:val="18"/>
          <w:szCs w:val="18"/>
        </w:rPr>
        <w:t xml:space="preserve">eeNews Europe: "Tiny Tapeout sees industrial boost as it recovers from eFabless"</w:t>
      </w:r>
    </w:p>
    <w:p>
      <w:pPr>
        <w:spacing w:after="120"/>
      </w:pPr>
      <w:r>
        <w:rPr>
          <w:b/>
          <w:bCs/>
          <w:color w:val="020617"/>
        </w:rPr>
        <w:t xml:space="preserve">Energy Efficiency Benchmarks:</w:t>
      </w:r>
    </w:p>
    <w:p>
      <w:pPr>
        <w:pStyle w:val="ListParagraph"/>
        <w:numPr>
          <w:ilvl w:val="0"/>
          <w:numId w:val="2"/>
        </w:numPr>
        <w:spacing w:after="60"/>
      </w:pPr>
      <w:r>
        <w:rPr>
          <w:color w:val="1E293B"/>
          <w:sz w:val="18"/>
          <w:szCs w:val="18"/>
        </w:rPr>
        <w:t xml:space="preserve">IBM NorthPole: modha.org/2024/09/breakthrough-low-latency-high-energy-efficiency-llm-inference-performance-using-northpole</w:t>
      </w:r>
    </w:p>
    <w:p>
      <w:pPr>
        <w:pStyle w:val="ListParagraph"/>
        <w:numPr>
          <w:ilvl w:val="0"/>
          <w:numId w:val="2"/>
        </w:numPr>
        <w:spacing w:after="60"/>
      </w:pPr>
      <w:r>
        <w:rPr>
          <w:color w:val="1E293B"/>
          <w:sz w:val="18"/>
          <w:szCs w:val="18"/>
        </w:rPr>
        <w:t xml:space="preserve">NVIDIA efficiency: blogs.nvidia.com/blog/accelerated-ai-energy-efficiency</w:t>
      </w:r>
    </w:p>
    <w:p>
      <w:pPr>
        <w:pStyle w:val="ListParagraph"/>
        <w:numPr>
          <w:ilvl w:val="0"/>
          <w:numId w:val="2"/>
        </w:numPr>
        <w:spacing w:after="200"/>
      </w:pPr>
      <w:r>
        <w:rPr>
          <w:color w:val="1E293B"/>
          <w:sz w:val="18"/>
          <w:szCs w:val="18"/>
        </w:rPr>
        <w:t xml:space="preserve">HotCarbon 2024: "Workload-Based Energy Models for LLM Inference"</w:t>
      </w:r>
    </w:p>
    <w:p>
      <w:pPr>
        <w:pStyle w:val="Heading1"/>
      </w:pPr>
      <w:r>
        <w:t xml:space="preserve">Appendix C: Document Revision History</w:t>
      </w:r>
    </w:p>
    <w:p>
      <w:pPr>
        <w:spacing w:after="120"/>
      </w:pPr>
      <w:r>
        <w:rPr>
          <w:color w:val="1E293B"/>
        </w:rPr>
        <w:t xml:space="preserve">This document has undergone significant revision following verification review. The following summarizes major corrections made.</w:t>
      </w:r>
    </w:p>
    <w:p>
      <w:pPr>
        <w:pStyle w:val="ListParagraph"/>
        <w:numPr>
          <w:ilvl w:val="0"/>
          <w:numId w:val="6"/>
        </w:numPr>
        <w:spacing w:after="60"/>
      </w:pPr>
      <w:r>
        <w:rPr>
          <w:color w:val="1E293B"/>
        </w:rPr>
        <w:t xml:space="preserve">Groq Transaction Correction: Changed from "NVIDIA acquired Groq for $20B" to "NVIDIA entered into $20B non-exclusive licensing agreement with Groq; Groq remains independent."</w:t>
      </w:r>
    </w:p>
    <w:p>
      <w:pPr>
        <w:pStyle w:val="ListParagraph"/>
        <w:numPr>
          <w:ilvl w:val="0"/>
          <w:numId w:val="6"/>
        </w:numPr>
        <w:spacing w:after="60"/>
      </w:pPr>
      <w:r>
        <w:rPr>
          <w:color w:val="1E293B"/>
        </w:rPr>
        <w:t xml:space="preserve">ACL Paper Citation Correction: Changed from "ACL 2024" to "ACL 2025" (arXiv:2411.02355, published ACL 2025).</w:t>
      </w:r>
    </w:p>
    <w:p>
      <w:pPr>
        <w:pStyle w:val="ListParagraph"/>
        <w:numPr>
          <w:ilvl w:val="0"/>
          <w:numId w:val="6"/>
        </w:numPr>
        <w:spacing w:after="60"/>
      </w:pPr>
      <w:r>
        <w:rPr>
          <w:color w:val="1E293B"/>
        </w:rPr>
        <w:t xml:space="preserve">TI/Silicon Labs Dating: Added note that February 2026 announcement is a subsequent event from document date perspective.</w:t>
      </w:r>
    </w:p>
    <w:p>
      <w:pPr>
        <w:pStyle w:val="ListParagraph"/>
        <w:numPr>
          <w:ilvl w:val="0"/>
          <w:numId w:val="6"/>
        </w:numPr>
        <w:spacing w:after="60"/>
      </w:pPr>
      <w:r>
        <w:rPr>
          <w:color w:val="1E293B"/>
        </w:rPr>
        <w:t xml:space="preserve">TinyTapeout/IHP Verification: Confirmed IHP shuttle status through TinyTapeout website and eeNews Europe reporting.</w:t>
      </w:r>
    </w:p>
    <w:p>
      <w:pPr>
        <w:pStyle w:val="ListParagraph"/>
        <w:numPr>
          <w:ilvl w:val="0"/>
          <w:numId w:val="6"/>
        </w:numPr>
        <w:spacing w:after="60"/>
      </w:pPr>
      <w:r>
        <w:rPr>
          <w:color w:val="1E293B"/>
        </w:rPr>
        <w:t xml:space="preserve">Etched Specifications: Qualified all Etched claims (TSMC 4nm, 144GB HBM3E, 20x speedup) as company claims pending independent verification.</w:t>
      </w:r>
    </w:p>
    <w:p>
      <w:pPr>
        <w:pStyle w:val="ListParagraph"/>
        <w:numPr>
          <w:ilvl w:val="0"/>
          <w:numId w:val="6"/>
        </w:numPr>
        <w:spacing w:after="60"/>
      </w:pPr>
      <w:r>
        <w:rPr>
          <w:color w:val="1E293B"/>
        </w:rPr>
        <w:t xml:space="preserve">Performance Projections: Added Appendix A with detailed methodology for token rate and efficiency calculations.</w:t>
      </w:r>
    </w:p>
    <w:p>
      <w:pPr>
        <w:pStyle w:val="ListParagraph"/>
        <w:numPr>
          <w:ilvl w:val="0"/>
          <w:numId w:val="6"/>
        </w:numPr>
        <w:spacing w:after="200"/>
      </w:pPr>
      <w:r>
        <w:rPr>
          <w:color w:val="1E293B"/>
        </w:rPr>
        <w:t xml:space="preserve">Financial Model Caveats: Added explicit statement that projections are illustrative scenarios, not forecasts, with documented assumptions.</w:t>
      </w:r>
    </w:p>
    <w:p>
      <w:pPr>
        <w:pStyle w:val="Heading1"/>
      </w:pPr>
      <w:r>
        <w:t xml:space="preserve">Conclusion</w:t>
      </w:r>
    </w:p>
    <w:p>
      <w:pPr>
        <w:spacing w:after="120"/>
      </w:pPr>
      <w:r>
        <w:rPr>
          <w:color w:val="1E293B"/>
        </w:rPr>
        <w:t xml:space="preserve">This execution plan presents a path from concept to silicon for a solo developer pursuing mask-locked inference chip technology. The plan prioritizes verification, conservative projections, and objective validation gates over optimistic forecasts. Key takeaways:</w:t>
      </w:r>
    </w:p>
    <w:p>
      <w:pPr>
        <w:pStyle w:val="ListParagraph"/>
        <w:numPr>
          <w:ilvl w:val="0"/>
          <w:numId w:val="7"/>
        </w:numPr>
        <w:spacing w:after="60"/>
      </w:pPr>
      <w:r>
        <w:rPr>
          <w:color w:val="1E293B"/>
        </w:rPr>
        <w:t xml:space="preserve">The NVIDIA-Groq licensing deal (not acquisition) validates the licensing model as a viable exit strategy for specialized inference technology.</w:t>
      </w:r>
    </w:p>
    <w:p>
      <w:pPr>
        <w:pStyle w:val="ListParagraph"/>
        <w:numPr>
          <w:ilvl w:val="0"/>
          <w:numId w:val="7"/>
        </w:numPr>
        <w:spacing w:after="60"/>
      </w:pPr>
      <w:r>
        <w:rPr>
          <w:color w:val="1E293B"/>
        </w:rPr>
        <w:t xml:space="preserve">INT4 quantization is viable for many applications, with ACL 2025 research showing 4-6% MMLU degradation.</w:t>
      </w:r>
    </w:p>
    <w:p>
      <w:pPr>
        <w:pStyle w:val="ListParagraph"/>
        <w:numPr>
          <w:ilvl w:val="0"/>
          <w:numId w:val="7"/>
        </w:numPr>
        <w:spacing w:after="60"/>
      </w:pPr>
      <w:r>
        <w:rPr>
          <w:color w:val="1E293B"/>
        </w:rPr>
        <w:t xml:space="preserve">The SD card form factor is technically feasible but tight on power; M.2 offers better thermal and interface options.</w:t>
      </w:r>
    </w:p>
    <w:p>
      <w:pPr>
        <w:pStyle w:val="ListParagraph"/>
        <w:numPr>
          <w:ilvl w:val="0"/>
          <w:numId w:val="7"/>
        </w:numPr>
        <w:spacing w:after="60"/>
      </w:pPr>
      <w:r>
        <w:rPr>
          <w:color w:val="1E293B"/>
        </w:rPr>
        <w:t xml:space="preserve">Open-source EDA tools (OpenROAD) and MPW services (TinyTapeout/IHP) enable low-cost prototyping.</w:t>
      </w:r>
    </w:p>
    <w:p>
      <w:pPr>
        <w:pStyle w:val="ListParagraph"/>
        <w:numPr>
          <w:ilvl w:val="0"/>
          <w:numId w:val="7"/>
        </w:numPr>
        <w:spacing w:after="200"/>
      </w:pPr>
      <w:r>
        <w:rPr>
          <w:color w:val="1E293B"/>
        </w:rPr>
        <w:t xml:space="preserve">Validation gates G1-G4 provide objective criteria for continuing or aborting at each stage.</w:t>
      </w:r>
    </w:p>
    <w:p>
      <w:pPr>
        <w:spacing w:after="200"/>
      </w:pPr>
      <w:r>
        <w:rPr>
          <w:color w:val="1E293B"/>
        </w:rPr>
        <w:t xml:space="preserve">The most critical next step is Gate G1: FPGA prototyping to validate the fundamental performance and power assumptions before committing significant capital. This $200-500 investment can confirm or refute the core hypothesis within 3 months, enabling informed decision-making about subsequent stages.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Mask-Locked Inference Chip | Execution Plan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2026-03-04T03:31:02.868Z</dcterms:created>
  <dcterms:modified xsi:type="dcterms:W3CDTF">2026-03-04T03:31:02.868Z</dcterms:modified>
</cp:coreProperties>
</file>

<file path=docProps/custom.xml><?xml version="1.0" encoding="utf-8"?>
<Properties xmlns="http://schemas.openxmlformats.org/officeDocument/2006/custom-properties" xmlns:vt="http://schemas.openxmlformats.org/officeDocument/2006/docPropsVTypes"/>
</file>