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14F6997" w:rsidR="00DD38F2" w:rsidRDefault="005552EF" w:rsidP="00DD38F2">
      <w:pPr>
        <w:pStyle w:val="Title"/>
        <w:jc w:val="center"/>
      </w:pPr>
      <w:r>
        <w:t>Fall 2023</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77777777" w:rsidR="005A271A" w:rsidRDefault="005A271A" w:rsidP="005A271A">
            <w:r>
              <w:t>Dan Meskill (404, 405)</w:t>
            </w:r>
          </w:p>
          <w:p w14:paraId="073B8CC6" w14:textId="77777777" w:rsidR="005A271A" w:rsidRDefault="005A271A" w:rsidP="005A271A">
            <w:r>
              <w:t xml:space="preserve">Email: </w:t>
            </w:r>
            <w:hyperlink r:id="rId6" w:history="1">
              <w:r w:rsidRPr="003D7C8E">
                <w:rPr>
                  <w:rStyle w:val="Hyperlink"/>
                </w:rPr>
                <w:t>dmeskill@unc.edu</w:t>
              </w:r>
            </w:hyperlink>
            <w:r>
              <w:t xml:space="preserve"> </w:t>
            </w:r>
          </w:p>
          <w:p w14:paraId="12942A40" w14:textId="4AA864D0" w:rsidR="005A271A" w:rsidRDefault="005A271A" w:rsidP="005A271A">
            <w:r>
              <w:t xml:space="preserve">Office Hours: </w:t>
            </w:r>
            <w:proofErr w:type="spellStart"/>
            <w:r w:rsidR="00BB4607">
              <w:t>TTh</w:t>
            </w:r>
            <w:proofErr w:type="spellEnd"/>
            <w:r w:rsidR="00BB4607">
              <w:t>, 11AM – 12PM, Hanes B-04</w:t>
            </w:r>
          </w:p>
          <w:p w14:paraId="59259411" w14:textId="77777777" w:rsidR="005A271A" w:rsidRDefault="005A271A" w:rsidP="005A271A"/>
          <w:p w14:paraId="11AE4092" w14:textId="77777777" w:rsidR="005A271A" w:rsidRDefault="005A271A" w:rsidP="005A271A">
            <w:r>
              <w:t>Yuhao Zhou (406, 407)</w:t>
            </w:r>
          </w:p>
          <w:p w14:paraId="64EFE632" w14:textId="77777777" w:rsidR="005A271A" w:rsidRDefault="005A271A" w:rsidP="005A271A">
            <w:r>
              <w:t xml:space="preserve">Email: </w:t>
            </w:r>
            <w:hyperlink r:id="rId7" w:history="1">
              <w:r w:rsidRPr="003D7C8E">
                <w:rPr>
                  <w:rStyle w:val="Hyperlink"/>
                </w:rPr>
                <w:t>yuhaoza@live.unc.edu</w:t>
              </w:r>
            </w:hyperlink>
            <w:r>
              <w:t xml:space="preserve"> </w:t>
            </w:r>
          </w:p>
          <w:p w14:paraId="3F55D1D7" w14:textId="77777777" w:rsidR="001707AF" w:rsidRDefault="005A271A" w:rsidP="005A271A">
            <w:r>
              <w:t xml:space="preserve">Office Hours: </w:t>
            </w:r>
            <w:proofErr w:type="spellStart"/>
            <w:r w:rsidR="00A649FF">
              <w:t>TTh</w:t>
            </w:r>
            <w:proofErr w:type="spellEnd"/>
            <w:r w:rsidR="00A649FF">
              <w:t xml:space="preserve">, 1:15PM – 2:15PM, </w:t>
            </w:r>
            <w:r w:rsidR="001707AF">
              <w:t>Remote</w:t>
            </w:r>
          </w:p>
          <w:p w14:paraId="1519011F" w14:textId="3E21D8DD" w:rsidR="001707AF" w:rsidRDefault="001707AF" w:rsidP="005A271A">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E08F9CE" w:rsidR="00270FE0" w:rsidRDefault="005A271A" w:rsidP="00270FE0">
            <w:proofErr w:type="spellStart"/>
            <w:r>
              <w:t>TTh</w:t>
            </w:r>
            <w:proofErr w:type="spellEnd"/>
            <w:r>
              <w:t>, 5:00PM – 6:15PM,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77777777" w:rsidR="005A271A" w:rsidRDefault="005A271A" w:rsidP="005A271A">
            <w:pPr>
              <w:tabs>
                <w:tab w:val="left" w:pos="267"/>
              </w:tabs>
            </w:pPr>
            <w:r>
              <w:t xml:space="preserve">404: W, </w:t>
            </w:r>
            <w:r w:rsidRPr="00630BC2">
              <w:t>9:05AM - 9:55AM</w:t>
            </w:r>
            <w:r>
              <w:t>, Phillips 222</w:t>
            </w:r>
          </w:p>
          <w:p w14:paraId="4382BEEF" w14:textId="77777777" w:rsidR="005A271A" w:rsidRDefault="005A271A" w:rsidP="005A271A">
            <w:pPr>
              <w:tabs>
                <w:tab w:val="left" w:pos="267"/>
              </w:tabs>
            </w:pPr>
            <w:r>
              <w:t xml:space="preserve">405: F, </w:t>
            </w:r>
            <w:r w:rsidRPr="00630BC2">
              <w:t>9:05AM - 9:55AM</w:t>
            </w:r>
            <w:r>
              <w:t>, Phillips 247</w:t>
            </w:r>
          </w:p>
          <w:p w14:paraId="09E3A368" w14:textId="77777777" w:rsidR="005A271A" w:rsidRDefault="005A271A" w:rsidP="005A271A">
            <w:pPr>
              <w:tabs>
                <w:tab w:val="left" w:pos="267"/>
              </w:tabs>
            </w:pPr>
            <w:r>
              <w:t xml:space="preserve">406: W, </w:t>
            </w:r>
            <w:r w:rsidRPr="00630BC2">
              <w:t>4:40PM - 5:30PM</w:t>
            </w:r>
            <w:r>
              <w:t>, Hanes 107</w:t>
            </w:r>
          </w:p>
          <w:p w14:paraId="08C68E29" w14:textId="7D007251" w:rsidR="0008528B" w:rsidRDefault="005A271A" w:rsidP="005A271A">
            <w:pPr>
              <w:tabs>
                <w:tab w:val="left" w:pos="267"/>
              </w:tabs>
            </w:pPr>
            <w:r>
              <w:t xml:space="preserve">407: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716A8435" w:rsidR="00742C4B" w:rsidRDefault="00246B2A" w:rsidP="00742C4B">
            <w:pPr>
              <w:jc w:val="center"/>
            </w:pPr>
            <w:r>
              <w:t>2</w:t>
            </w:r>
            <w:r w:rsidR="006157F0">
              <w:t>0</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1F4B63B3" w:rsidR="006157F0" w:rsidRDefault="006157F0" w:rsidP="00742C4B">
            <w:pPr>
              <w:jc w:val="center"/>
            </w:pPr>
            <w:r>
              <w:t>20%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9F12490"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27E5C34D"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2D6965">
        <w:rPr>
          <w:bCs/>
        </w:rPr>
        <w:t>9:05AM on the following Wednesday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56D171B7"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 xml:space="preserve">in the textbook, labs, and </w:t>
      </w:r>
      <w:proofErr w:type="spellStart"/>
      <w:r w:rsidR="0034511E">
        <w:rPr>
          <w:bCs/>
        </w:rPr>
        <w:t>class</w:t>
      </w:r>
      <w:r w:rsidRPr="007E219E">
        <w:rPr>
          <w:bCs/>
        </w:rPr>
        <w:t>Each</w:t>
      </w:r>
      <w:proofErr w:type="spellEnd"/>
      <w:r w:rsidRPr="007E219E">
        <w:rPr>
          <w:bCs/>
        </w:rPr>
        <w:t xml:space="preserve">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33664778" w14:textId="2106953B" w:rsidR="00986E2C" w:rsidRDefault="00986E2C" w:rsidP="00986E2C">
      <w:pPr>
        <w:spacing w:after="0"/>
        <w:rPr>
          <w:bCs/>
        </w:rPr>
      </w:pPr>
      <w:r>
        <w:rPr>
          <w:bCs/>
        </w:rPr>
        <w:t xml:space="preserve">There will be 2 midterm exams during the semester. The date and material covered of each midterm will be announced at least 1 week before the midterm occurs. Currently, the plan is to have the midterms on October 5, </w:t>
      </w:r>
      <w:proofErr w:type="gramStart"/>
      <w:r>
        <w:rPr>
          <w:bCs/>
        </w:rPr>
        <w:t>2023</w:t>
      </w:r>
      <w:proofErr w:type="gramEnd"/>
      <w:r>
        <w:rPr>
          <w:bCs/>
        </w:rPr>
        <w:t xml:space="preserve"> and November 9, 2023.</w:t>
      </w:r>
    </w:p>
    <w:p w14:paraId="75D09C62" w14:textId="77777777" w:rsidR="00986E2C" w:rsidRDefault="00986E2C" w:rsidP="00986E2C">
      <w:pPr>
        <w:spacing w:after="0"/>
        <w:rPr>
          <w:bCs/>
        </w:rPr>
      </w:pPr>
    </w:p>
    <w:p w14:paraId="5F0C5AFA" w14:textId="77777777"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may be closed book and be completed without the use of your computer or course materials. </w:t>
      </w:r>
      <w:r>
        <w:rPr>
          <w:bCs/>
        </w:rPr>
        <w:t>The midterms</w:t>
      </w:r>
      <w:r w:rsidRPr="00B17E13">
        <w:rPr>
          <w:bCs/>
        </w:rPr>
        <w:t xml:space="preserve"> may be</w:t>
      </w:r>
      <w:r>
        <w:rPr>
          <w:bCs/>
        </w:rPr>
        <w:t xml:space="preserve"> open book (access to </w:t>
      </w:r>
      <w:r w:rsidRPr="00B17E13">
        <w:rPr>
          <w:bCs/>
        </w:rPr>
        <w:t>notes, course materials, and internet</w:t>
      </w:r>
      <w:r>
        <w:rPr>
          <w:bCs/>
        </w:rPr>
        <w:t xml:space="preserve">), </w:t>
      </w:r>
      <w:r w:rsidRPr="00B17E13">
        <w:rPr>
          <w:bCs/>
        </w:rPr>
        <w:t>completed in RStudio</w:t>
      </w:r>
      <w:r>
        <w:rPr>
          <w:bCs/>
        </w:rPr>
        <w:t>,</w:t>
      </w:r>
      <w:r w:rsidRPr="00B17E13">
        <w:rPr>
          <w:bCs/>
        </w:rPr>
        <w:t xml:space="preserve"> and submitted to </w:t>
      </w:r>
      <w:proofErr w:type="spellStart"/>
      <w:r w:rsidRPr="00B17E13">
        <w:rPr>
          <w:bCs/>
        </w:rPr>
        <w:t>Gradescope</w:t>
      </w:r>
      <w:proofErr w:type="spellEnd"/>
      <w:r>
        <w:rPr>
          <w:bCs/>
        </w:rPr>
        <w:t>. If</w:t>
      </w:r>
      <w:r w:rsidRPr="00B17E13">
        <w:rPr>
          <w:bCs/>
        </w:rPr>
        <w:t xml:space="preserve"> you are found to be submitting the work of other students, an honor code violation will be reported. This could be by communication with others and the sharing of answers and code during the </w:t>
      </w:r>
      <w:proofErr w:type="gramStart"/>
      <w:r>
        <w:rPr>
          <w:bCs/>
        </w:rPr>
        <w:t>midterm</w:t>
      </w:r>
      <w:r w:rsidRPr="00B17E13">
        <w:rPr>
          <w:bCs/>
        </w:rPr>
        <w:t xml:space="preserve">, </w:t>
      </w:r>
      <w:r>
        <w:rPr>
          <w:bCs/>
        </w:rPr>
        <w:t xml:space="preserve"> communication</w:t>
      </w:r>
      <w:proofErr w:type="gramEnd"/>
      <w:r>
        <w:rPr>
          <w:bCs/>
        </w:rPr>
        <w:t xml:space="preserve">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075169C5" w:rsidR="00245C97" w:rsidRDefault="00245C97" w:rsidP="00245C97">
      <w:pPr>
        <w:rPr>
          <w:bCs/>
        </w:rPr>
      </w:pPr>
      <w:bookmarkStart w:id="12" w:name="_Hlk92381748"/>
      <w:bookmarkStart w:id="13"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t>
      </w:r>
      <w:r w:rsidRPr="007E219E">
        <w:rPr>
          <w:bCs/>
        </w:rPr>
        <w:lastRenderedPageBreak/>
        <w:t xml:space="preserve">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D15BF8">
        <w:rPr>
          <w:bCs/>
        </w:rPr>
        <w:t>Wednesday, December 6</w:t>
      </w:r>
      <w:r w:rsidRPr="007E219E">
        <w:rPr>
          <w:bCs/>
        </w:rPr>
        <w:t xml:space="preserve">. The fourth part, the Final Presentation, is worth 30 points and will take place during our designated final exam time according to the university calendar. For our class, this is </w:t>
      </w:r>
      <w:r w:rsidR="00D15BF8">
        <w:rPr>
          <w:bCs/>
        </w:rPr>
        <w:t xml:space="preserve">4PM </w:t>
      </w:r>
      <w:r>
        <w:rPr>
          <w:bCs/>
        </w:rPr>
        <w:t xml:space="preserve">to </w:t>
      </w:r>
      <w:r w:rsidR="00D15BF8">
        <w:rPr>
          <w:bCs/>
        </w:rPr>
        <w:t>7</w:t>
      </w:r>
      <w:r w:rsidR="00BD439D">
        <w:rPr>
          <w:bCs/>
        </w:rPr>
        <w:t>P</w:t>
      </w:r>
      <w:r>
        <w:rPr>
          <w:bCs/>
        </w:rPr>
        <w:t>M</w:t>
      </w:r>
      <w:r w:rsidRPr="007E219E">
        <w:rPr>
          <w:bCs/>
        </w:rPr>
        <w:t xml:space="preserve"> on</w:t>
      </w:r>
      <w:r w:rsidR="00BD439D">
        <w:rPr>
          <w:bCs/>
        </w:rPr>
        <w:t xml:space="preserve"> </w:t>
      </w:r>
      <w:r w:rsidR="00D15BF8">
        <w:rPr>
          <w:bCs/>
        </w:rPr>
        <w:t>Friday</w:t>
      </w:r>
      <w:r>
        <w:rPr>
          <w:bCs/>
        </w:rPr>
        <w:t>,</w:t>
      </w:r>
      <w:r w:rsidR="00BD439D">
        <w:rPr>
          <w:bCs/>
        </w:rPr>
        <w:t xml:space="preserve"> </w:t>
      </w:r>
      <w:r w:rsidR="00D15BF8">
        <w:rPr>
          <w:bCs/>
        </w:rPr>
        <w:t>December 15</w:t>
      </w:r>
      <w:r w:rsidRPr="007E219E">
        <w:rPr>
          <w:bCs/>
        </w:rPr>
        <w:t>. Slides must be submitted by</w:t>
      </w:r>
      <w:r w:rsidR="00BD439D">
        <w:rPr>
          <w:bCs/>
        </w:rPr>
        <w:t xml:space="preserve"> </w:t>
      </w:r>
      <w:r w:rsidR="00D15BF8">
        <w:rPr>
          <w:bCs/>
        </w:rPr>
        <w:t>4PM</w:t>
      </w:r>
      <w:r w:rsidR="00BD439D">
        <w:rPr>
          <w:bCs/>
        </w:rPr>
        <w:t xml:space="preserve"> </w:t>
      </w:r>
      <w:r w:rsidRPr="007E219E">
        <w:rPr>
          <w:bCs/>
        </w:rPr>
        <w:t>on</w:t>
      </w:r>
      <w:r w:rsidR="00BD439D">
        <w:rPr>
          <w:bCs/>
        </w:rPr>
        <w:t xml:space="preserve"> </w:t>
      </w:r>
      <w:r w:rsidR="00D15BF8">
        <w:rPr>
          <w:bCs/>
        </w:rPr>
        <w:t>December 15</w:t>
      </w:r>
      <w:r>
        <w:rPr>
          <w:bCs/>
        </w:rPr>
        <w:t xml:space="preserve">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4FD7224C"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1" w:history="1">
        <w:r w:rsidR="005552EF">
          <w:rPr>
            <w:rStyle w:val="Hyperlink"/>
          </w:rPr>
          <w:t>Accessibility Resources and Service</w:t>
        </w:r>
      </w:hyperlink>
      <w:r w:rsidR="005552EF">
        <w:t xml:space="preserve"> (ARS – </w:t>
      </w:r>
      <w:hyperlink r:id="rId22"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3"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4743</TotalTime>
  <Pages>9</Pages>
  <Words>3434</Words>
  <Characters>19025</Characters>
  <Application>Microsoft Office Word</Application>
  <DocSecurity>0</DocSecurity>
  <Lines>373</Lines>
  <Paragraphs>206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113</cp:revision>
  <cp:lastPrinted>2021-06-17T18:00:00Z</cp:lastPrinted>
  <dcterms:created xsi:type="dcterms:W3CDTF">2019-09-27T03:27:00Z</dcterms:created>
  <dcterms:modified xsi:type="dcterms:W3CDTF">2023-08-22T20:13:00Z</dcterms:modified>
</cp:coreProperties>
</file>