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318A26A1" w:rsidR="0008506C" w:rsidRDefault="000F311E" w:rsidP="002F7AE7">
      <w:pPr>
        <w:pStyle w:val="TextBody"/>
        <w:spacing w:after="0" w:line="240" w:lineRule="auto"/>
        <w:jc w:val="center"/>
        <w:rPr>
          <w:rFonts w:ascii="CMBX12" w:hAnsi="CMBX12" w:hint="eastAsia"/>
          <w:sz w:val="34"/>
        </w:rPr>
      </w:pPr>
      <w:r>
        <w:rPr>
          <w:rFonts w:ascii="CMBX12" w:hAnsi="CMBX12"/>
          <w:sz w:val="34"/>
        </w:rPr>
        <w:t>Spring 202</w:t>
      </w:r>
      <w:r w:rsidR="00BC7197">
        <w:rPr>
          <w:rFonts w:ascii="CMBX12" w:hAnsi="CMBX12"/>
          <w:sz w:val="34"/>
        </w:rPr>
        <w:t>5</w:t>
      </w:r>
    </w:p>
    <w:p w14:paraId="030FA473" w14:textId="77777777" w:rsidR="002F7AE7" w:rsidRDefault="002F7AE7" w:rsidP="002F7AE7">
      <w:pPr>
        <w:pStyle w:val="TextBody"/>
        <w:spacing w:after="0" w:line="240" w:lineRule="auto"/>
        <w:jc w:val="center"/>
      </w:pPr>
    </w:p>
    <w:p w14:paraId="55B29528" w14:textId="685DCCAE"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BC7197">
        <w:t>Fridays</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BC7197">
        <w:t xml:space="preserve">2:30PM – </w:t>
      </w:r>
      <w:r w:rsidR="00520C62">
        <w:t>4</w:t>
      </w:r>
      <w:r w:rsidR="00BC7197">
        <w:t>:30PM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5A143FE" w14:textId="06BA3AF9" w:rsidR="00520C62" w:rsidRPr="00905116" w:rsidRDefault="00AD1910" w:rsidP="00520C62">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520C62">
        <w:t>Monday &amp; Wednesday</w:t>
      </w:r>
    </w:p>
    <w:p w14:paraId="68690BED" w14:textId="78F39390"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r w:rsidR="00520C62">
        <w:tab/>
      </w:r>
      <w:r w:rsidR="00520C62">
        <w:tab/>
      </w:r>
      <w:r w:rsidR="00520C62">
        <w:tab/>
      </w:r>
      <w:r w:rsidR="00520C62">
        <w:tab/>
      </w:r>
      <w:r w:rsidR="00520C62">
        <w:tab/>
        <w:t xml:space="preserve">  1:00PM – 2:00PM</w:t>
      </w:r>
    </w:p>
    <w:p w14:paraId="5B3C6A4E" w14:textId="68CA8E45" w:rsidR="00905116" w:rsidRPr="00905116" w:rsidRDefault="00905116" w:rsidP="00860AA8">
      <w:pPr>
        <w:suppressAutoHyphens w:val="0"/>
        <w:spacing w:after="0" w:line="240" w:lineRule="auto"/>
        <w:ind w:left="1627" w:hanging="1627"/>
        <w:textAlignment w:val="auto"/>
      </w:pPr>
      <w:r>
        <w:rPr>
          <w:b/>
          <w:bCs/>
        </w:rPr>
        <w:tab/>
      </w:r>
      <w:r>
        <w:t xml:space="preserve">Office: </w:t>
      </w:r>
      <w:r w:rsidR="00BC7197">
        <w:t>TBD</w:t>
      </w:r>
    </w:p>
    <w:p w14:paraId="4880EC00" w14:textId="6B7DDD1A"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BC7197">
        <w:t>MWF</w:t>
      </w:r>
      <w:r w:rsidR="00072D23">
        <w:t xml:space="preserve"> from </w:t>
      </w:r>
      <w:r w:rsidR="00EB437E">
        <w:t>9:05AM to 9:55AM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0" w:history="1">
        <w:r w:rsidR="00CC7DC0" w:rsidRPr="00CC7DC0">
          <w:rPr>
            <w:rStyle w:val="Hyperlink"/>
          </w:rPr>
          <w:t>ISBN: 9781498737364</w:t>
        </w:r>
      </w:hyperlink>
      <w:r w:rsidR="00CC7DC0">
        <w:t>)</w:t>
      </w:r>
      <w:r>
        <w:rPr>
          <w:i/>
          <w:iCs/>
        </w:rPr>
        <w:tab/>
      </w:r>
    </w:p>
    <w:p w14:paraId="01C3AAE6" w14:textId="77777777" w:rsidR="00860AA8" w:rsidRDefault="00860AA8" w:rsidP="00AD1910">
      <w:pPr>
        <w:pStyle w:val="TextBody"/>
        <w:spacing w:after="0" w:line="240" w:lineRule="auto"/>
        <w:rPr>
          <w:b/>
          <w:bCs/>
          <w:szCs w:val="28"/>
        </w:rPr>
      </w:pPr>
      <w:bookmarkStart w:id="3" w:name="_Hlk16606276"/>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71A40FC3"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9C5876">
        <w:rPr>
          <w:szCs w:val="28"/>
        </w:rPr>
        <w:t>20</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580FF345" w:rsidR="000A3088" w:rsidRDefault="000A3088" w:rsidP="00AA11FF">
      <w:pPr>
        <w:pStyle w:val="TextBody"/>
        <w:spacing w:after="0" w:line="240" w:lineRule="auto"/>
        <w:ind w:left="914" w:firstLine="706"/>
        <w:rPr>
          <w:szCs w:val="28"/>
        </w:rPr>
      </w:pPr>
      <w:r>
        <w:rPr>
          <w:szCs w:val="28"/>
        </w:rPr>
        <w:t>Playoff (</w:t>
      </w:r>
      <w:r w:rsidR="009C5876">
        <w:rPr>
          <w:szCs w:val="28"/>
        </w:rPr>
        <w:t>20</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1"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2"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0BBDECE2"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you will find a sports analytics</w:t>
      </w:r>
      <w:r w:rsidR="00D32B77">
        <w:t xml:space="preserve"> article</w:t>
      </w:r>
      <w:r w:rsidR="008F4D18">
        <w:t xml:space="preserve"> from a refereed journal</w:t>
      </w:r>
      <w:r w:rsidR="00D32B77">
        <w:t xml:space="preserve"> to read and summarize in a</w:t>
      </w:r>
      <w:r w:rsidR="00902B3F">
        <w:t>n</w:t>
      </w:r>
      <w:r w:rsidR="00D32B77">
        <w:t xml:space="preserve"> </w:t>
      </w:r>
      <w:r w:rsidR="00902B3F">
        <w:t>slide show presentation</w:t>
      </w:r>
      <w:r w:rsidR="000063E1">
        <w:t xml:space="preserve"> using summarized bullet points</w:t>
      </w:r>
      <w:r w:rsidR="00501B59">
        <w:t xml:space="preserve">. </w:t>
      </w:r>
      <w:r w:rsidR="00392A02">
        <w:t xml:space="preserve">During class on the due date, </w:t>
      </w:r>
      <w:r w:rsidR="00902B3F">
        <w:rPr>
          <w:b/>
          <w:bCs/>
        </w:rPr>
        <w:t>3 or 4 groups</w:t>
      </w:r>
      <w:r w:rsidR="00392A02">
        <w:t xml:space="preserve"> will be randomly selected to present their slides to the class. If you are in a group randomly selected, you </w:t>
      </w:r>
      <w:r w:rsidR="00902B3F">
        <w:t>can</w:t>
      </w:r>
      <w:r w:rsidR="00897C53">
        <w:t xml:space="preserve">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w:t>
      </w:r>
      <w:r w:rsidR="00902B3F">
        <w:t>Exceptions will be made for approved absences and in these cases, students should respectfully notify their group in advance.</w:t>
      </w:r>
    </w:p>
    <w:p w14:paraId="49486B28" w14:textId="77777777" w:rsidR="00902B3F" w:rsidRDefault="00902B3F" w:rsidP="00392A02">
      <w:pPr>
        <w:pStyle w:val="TextBody"/>
        <w:spacing w:after="0"/>
        <w:ind w:left="1627" w:hanging="1627"/>
      </w:pPr>
    </w:p>
    <w:p w14:paraId="714EA9F7" w14:textId="57717DB6" w:rsidR="00902B3F" w:rsidRDefault="00902B3F" w:rsidP="00902B3F">
      <w:pPr>
        <w:pStyle w:val="TextBody"/>
        <w:spacing w:after="0"/>
        <w:ind w:left="1627"/>
      </w:pPr>
      <w:r>
        <w:rPr>
          <w:bCs/>
        </w:rPr>
        <w:t>Th</w:t>
      </w:r>
      <w:r w:rsidR="002361B7">
        <w:rPr>
          <w:bCs/>
        </w:rPr>
        <w:t>ese</w:t>
      </w:r>
      <w:r>
        <w:rPr>
          <w:bCs/>
        </w:rPr>
        <w:t xml:space="preserve"> will be done in teams and you will be assessed by your peers based on your contribution. </w:t>
      </w:r>
      <w:r w:rsidRPr="00C05260">
        <w:rPr>
          <w:b/>
          <w:bCs/>
        </w:rPr>
        <w:t>See course website for more detailed information.</w:t>
      </w:r>
    </w:p>
    <w:p w14:paraId="5EDC986A" w14:textId="6F4D4991" w:rsidR="00042268" w:rsidRDefault="0048034F" w:rsidP="00902B3F">
      <w:pPr>
        <w:pStyle w:val="TextBody"/>
        <w:spacing w:before="120" w:after="0"/>
        <w:rPr>
          <w:b/>
        </w:rPr>
      </w:pPr>
      <w:r>
        <w:rPr>
          <w:b/>
        </w:rPr>
        <w:lastRenderedPageBreak/>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r w:rsidR="00236D67">
        <w:t xml:space="preserve">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Let me know if you need ARS accommodations.</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r w:rsidR="00897C53">
        <w:rPr>
          <w:b/>
          <w:bCs/>
        </w:rPr>
        <w:t>playoff</w:t>
      </w:r>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743285BE" w14:textId="750F9A24"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the coach or athlete and want to discover insights that would bring a competitive edge. You will have to establish a research goal, watch or play an event/game, gather the data, and summarize your results using statistics and visualization. There will be three important steps in this project where you will be assessed. You will be required to submit your data by a certain date in the second half of the semester. Then, you will submit your analysis of that data in a </w:t>
      </w:r>
      <w:r w:rsidR="00C05260">
        <w:rPr>
          <w:b/>
          <w:bCs/>
        </w:rPr>
        <w:t>5</w:t>
      </w:r>
      <w:r w:rsidR="00692366" w:rsidRPr="00692366">
        <w:rPr>
          <w:b/>
          <w:bCs/>
        </w:rPr>
        <w:t xml:space="preserve"> to 12 page paper</w:t>
      </w:r>
      <w:r w:rsidR="00692366">
        <w:t xml:space="preserve"> by </w:t>
      </w:r>
      <w:r w:rsidR="00692366" w:rsidRPr="00897C53">
        <w:rPr>
          <w:b/>
          <w:bCs/>
        </w:rPr>
        <w:t>11:59PM</w:t>
      </w:r>
      <w:r w:rsidR="00692366">
        <w:t xml:space="preserve"> on </w:t>
      </w:r>
      <w:r w:rsidR="00692366" w:rsidRPr="00897C53">
        <w:rPr>
          <w:b/>
          <w:bCs/>
        </w:rPr>
        <w:t>Monday, April 28</w:t>
      </w:r>
      <w:r w:rsidR="00897C53">
        <w:t xml:space="preserve">. Finally, you will be required to present your findings to the rest of the class during our university scheduled final exam period on </w:t>
      </w:r>
      <w:r w:rsidR="00897C53">
        <w:rPr>
          <w:b/>
          <w:bCs/>
        </w:rPr>
        <w:t xml:space="preserve">Wednesday, April 30 </w:t>
      </w:r>
      <w:r w:rsidR="00897C53">
        <w:t xml:space="preserve">between </w:t>
      </w:r>
      <w:r w:rsidR="00897C53">
        <w:rPr>
          <w:b/>
          <w:bCs/>
        </w:rPr>
        <w:t xml:space="preserve">12PM </w:t>
      </w:r>
      <w:r w:rsidR="00897C53">
        <w:t>and</w:t>
      </w:r>
      <w:r w:rsidR="00897C53">
        <w:rPr>
          <w:b/>
          <w:bCs/>
        </w:rPr>
        <w:t xml:space="preserve"> 3PM.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Many of the assessments in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30768765" w14:textId="77777777" w:rsidR="00902B3F" w:rsidRDefault="00902B3F" w:rsidP="003722CB">
      <w:pPr>
        <w:pStyle w:val="TextBody"/>
        <w:spacing w:before="240" w:after="0" w:line="240" w:lineRule="auto"/>
        <w:ind w:left="1627" w:hanging="1627"/>
        <w:rPr>
          <w:b/>
        </w:rPr>
      </w:pPr>
      <w:bookmarkStart w:id="6" w:name="_Hlk61803006"/>
    </w:p>
    <w:p w14:paraId="61D0D0B3" w14:textId="77777777" w:rsidR="00902B3F" w:rsidRDefault="00902B3F" w:rsidP="003722CB">
      <w:pPr>
        <w:pStyle w:val="TextBody"/>
        <w:spacing w:before="240" w:after="0" w:line="240" w:lineRule="auto"/>
        <w:ind w:left="1627" w:hanging="1627"/>
        <w:rPr>
          <w:b/>
        </w:rPr>
      </w:pPr>
    </w:p>
    <w:p w14:paraId="5CA7D06F" w14:textId="4E34FCBD" w:rsidR="00FA0F80" w:rsidRPr="00E066C6" w:rsidRDefault="00596076" w:rsidP="003722CB">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3"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4" w:history="1">
        <w:r w:rsidRPr="00284DDE">
          <w:rPr>
            <w:rStyle w:val="Hyperlink"/>
            <w:szCs w:val="28"/>
          </w:rPr>
          <w:t>University Approved Absence Office (UAAO) website</w:t>
        </w:r>
      </w:hyperlink>
      <w:r w:rsidRPr="00284DDE">
        <w:rPr>
          <w:szCs w:val="28"/>
        </w:rPr>
        <w:t xml:space="preserve"> provides information and </w:t>
      </w:r>
      <w:hyperlink r:id="rId15" w:history="1">
        <w:r w:rsidRPr="00284DDE">
          <w:rPr>
            <w:rStyle w:val="Hyperlink"/>
            <w:szCs w:val="28"/>
          </w:rPr>
          <w:t>FAQs for students</w:t>
        </w:r>
      </w:hyperlink>
      <w:r w:rsidRPr="00284DDE">
        <w:rPr>
          <w:szCs w:val="28"/>
        </w:rPr>
        <w:t xml:space="preserve"> and </w:t>
      </w:r>
      <w:hyperlink r:id="rId16"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7" w:history="1">
        <w:r w:rsidRPr="00284DDE">
          <w:rPr>
            <w:rStyle w:val="Hyperlink"/>
            <w:szCs w:val="28"/>
          </w:rPr>
          <w:t>Accessibility Resources and Service</w:t>
        </w:r>
      </w:hyperlink>
      <w:r w:rsidRPr="00284DDE">
        <w:rPr>
          <w:szCs w:val="28"/>
        </w:rPr>
        <w:t xml:space="preserve"> and/or the </w:t>
      </w:r>
      <w:hyperlink r:id="rId18"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9" w:history="1">
        <w:r w:rsidRPr="00284DDE">
          <w:rPr>
            <w:rStyle w:val="Hyperlink"/>
            <w:szCs w:val="28"/>
          </w:rPr>
          <w:t>Office of the Dean of Students</w:t>
        </w:r>
      </w:hyperlink>
      <w:r w:rsidRPr="00284DDE">
        <w:rPr>
          <w:szCs w:val="28"/>
        </w:rPr>
        <w:t xml:space="preserve">, </w:t>
      </w:r>
      <w:hyperlink r:id="rId20" w:history="1">
        <w:r w:rsidRPr="00284DDE">
          <w:rPr>
            <w:rStyle w:val="Hyperlink"/>
            <w:szCs w:val="28"/>
          </w:rPr>
          <w:t>Gender Violence Service Coordinators</w:t>
        </w:r>
      </w:hyperlink>
      <w:r w:rsidRPr="00284DDE">
        <w:rPr>
          <w:szCs w:val="28"/>
        </w:rPr>
        <w:t xml:space="preserve">, and/or the </w:t>
      </w:r>
      <w:hyperlink r:id="rId21"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t>Dr. Mario will require digital documentation in situations that are not University approved, but instructor approved. Withou</w:t>
      </w:r>
      <w:r w:rsidR="002C6702">
        <w:rPr>
          <w:szCs w:val="28"/>
        </w:rPr>
        <w:t>t emailed documentation</w:t>
      </w:r>
      <w:r w:rsidRPr="00284DDE">
        <w:rPr>
          <w:szCs w:val="28"/>
        </w:rPr>
        <w:t>, approval to miss class will definitely not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will also need to have a working laptop on days where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A1490D2" w:rsidR="002C6702" w:rsidRDefault="002C6702" w:rsidP="002C6702">
      <w:pPr>
        <w:ind w:left="1620" w:hanging="1620"/>
      </w:pPr>
      <w:r>
        <w:rPr>
          <w:b/>
          <w:bCs/>
          <w:szCs w:val="28"/>
        </w:rPr>
        <w:lastRenderedPageBreak/>
        <w:t xml:space="preserve">Artificial Intelligence Use:  </w:t>
      </w:r>
      <w:r>
        <w:t xml:space="preserve">In this course you can use generative AI tools to help you with writing code for your analyses. </w:t>
      </w:r>
    </w:p>
    <w:p w14:paraId="56C75220" w14:textId="34E9436C" w:rsidR="002C6702" w:rsidRDefault="002C6702" w:rsidP="0041515F">
      <w:pPr>
        <w:ind w:left="1620" w:hanging="1620"/>
        <w:rPr>
          <w:szCs w:val="28"/>
        </w:rPr>
      </w:pPr>
      <w:r>
        <w:rPr>
          <w:b/>
          <w:bCs/>
          <w:szCs w:val="28"/>
        </w:rPr>
        <w:tab/>
      </w:r>
      <w:r>
        <w:rPr>
          <w:szCs w:val="28"/>
        </w:rPr>
        <w:t xml:space="preserve">Generative AI is prohibited on all quizzes and should never be used in the writing on your slides or in your paper.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0D259D1" w:rsidR="0041515F" w:rsidRPr="0041515F" w:rsidRDefault="0041515F" w:rsidP="0041515F">
      <w:pPr>
        <w:ind w:left="1620" w:hanging="1620"/>
      </w:pPr>
      <w:r>
        <w:rPr>
          <w:b/>
          <w:bCs/>
          <w:szCs w:val="28"/>
        </w:rPr>
        <w:t xml:space="preserve">Late Submissions: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2" w:history="1">
        <w:r w:rsidR="0041515F" w:rsidRPr="0041515F">
          <w:rPr>
            <w:rStyle w:val="Hyperlink"/>
          </w:rPr>
          <w:t>Accessibility Resources and Service</w:t>
        </w:r>
      </w:hyperlink>
      <w:r w:rsidR="0041515F" w:rsidRPr="0041515F">
        <w:t xml:space="preserve"> (ARS – </w:t>
      </w:r>
      <w:hyperlink r:id="rId23"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4"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r w:rsidR="00EF19C2" w:rsidRPr="002440AF">
        <w:t>In particular, students</w:t>
      </w:r>
      <w:bookmarkEnd w:id="9"/>
      <w:r w:rsidR="00EF19C2" w:rsidRPr="002440AF">
        <w:t> are expected to be aware of policies related to academic integrity.  You can read more about the Code of Conduct at </w:t>
      </w:r>
      <w:hyperlink r:id="rId26" w:history="1">
        <w:r w:rsidR="00EF19C2" w:rsidRPr="002440AF">
          <w:rPr>
            <w:rStyle w:val="Hyperlink"/>
          </w:rPr>
          <w:t>studentconduct.unc.edu</w:t>
        </w:r>
      </w:hyperlink>
      <w:r w:rsidR="00EF19C2" w:rsidRPr="002440AF">
        <w:t xml:space="preserve">.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w:t>
      </w:r>
      <w:r w:rsidR="00EF19C2" w:rsidRPr="002440AF">
        <w:lastRenderedPageBreak/>
        <w:t>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7"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8"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9"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30"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1"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2" w:history="1">
        <w:r w:rsidR="00EF19C2" w:rsidRPr="00EF19C2">
          <w:rPr>
            <w:rStyle w:val="Hyperlink"/>
            <w:szCs w:val="28"/>
          </w:rPr>
          <w:t>online to the EOC</w:t>
        </w:r>
      </w:hyperlink>
      <w:r w:rsidR="00EF19C2" w:rsidRPr="00EF19C2">
        <w:rPr>
          <w:szCs w:val="28"/>
        </w:rPr>
        <w:t xml:space="preserve"> or by contacting the </w:t>
      </w:r>
      <w:hyperlink r:id="rId33" w:history="1">
        <w:r w:rsidR="00EF19C2" w:rsidRPr="00EF19C2">
          <w:rPr>
            <w:rStyle w:val="Hyperlink"/>
            <w:szCs w:val="28"/>
          </w:rPr>
          <w:t>University’s Title IX Coordinator</w:t>
        </w:r>
      </w:hyperlink>
      <w:r w:rsidR="00EF19C2" w:rsidRPr="00EF19C2">
        <w:rPr>
          <w:szCs w:val="28"/>
        </w:rPr>
        <w:t xml:space="preserve">, Elizabeth </w:t>
      </w:r>
      <w:r w:rsidR="00EF19C2" w:rsidRPr="00EF19C2">
        <w:rPr>
          <w:szCs w:val="28"/>
        </w:rPr>
        <w:lastRenderedPageBreak/>
        <w:t xml:space="preserve">Hall, or the </w:t>
      </w:r>
      <w:hyperlink r:id="rId34"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5"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6"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7"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8" w:history="1">
        <w:r w:rsidRPr="00EF19C2">
          <w:rPr>
            <w:rStyle w:val="Hyperlink"/>
            <w:szCs w:val="28"/>
          </w:rPr>
          <w:t>reportandresponse@unc.edu</w:t>
        </w:r>
      </w:hyperlink>
      <w:r w:rsidRPr="00EF19C2">
        <w:rPr>
          <w:szCs w:val="28"/>
        </w:rPr>
        <w:t xml:space="preserve"> or see additional contact info at </w:t>
      </w:r>
      <w:hyperlink r:id="rId39" w:history="1">
        <w:r w:rsidRPr="00EF19C2">
          <w:rPr>
            <w:rStyle w:val="Hyperlink"/>
            <w:szCs w:val="28"/>
          </w:rPr>
          <w:t>safe.unc.edu</w:t>
        </w:r>
      </w:hyperlink>
      <w:r w:rsidRPr="00EF19C2">
        <w:rPr>
          <w:szCs w:val="28"/>
        </w:rPr>
        <w:t xml:space="preserve">) or the Equal Opportunity and Compliance Office at </w:t>
      </w:r>
      <w:hyperlink r:id="rId40"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1" w:history="1">
        <w:r w:rsidR="00EF19C2" w:rsidRPr="00EF19C2">
          <w:rPr>
            <w:rStyle w:val="Hyperlink"/>
            <w:szCs w:val="28"/>
          </w:rPr>
          <w:t xml:space="preserve">UNC’s Learning Center </w:t>
        </w:r>
      </w:hyperlink>
      <w:r w:rsidR="00EF19C2" w:rsidRPr="00EF19C2">
        <w:rPr>
          <w:szCs w:val="28"/>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3"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lastRenderedPageBreak/>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Pr="00EF19C2" w:rsidRDefault="00EF19C2" w:rsidP="00EF19C2">
      <w:pPr>
        <w:ind w:left="1620" w:hanging="1620"/>
        <w:rPr>
          <w:b/>
          <w:bCs/>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4" w:history="1">
        <w:r w:rsidRPr="00EF19C2">
          <w:rPr>
            <w:rStyle w:val="Hyperlink"/>
            <w:szCs w:val="28"/>
          </w:rPr>
          <w:t>testing center website</w:t>
        </w:r>
      </w:hyperlink>
      <w:r w:rsidRPr="00EF19C2">
        <w:rPr>
          <w:szCs w:val="28"/>
        </w:rPr>
        <w:t xml:space="preserve">. </w:t>
      </w:r>
    </w:p>
    <w:p w14:paraId="4F32135F" w14:textId="57E32109"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4E4D0" w14:textId="77777777" w:rsidR="00242FB4" w:rsidRDefault="00242FB4" w:rsidP="0031465D">
      <w:pPr>
        <w:spacing w:after="0" w:line="240" w:lineRule="auto"/>
      </w:pPr>
      <w:r>
        <w:separator/>
      </w:r>
    </w:p>
  </w:endnote>
  <w:endnote w:type="continuationSeparator" w:id="0">
    <w:p w14:paraId="7A8F439C" w14:textId="77777777" w:rsidR="00242FB4" w:rsidRDefault="00242FB4"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AC61B" w14:textId="77777777" w:rsidR="00242FB4" w:rsidRDefault="00242FB4" w:rsidP="0031465D">
      <w:pPr>
        <w:spacing w:after="0" w:line="240" w:lineRule="auto"/>
      </w:pPr>
      <w:r>
        <w:separator/>
      </w:r>
    </w:p>
  </w:footnote>
  <w:footnote w:type="continuationSeparator" w:id="0">
    <w:p w14:paraId="632EF473" w14:textId="77777777" w:rsidR="00242FB4" w:rsidRDefault="00242FB4"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7C76"/>
    <w:rsid w:val="0012102F"/>
    <w:rsid w:val="00137DB7"/>
    <w:rsid w:val="00141866"/>
    <w:rsid w:val="0014452D"/>
    <w:rsid w:val="00147FA0"/>
    <w:rsid w:val="00150143"/>
    <w:rsid w:val="001610B9"/>
    <w:rsid w:val="001621C4"/>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0C0A"/>
    <w:rsid w:val="00221589"/>
    <w:rsid w:val="00225813"/>
    <w:rsid w:val="00233001"/>
    <w:rsid w:val="002361B7"/>
    <w:rsid w:val="00236777"/>
    <w:rsid w:val="00236D67"/>
    <w:rsid w:val="00242FB4"/>
    <w:rsid w:val="00254E7D"/>
    <w:rsid w:val="00257899"/>
    <w:rsid w:val="0026389B"/>
    <w:rsid w:val="00284DDE"/>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1CF"/>
    <w:rsid w:val="00401B38"/>
    <w:rsid w:val="00411871"/>
    <w:rsid w:val="0041515F"/>
    <w:rsid w:val="00415D14"/>
    <w:rsid w:val="00431003"/>
    <w:rsid w:val="00464CFE"/>
    <w:rsid w:val="0048034F"/>
    <w:rsid w:val="00483642"/>
    <w:rsid w:val="004A6CB4"/>
    <w:rsid w:val="004B551A"/>
    <w:rsid w:val="004D606E"/>
    <w:rsid w:val="004E3475"/>
    <w:rsid w:val="004E6FDB"/>
    <w:rsid w:val="005007DA"/>
    <w:rsid w:val="00501B59"/>
    <w:rsid w:val="00520C62"/>
    <w:rsid w:val="00521BE8"/>
    <w:rsid w:val="00524030"/>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507C"/>
    <w:rsid w:val="005F632E"/>
    <w:rsid w:val="005F74DD"/>
    <w:rsid w:val="00622F1C"/>
    <w:rsid w:val="00623331"/>
    <w:rsid w:val="00640E26"/>
    <w:rsid w:val="00653378"/>
    <w:rsid w:val="00661F0F"/>
    <w:rsid w:val="006739A1"/>
    <w:rsid w:val="00675EBC"/>
    <w:rsid w:val="00692366"/>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97C53"/>
    <w:rsid w:val="008A46A0"/>
    <w:rsid w:val="008B06B1"/>
    <w:rsid w:val="008B2FCD"/>
    <w:rsid w:val="008C4700"/>
    <w:rsid w:val="008D102F"/>
    <w:rsid w:val="008E4332"/>
    <w:rsid w:val="008F232A"/>
    <w:rsid w:val="008F4D18"/>
    <w:rsid w:val="00901FAC"/>
    <w:rsid w:val="00902B3F"/>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FB2"/>
    <w:rsid w:val="00A03722"/>
    <w:rsid w:val="00A04BC7"/>
    <w:rsid w:val="00A069B5"/>
    <w:rsid w:val="00A0706D"/>
    <w:rsid w:val="00A2363F"/>
    <w:rsid w:val="00A2413A"/>
    <w:rsid w:val="00A32578"/>
    <w:rsid w:val="00A45B0B"/>
    <w:rsid w:val="00A57DE4"/>
    <w:rsid w:val="00A624A6"/>
    <w:rsid w:val="00A66D66"/>
    <w:rsid w:val="00A77BBF"/>
    <w:rsid w:val="00A90FEB"/>
    <w:rsid w:val="00AA0737"/>
    <w:rsid w:val="00AA11FF"/>
    <w:rsid w:val="00AA1751"/>
    <w:rsid w:val="00AA22C3"/>
    <w:rsid w:val="00AA2602"/>
    <w:rsid w:val="00AA4FE6"/>
    <w:rsid w:val="00AA7F29"/>
    <w:rsid w:val="00AB0F8B"/>
    <w:rsid w:val="00AC72D6"/>
    <w:rsid w:val="00AD139E"/>
    <w:rsid w:val="00AD1910"/>
    <w:rsid w:val="00AD1D9F"/>
    <w:rsid w:val="00AE12B4"/>
    <w:rsid w:val="00AF2F6F"/>
    <w:rsid w:val="00AF63D2"/>
    <w:rsid w:val="00B00BDE"/>
    <w:rsid w:val="00B076E5"/>
    <w:rsid w:val="00B12447"/>
    <w:rsid w:val="00B230EF"/>
    <w:rsid w:val="00B26704"/>
    <w:rsid w:val="00B31478"/>
    <w:rsid w:val="00B417F4"/>
    <w:rsid w:val="00B41834"/>
    <w:rsid w:val="00B57E5B"/>
    <w:rsid w:val="00B630EB"/>
    <w:rsid w:val="00B64F1B"/>
    <w:rsid w:val="00B70565"/>
    <w:rsid w:val="00B734BA"/>
    <w:rsid w:val="00B8752B"/>
    <w:rsid w:val="00BB361A"/>
    <w:rsid w:val="00BC7197"/>
    <w:rsid w:val="00BE286F"/>
    <w:rsid w:val="00BF7A8F"/>
    <w:rsid w:val="00C05260"/>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E7989"/>
    <w:rsid w:val="00E032E7"/>
    <w:rsid w:val="00E21E5D"/>
    <w:rsid w:val="00E40C30"/>
    <w:rsid w:val="00E44321"/>
    <w:rsid w:val="00E5270D"/>
    <w:rsid w:val="00E730A0"/>
    <w:rsid w:val="00E74D71"/>
    <w:rsid w:val="00E825B6"/>
    <w:rsid w:val="00E825FE"/>
    <w:rsid w:val="00E8265E"/>
    <w:rsid w:val="00EA7F00"/>
    <w:rsid w:val="00EB437E"/>
    <w:rsid w:val="00EB7D10"/>
    <w:rsid w:val="00EC07DD"/>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675A1"/>
    <w:rsid w:val="00F82D7E"/>
    <w:rsid w:val="00F837BA"/>
    <w:rsid w:val="00F858B8"/>
    <w:rsid w:val="00FA0F80"/>
    <w:rsid w:val="00FA2DB1"/>
    <w:rsid w:val="00FA7ED9"/>
    <w:rsid w:val="00FB0D25"/>
    <w:rsid w:val="00FB2F83"/>
    <w:rsid w:val="00FB6350"/>
    <w:rsid w:val="00FC27DB"/>
    <w:rsid w:val="00FE7468"/>
    <w:rsid w:val="00FF24E4"/>
    <w:rsid w:val="00FF73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studentconduct.unc.edu/" TargetMode="External"/><Relationship Id="rId39" Type="http://schemas.openxmlformats.org/officeDocument/2006/relationships/hyperlink" Target="https://safe.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mailto:reportandresponse@unc.edu" TargetMode="External"/><Relationship Id="rId42" Type="http://schemas.openxmlformats.org/officeDocument/2006/relationships/hyperlink" Target="http://writingcenter.unc.edu/"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uaao.unc.edu/sample-page/" TargetMode="External"/><Relationship Id="rId29" Type="http://schemas.openxmlformats.org/officeDocument/2006/relationships/hyperlink" Target="https://www.unc.edu/about/privacy-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checkin.unc.edu/" TargetMode="External"/><Relationship Id="rId24" Type="http://schemas.openxmlformats.org/officeDocument/2006/relationships/hyperlink" Target="mailto:ars@unc.edu" TargetMode="External"/><Relationship Id="rId32" Type="http://schemas.openxmlformats.org/officeDocument/2006/relationships/hyperlink" Target="https://eoc.unc.edu/report-an-incident/" TargetMode="External"/><Relationship Id="rId37" Type="http://schemas.openxmlformats.org/officeDocument/2006/relationships/hyperlink" Target="https://eoc.unc.edu/our-policies/policy-statement-on-non-discrimination/" TargetMode="External"/><Relationship Id="rId40" Type="http://schemas.openxmlformats.org/officeDocument/2006/relationships/hyperlink" Target="https://eoc.unc.edu/report-an-inciden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aao.unc.edu/faqs-for-students/" TargetMode="External"/><Relationship Id="rId23" Type="http://schemas.openxmlformats.org/officeDocument/2006/relationships/hyperlink" Target="mailto:ars@unc.edu" TargetMode="External"/><Relationship Id="rId28" Type="http://schemas.openxmlformats.org/officeDocument/2006/relationships/hyperlink" Target="https://safecomputing.unc.edu/" TargetMode="External"/><Relationship Id="rId36" Type="http://schemas.openxmlformats.org/officeDocument/2006/relationships/hyperlink" Target="https://safe.unc.edu/" TargetMode="External"/><Relationship Id="rId10"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9" Type="http://schemas.openxmlformats.org/officeDocument/2006/relationships/hyperlink" Target="https://odos.unc.edu/" TargetMode="External"/><Relationship Id="rId31" Type="http://schemas.openxmlformats.org/officeDocument/2006/relationships/hyperlink" Target="https://caps.unc.edu/" TargetMode="External"/><Relationship Id="rId44"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sample-page/" TargetMode="External"/><Relationship Id="rId22" Type="http://schemas.openxmlformats.org/officeDocument/2006/relationships/hyperlink" Target="https://ars.unc.edu)" TargetMode="External"/><Relationship Id="rId27" Type="http://schemas.openxmlformats.org/officeDocument/2006/relationships/hyperlink" Target="https://policies.unc.edu/TDClient/2833/Portal/KB/ArticleDet?ID=131247" TargetMode="External"/><Relationship Id="rId30" Type="http://schemas.openxmlformats.org/officeDocument/2006/relationships/hyperlink" Target="http://care.unc.edu" TargetMode="External"/><Relationship Id="rId35" Type="http://schemas.openxmlformats.org/officeDocument/2006/relationships/hyperlink" Target="mailto:gvsc@unc.edu" TargetMode="External"/><Relationship Id="rId43" Type="http://schemas.openxmlformats.org/officeDocument/2006/relationships/hyperlink" Target="https://eoc.unc.edu/accommodations/"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uaao.unc.edu/submit-a-request/"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33" Type="http://schemas.openxmlformats.org/officeDocument/2006/relationships/hyperlink" Target="mailto:%20titleixcoordinator@unc.edu" TargetMode="External"/><Relationship Id="rId38" Type="http://schemas.openxmlformats.org/officeDocument/2006/relationships/hyperlink" Target="mailto:reportandresponse@unc.edu" TargetMode="External"/><Relationship Id="rId46" Type="http://schemas.openxmlformats.org/officeDocument/2006/relationships/theme" Target="theme/theme1.xml"/><Relationship Id="rId20" Type="http://schemas.openxmlformats.org/officeDocument/2006/relationships/hyperlink" Target="https://gvsc.unc.edu/" TargetMode="External"/><Relationship Id="rId41"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4203</TotalTime>
  <Pages>8</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153</cp:revision>
  <cp:lastPrinted>2019-09-12T02:35:00Z</cp:lastPrinted>
  <dcterms:created xsi:type="dcterms:W3CDTF">2017-08-22T18:20:00Z</dcterms:created>
  <dcterms:modified xsi:type="dcterms:W3CDTF">2025-01-08T01:06:00Z</dcterms:modified>
</cp:coreProperties>
</file>