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0FCDEF0B" w:rsidR="0008506C" w:rsidRDefault="00E24C23" w:rsidP="002F7AE7">
      <w:pPr>
        <w:pStyle w:val="TextBody"/>
        <w:spacing w:after="0" w:line="240" w:lineRule="auto"/>
        <w:jc w:val="center"/>
        <w:rPr>
          <w:rFonts w:ascii="CMBX12" w:hAnsi="CMBX12" w:hint="eastAsia"/>
          <w:sz w:val="34"/>
        </w:rPr>
      </w:pPr>
      <w:r>
        <w:rPr>
          <w:rFonts w:ascii="CMBX12" w:hAnsi="CMBX12"/>
          <w:sz w:val="34"/>
        </w:rPr>
        <w:t>Fall 2025</w:t>
      </w:r>
    </w:p>
    <w:p w14:paraId="030FA473" w14:textId="77777777" w:rsidR="002F7AE7" w:rsidRDefault="002F7AE7" w:rsidP="002F7AE7">
      <w:pPr>
        <w:pStyle w:val="TextBody"/>
        <w:spacing w:after="0" w:line="240" w:lineRule="auto"/>
        <w:jc w:val="center"/>
      </w:pPr>
    </w:p>
    <w:p w14:paraId="55B29528" w14:textId="023073D4"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4A0A44">
        <w:t>Monday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4A0A44">
        <w:t>1</w:t>
      </w:r>
      <w:r w:rsidR="00BC7197">
        <w:t xml:space="preserve">:30PM – </w:t>
      </w:r>
      <w:r w:rsidR="004A0A44">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5CAC87A4"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D32F6C">
        <w:t>Thursday</w:t>
      </w:r>
    </w:p>
    <w:p w14:paraId="68690BED" w14:textId="68A4F950"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w:t>
      </w:r>
      <w:r w:rsidR="00D32F6C">
        <w:t>2:00PM – 4:00PM</w:t>
      </w:r>
    </w:p>
    <w:p w14:paraId="5B3C6A4E" w14:textId="7F03DBDE" w:rsidR="00905116" w:rsidRPr="00905116" w:rsidRDefault="00905116" w:rsidP="00860AA8">
      <w:pPr>
        <w:suppressAutoHyphens w:val="0"/>
        <w:spacing w:after="0" w:line="240" w:lineRule="auto"/>
        <w:ind w:left="1627" w:hanging="1627"/>
        <w:textAlignment w:val="auto"/>
      </w:pPr>
      <w:r>
        <w:rPr>
          <w:b/>
          <w:bCs/>
        </w:rPr>
        <w:tab/>
      </w:r>
      <w:r>
        <w:t xml:space="preserve">Office: </w:t>
      </w:r>
      <w:r w:rsidR="006431C4">
        <w:t>Hanes B-04</w:t>
      </w:r>
    </w:p>
    <w:p w14:paraId="4880EC00" w14:textId="3FB8AD4C"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EC5300">
        <w:t>TTh</w:t>
      </w:r>
      <w:r w:rsidR="00072D23">
        <w:t xml:space="preserve"> from </w:t>
      </w:r>
      <w:r w:rsidR="00EC5300">
        <w:t>12</w:t>
      </w:r>
      <w:r w:rsidR="00EB437E">
        <w:t>:</w:t>
      </w:r>
      <w:r w:rsidR="00EC5300">
        <w:t>30P</w:t>
      </w:r>
      <w:r w:rsidR="00EB437E">
        <w:t xml:space="preserve">M to </w:t>
      </w:r>
      <w:r w:rsidR="00EC5300">
        <w:t>1</w:t>
      </w:r>
      <w:r w:rsidR="00EB437E">
        <w:t>:</w:t>
      </w:r>
      <w:r w:rsidR="00EC5300">
        <w:t>4</w:t>
      </w:r>
      <w:r w:rsidR="00EB437E">
        <w:t>5</w:t>
      </w:r>
      <w:r w:rsidR="00EC5300">
        <w:t>P</w:t>
      </w:r>
      <w:r w:rsidR="00EB437E">
        <w:t>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1C3AAE6" w14:textId="77777777" w:rsidR="00860AA8" w:rsidRDefault="00860AA8" w:rsidP="00AD1910">
      <w:pPr>
        <w:pStyle w:val="TextBody"/>
        <w:spacing w:after="0" w:line="240" w:lineRule="auto"/>
        <w:rPr>
          <w:b/>
          <w:bCs/>
          <w:szCs w:val="28"/>
        </w:rPr>
      </w:pPr>
      <w:bookmarkStart w:id="3" w:name="_Hlk16606276"/>
    </w:p>
    <w:p w14:paraId="5C70F898" w14:textId="77777777" w:rsidR="001066CE" w:rsidRDefault="001066CE" w:rsidP="00AD1910">
      <w:pPr>
        <w:pStyle w:val="TextBody"/>
        <w:spacing w:after="0" w:line="240" w:lineRule="auto"/>
        <w:rPr>
          <w:b/>
          <w:bCs/>
          <w:szCs w:val="28"/>
        </w:rPr>
      </w:pPr>
    </w:p>
    <w:p w14:paraId="2A9E002A" w14:textId="77777777" w:rsidR="001066CE" w:rsidRDefault="001066CE" w:rsidP="00AD1910">
      <w:pPr>
        <w:pStyle w:val="TextBody"/>
        <w:spacing w:after="0" w:line="240" w:lineRule="auto"/>
        <w:rPr>
          <w:b/>
          <w:bCs/>
          <w:szCs w:val="28"/>
        </w:rPr>
      </w:pPr>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6D6F305B"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EC02D3">
        <w:rPr>
          <w:szCs w:val="28"/>
        </w:rPr>
        <w:t>15</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6C8A98D0" w:rsidR="000A3088" w:rsidRDefault="000A3088" w:rsidP="00AA11FF">
      <w:pPr>
        <w:pStyle w:val="TextBody"/>
        <w:spacing w:after="0" w:line="240" w:lineRule="auto"/>
        <w:ind w:left="914" w:firstLine="706"/>
        <w:rPr>
          <w:szCs w:val="28"/>
        </w:rPr>
      </w:pPr>
      <w:r>
        <w:rPr>
          <w:szCs w:val="28"/>
        </w:rPr>
        <w:t>Playoff (</w:t>
      </w:r>
      <w:r w:rsidR="009C5876">
        <w:rPr>
          <w:szCs w:val="28"/>
        </w:rPr>
        <w:t>2</w:t>
      </w:r>
      <w:r w:rsidR="00EC02D3">
        <w:rPr>
          <w:szCs w:val="28"/>
        </w:rPr>
        <w:t>5</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lastRenderedPageBreak/>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3AC9E115"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5246A4">
        <w:rPr>
          <w:b/>
          <w:bCs/>
        </w:rPr>
        <w:t>Tuesday</w:t>
      </w:r>
      <w:r w:rsidR="00692366" w:rsidRPr="00897C53">
        <w:rPr>
          <w:b/>
          <w:bCs/>
        </w:rPr>
        <w:t xml:space="preserve">, </w:t>
      </w:r>
      <w:r w:rsidR="00B32AC5">
        <w:rPr>
          <w:b/>
          <w:bCs/>
        </w:rPr>
        <w:t>December</w:t>
      </w:r>
      <w:r w:rsidR="00692366" w:rsidRPr="00897C53">
        <w:rPr>
          <w:b/>
          <w:bCs/>
        </w:rPr>
        <w:t xml:space="preserve"> </w:t>
      </w:r>
      <w:r w:rsidR="005246A4">
        <w:rPr>
          <w:b/>
          <w:bCs/>
        </w:rPr>
        <w:t>2</w:t>
      </w:r>
      <w:r w:rsidR="00897C53">
        <w:t xml:space="preserve">. Finally, you will be required to present your findings to the rest of the class during our university scheduled final exam period on </w:t>
      </w:r>
      <w:r w:rsidR="00B32AC5">
        <w:rPr>
          <w:b/>
          <w:bCs/>
        </w:rPr>
        <w:t>Monday</w:t>
      </w:r>
      <w:r w:rsidR="00897C53">
        <w:rPr>
          <w:b/>
          <w:bCs/>
        </w:rPr>
        <w:t xml:space="preserve">, </w:t>
      </w:r>
      <w:r w:rsidR="00B32AC5">
        <w:rPr>
          <w:b/>
          <w:bCs/>
        </w:rPr>
        <w:t>December 8</w:t>
      </w:r>
      <w:r w:rsidR="00897C53">
        <w:rPr>
          <w:b/>
          <w:bCs/>
        </w:rPr>
        <w:t xml:space="preserve"> </w:t>
      </w:r>
      <w:r w:rsidR="00897C53">
        <w:t xml:space="preserve">between </w:t>
      </w:r>
      <w:r w:rsidR="00B32AC5">
        <w:rPr>
          <w:b/>
          <w:bCs/>
        </w:rPr>
        <w:t>4</w:t>
      </w:r>
      <w:r w:rsidR="00897C53">
        <w:rPr>
          <w:b/>
          <w:bCs/>
        </w:rPr>
        <w:t xml:space="preserve">PM </w:t>
      </w:r>
      <w:r w:rsidR="00897C53">
        <w:t>and</w:t>
      </w:r>
      <w:r w:rsidR="00897C53">
        <w:rPr>
          <w:b/>
          <w:bCs/>
        </w:rPr>
        <w:t xml:space="preserve"> </w:t>
      </w:r>
      <w:r w:rsidR="00B32AC5">
        <w:rPr>
          <w:b/>
          <w:bCs/>
        </w:rPr>
        <w:t>7</w:t>
      </w:r>
      <w:r w:rsidR="00897C53">
        <w:rPr>
          <w:b/>
          <w:bCs/>
        </w:rPr>
        <w:t xml:space="preserve">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2"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3" w:history="1">
        <w:r w:rsidRPr="00284DDE">
          <w:rPr>
            <w:rStyle w:val="Hyperlink"/>
            <w:szCs w:val="28"/>
          </w:rPr>
          <w:t>University Approved Absence Office (UAAO) website</w:t>
        </w:r>
      </w:hyperlink>
      <w:r w:rsidRPr="00284DDE">
        <w:rPr>
          <w:szCs w:val="28"/>
        </w:rPr>
        <w:t xml:space="preserve"> provides information and </w:t>
      </w:r>
      <w:hyperlink r:id="rId14" w:history="1">
        <w:r w:rsidRPr="00284DDE">
          <w:rPr>
            <w:rStyle w:val="Hyperlink"/>
            <w:szCs w:val="28"/>
          </w:rPr>
          <w:t>FAQs for students</w:t>
        </w:r>
      </w:hyperlink>
      <w:r w:rsidRPr="00284DDE">
        <w:rPr>
          <w:szCs w:val="28"/>
        </w:rPr>
        <w:t xml:space="preserve"> and </w:t>
      </w:r>
      <w:hyperlink r:id="rId15"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6" w:history="1">
        <w:r w:rsidRPr="00284DDE">
          <w:rPr>
            <w:rStyle w:val="Hyperlink"/>
            <w:szCs w:val="28"/>
          </w:rPr>
          <w:t>Accessibility Resources and Service</w:t>
        </w:r>
      </w:hyperlink>
      <w:r w:rsidRPr="00284DDE">
        <w:rPr>
          <w:szCs w:val="28"/>
        </w:rPr>
        <w:t xml:space="preserve"> and/or the </w:t>
      </w:r>
      <w:hyperlink r:id="rId17"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8" w:history="1">
        <w:r w:rsidRPr="00284DDE">
          <w:rPr>
            <w:rStyle w:val="Hyperlink"/>
            <w:szCs w:val="28"/>
          </w:rPr>
          <w:t>Office of the Dean of Students</w:t>
        </w:r>
      </w:hyperlink>
      <w:r w:rsidRPr="00284DDE">
        <w:rPr>
          <w:szCs w:val="28"/>
        </w:rPr>
        <w:t xml:space="preserve">, </w:t>
      </w:r>
      <w:hyperlink r:id="rId19" w:history="1">
        <w:r w:rsidRPr="00284DDE">
          <w:rPr>
            <w:rStyle w:val="Hyperlink"/>
            <w:szCs w:val="28"/>
          </w:rPr>
          <w:t>Gender Violence Service Coordinators</w:t>
        </w:r>
      </w:hyperlink>
      <w:r w:rsidRPr="00284DDE">
        <w:rPr>
          <w:szCs w:val="28"/>
        </w:rPr>
        <w:t xml:space="preserve">, and/or the </w:t>
      </w:r>
      <w:hyperlink r:id="rId20"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594BDC8" w:rsidR="002C6702" w:rsidRDefault="002C6702" w:rsidP="002C6702">
      <w:pPr>
        <w:ind w:left="1620" w:hanging="1620"/>
      </w:pPr>
      <w:r>
        <w:rPr>
          <w:b/>
          <w:bCs/>
          <w:szCs w:val="28"/>
        </w:rPr>
        <w:lastRenderedPageBreak/>
        <w:t xml:space="preserve">Artificial Intelligence Use: </w:t>
      </w:r>
      <w:r>
        <w:t xml:space="preserve">In this course you can use generative AI tools to help you with writing code for your analyses. </w:t>
      </w:r>
    </w:p>
    <w:p w14:paraId="56C75220" w14:textId="55679E3C" w:rsidR="002C6702" w:rsidRDefault="002C6702" w:rsidP="0041515F">
      <w:pPr>
        <w:ind w:left="1620" w:hanging="1620"/>
        <w:rPr>
          <w:szCs w:val="28"/>
        </w:rPr>
      </w:pPr>
      <w:r>
        <w:rPr>
          <w:b/>
          <w:bCs/>
          <w:szCs w:val="28"/>
        </w:rPr>
        <w:tab/>
      </w:r>
      <w:r>
        <w:rPr>
          <w:szCs w:val="28"/>
        </w:rPr>
        <w:t xml:space="preserve">Generative AI is prohibited on all quizzes and should never be used </w:t>
      </w:r>
      <w:r w:rsidR="00B32AC5">
        <w:rPr>
          <w:szCs w:val="28"/>
        </w:rPr>
        <w:t>to create your slides or write your papers</w:t>
      </w:r>
      <w:r>
        <w:rPr>
          <w:szCs w:val="28"/>
        </w:rPr>
        <w:t xml:space="preserve">.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32E3818"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1" w:history="1">
        <w:r w:rsidR="0041515F" w:rsidRPr="0041515F">
          <w:rPr>
            <w:rStyle w:val="Hyperlink"/>
          </w:rPr>
          <w:t>Accessibility Resources and Service</w:t>
        </w:r>
      </w:hyperlink>
      <w:r w:rsidR="0041515F" w:rsidRPr="0041515F">
        <w:t xml:space="preserve"> (ARS – </w:t>
      </w:r>
      <w:hyperlink r:id="rId22"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3"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5"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7"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8"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29"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0"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1" w:history="1">
        <w:r w:rsidR="00EF19C2" w:rsidRPr="00EF19C2">
          <w:rPr>
            <w:rStyle w:val="Hyperlink"/>
            <w:szCs w:val="28"/>
          </w:rPr>
          <w:t>online to the EOC</w:t>
        </w:r>
      </w:hyperlink>
      <w:r w:rsidR="00EF19C2" w:rsidRPr="00EF19C2">
        <w:rPr>
          <w:szCs w:val="28"/>
        </w:rPr>
        <w:t xml:space="preserve"> or by contacting the </w:t>
      </w:r>
      <w:hyperlink r:id="rId32"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3"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4"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5"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7" w:history="1">
        <w:r w:rsidRPr="00EF19C2">
          <w:rPr>
            <w:rStyle w:val="Hyperlink"/>
            <w:szCs w:val="28"/>
          </w:rPr>
          <w:t>reportandresponse@unc.edu</w:t>
        </w:r>
      </w:hyperlink>
      <w:r w:rsidRPr="00EF19C2">
        <w:rPr>
          <w:szCs w:val="28"/>
        </w:rPr>
        <w:t xml:space="preserve"> or see additional contact info at </w:t>
      </w:r>
      <w:hyperlink r:id="rId38" w:history="1">
        <w:r w:rsidRPr="00EF19C2">
          <w:rPr>
            <w:rStyle w:val="Hyperlink"/>
            <w:szCs w:val="28"/>
          </w:rPr>
          <w:t>safe.unc.edu</w:t>
        </w:r>
      </w:hyperlink>
      <w:r w:rsidRPr="00EF19C2">
        <w:rPr>
          <w:szCs w:val="28"/>
        </w:rPr>
        <w:t xml:space="preserve">) or the Equal Opportunity and Compliance Office at </w:t>
      </w:r>
      <w:hyperlink r:id="rId39"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0"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2"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Default="00EF19C2" w:rsidP="00EF19C2">
      <w:pPr>
        <w:ind w:left="1620" w:hanging="1620"/>
        <w:rPr>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EF19C2">
          <w:rPr>
            <w:rStyle w:val="Hyperlink"/>
            <w:szCs w:val="28"/>
          </w:rPr>
          <w:t>testing center website</w:t>
        </w:r>
      </w:hyperlink>
      <w:r w:rsidRPr="00EF19C2">
        <w:rPr>
          <w:szCs w:val="28"/>
        </w:rPr>
        <w:t xml:space="preserve">. </w:t>
      </w:r>
    </w:p>
    <w:p w14:paraId="2A1B5E1B" w14:textId="0D1FCA64" w:rsidR="00A73861" w:rsidRDefault="00A73861" w:rsidP="00A73861">
      <w:pPr>
        <w:ind w:left="1620" w:hanging="1620"/>
        <w:rPr>
          <w:rFonts w:cs="Calibri"/>
        </w:rPr>
      </w:pPr>
      <w:r>
        <w:rPr>
          <w:b/>
          <w:bCs/>
          <w:szCs w:val="28"/>
        </w:rPr>
        <w:t xml:space="preserve">Cheating Bonus: </w:t>
      </w:r>
      <w:r>
        <w:rPr>
          <w:rFonts w:cs="Calibri"/>
        </w:rPr>
        <w:t>If you get caught cheating and I am successful at prosecuting your cheating violation with the university, you will not get access to any bonus curving. This includes the curving awarded in the homework policy and any extra curving at the end of the semester.</w:t>
      </w:r>
    </w:p>
    <w:p w14:paraId="4A56BE9C" w14:textId="76F5F2C5" w:rsidR="00A73861" w:rsidRPr="00EF19C2" w:rsidRDefault="00A73861" w:rsidP="00A73861">
      <w:pPr>
        <w:ind w:left="1620"/>
        <w:rPr>
          <w:b/>
          <w:bCs/>
          <w:szCs w:val="28"/>
        </w:rPr>
      </w:pPr>
      <w:r>
        <w:rPr>
          <w:rFonts w:cs="Calibri"/>
        </w:rPr>
        <w:t xml:space="preserve">Also, for every student that gets caught and convicted for cheating, every student who does not cheat will receive a 1% curve to their final grade beyond whatever generous curve I give at the end of the semester.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128B8" w14:textId="77777777" w:rsidR="0057699B" w:rsidRDefault="0057699B" w:rsidP="0031465D">
      <w:pPr>
        <w:spacing w:after="0" w:line="240" w:lineRule="auto"/>
      </w:pPr>
      <w:r>
        <w:separator/>
      </w:r>
    </w:p>
  </w:endnote>
  <w:endnote w:type="continuationSeparator" w:id="0">
    <w:p w14:paraId="0A7FF060" w14:textId="77777777" w:rsidR="0057699B" w:rsidRDefault="0057699B"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1A534" w14:textId="77777777" w:rsidR="0057699B" w:rsidRDefault="0057699B" w:rsidP="0031465D">
      <w:pPr>
        <w:spacing w:after="0" w:line="240" w:lineRule="auto"/>
      </w:pPr>
      <w:r>
        <w:separator/>
      </w:r>
    </w:p>
  </w:footnote>
  <w:footnote w:type="continuationSeparator" w:id="0">
    <w:p w14:paraId="478B71D3" w14:textId="77777777" w:rsidR="0057699B" w:rsidRDefault="0057699B"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1BEB"/>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66CE"/>
    <w:rsid w:val="00107C76"/>
    <w:rsid w:val="00113634"/>
    <w:rsid w:val="0012102F"/>
    <w:rsid w:val="00137DB7"/>
    <w:rsid w:val="00141866"/>
    <w:rsid w:val="0014452D"/>
    <w:rsid w:val="00147FA0"/>
    <w:rsid w:val="00150143"/>
    <w:rsid w:val="001610B9"/>
    <w:rsid w:val="001621C4"/>
    <w:rsid w:val="00167022"/>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6585"/>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27ED0"/>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0A0B"/>
    <w:rsid w:val="004A0A44"/>
    <w:rsid w:val="004A6CB4"/>
    <w:rsid w:val="004B551A"/>
    <w:rsid w:val="004D606E"/>
    <w:rsid w:val="004E3475"/>
    <w:rsid w:val="004E6FDB"/>
    <w:rsid w:val="005007DA"/>
    <w:rsid w:val="00501B59"/>
    <w:rsid w:val="00520C62"/>
    <w:rsid w:val="00521BE8"/>
    <w:rsid w:val="00524030"/>
    <w:rsid w:val="005246A4"/>
    <w:rsid w:val="005337F7"/>
    <w:rsid w:val="005350FB"/>
    <w:rsid w:val="0054290B"/>
    <w:rsid w:val="005462EC"/>
    <w:rsid w:val="00546B64"/>
    <w:rsid w:val="00565AF3"/>
    <w:rsid w:val="005731B9"/>
    <w:rsid w:val="005732CD"/>
    <w:rsid w:val="00573445"/>
    <w:rsid w:val="00575263"/>
    <w:rsid w:val="0057699B"/>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431C4"/>
    <w:rsid w:val="00653378"/>
    <w:rsid w:val="00661F0F"/>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85069"/>
    <w:rsid w:val="0089292A"/>
    <w:rsid w:val="008937D1"/>
    <w:rsid w:val="00895B05"/>
    <w:rsid w:val="00897C53"/>
    <w:rsid w:val="008A46A0"/>
    <w:rsid w:val="008B06B1"/>
    <w:rsid w:val="008B2FCD"/>
    <w:rsid w:val="008C4700"/>
    <w:rsid w:val="008D102F"/>
    <w:rsid w:val="008D7B97"/>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455"/>
    <w:rsid w:val="009F6FB2"/>
    <w:rsid w:val="00A03722"/>
    <w:rsid w:val="00A03FB5"/>
    <w:rsid w:val="00A04BC7"/>
    <w:rsid w:val="00A069B5"/>
    <w:rsid w:val="00A0706D"/>
    <w:rsid w:val="00A2363F"/>
    <w:rsid w:val="00A2413A"/>
    <w:rsid w:val="00A32578"/>
    <w:rsid w:val="00A45B0B"/>
    <w:rsid w:val="00A46693"/>
    <w:rsid w:val="00A57DE4"/>
    <w:rsid w:val="00A624A6"/>
    <w:rsid w:val="00A66D66"/>
    <w:rsid w:val="00A73861"/>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32AC5"/>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2F6C"/>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C6357"/>
    <w:rsid w:val="00DE7989"/>
    <w:rsid w:val="00E032E7"/>
    <w:rsid w:val="00E21E5D"/>
    <w:rsid w:val="00E24C23"/>
    <w:rsid w:val="00E40C30"/>
    <w:rsid w:val="00E44321"/>
    <w:rsid w:val="00E5270D"/>
    <w:rsid w:val="00E730A0"/>
    <w:rsid w:val="00E74D71"/>
    <w:rsid w:val="00E825B6"/>
    <w:rsid w:val="00E825FE"/>
    <w:rsid w:val="00E8265E"/>
    <w:rsid w:val="00EA7F00"/>
    <w:rsid w:val="00EB437E"/>
    <w:rsid w:val="00EB7D10"/>
    <w:rsid w:val="00EC02D3"/>
    <w:rsid w:val="00EC07DD"/>
    <w:rsid w:val="00EC1F3D"/>
    <w:rsid w:val="00EC5300"/>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82D7E"/>
    <w:rsid w:val="00F837BA"/>
    <w:rsid w:val="00F858B8"/>
    <w:rsid w:val="00FA0F80"/>
    <w:rsid w:val="00FA2DB1"/>
    <w:rsid w:val="00FA7ED9"/>
    <w:rsid w:val="00FB0D25"/>
    <w:rsid w:val="00FB2F83"/>
    <w:rsid w:val="00FB6350"/>
    <w:rsid w:val="00FC27DB"/>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policies.unc.edu/TDClient/2833/Portal/KB/ArticleDet?ID=131247" TargetMode="External"/><Relationship Id="rId39" Type="http://schemas.openxmlformats.org/officeDocument/2006/relationships/hyperlink" Target="https://eoc.unc.edu/report-an-incident/" TargetMode="External"/><Relationship Id="rId21" Type="http://schemas.openxmlformats.org/officeDocument/2006/relationships/hyperlink" Target="https://ars.unc.edu)" TargetMode="External"/><Relationship Id="rId34" Type="http://schemas.openxmlformats.org/officeDocument/2006/relationships/hyperlink" Target="mailto:gvsc@unc.edu" TargetMode="External"/><Relationship Id="rId42" Type="http://schemas.openxmlformats.org/officeDocument/2006/relationships/hyperlink" Target="https://eoc.unc.edu/accommodations/"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ars.unc.edu/" TargetMode="External"/><Relationship Id="rId29" Type="http://schemas.openxmlformats.org/officeDocument/2006/relationships/hyperlink" Target="http://car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ao.unc.edu/submit-a-request/" TargetMode="External"/><Relationship Id="rId24" Type="http://schemas.openxmlformats.org/officeDocument/2006/relationships/hyperlink" Target="http://testingcenter.web.unc.edu/" TargetMode="External"/><Relationship Id="rId32" Type="http://schemas.openxmlformats.org/officeDocument/2006/relationships/hyperlink" Target="mailto:%20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learningcenter.unc.edu/"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https://www.unc.edu/about/privacy-statement/"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safecomputing.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yperlink" Target="http://testingcenter.web.unc.edu/"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studentconduct.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eoc.unc.edu/what-we-do/accommodations/" TargetMode="External"/><Relationship Id="rId41"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4237</TotalTime>
  <Pages>8</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161</cp:revision>
  <cp:lastPrinted>2025-08-19T16:12:00Z</cp:lastPrinted>
  <dcterms:created xsi:type="dcterms:W3CDTF">2017-08-22T18:20:00Z</dcterms:created>
  <dcterms:modified xsi:type="dcterms:W3CDTF">2025-08-19T16:13:00Z</dcterms:modified>
</cp:coreProperties>
</file>