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Calibri" w:hAnsi="Calibri" w:eastAsia="Microsoft YaHei"/>
          <w:b/>
          <w:color w:val="9D741D"/>
          <w:sz w:val="22"/>
        </w:rPr>
        <w:t>PROJECT REPORT</w:t>
      </w:r>
    </w:p>
    <w:p>
      <w:pPr>
        <w:spacing w:after="160"/>
        <w:jc w:val="center"/>
      </w:pPr>
      <w:r>
        <w:rPr>
          <w:rFonts w:ascii="Calibri" w:hAnsi="Calibri" w:eastAsia="Microsoft YaHei"/>
          <w:b/>
          <w:color w:val="102A43"/>
          <w:sz w:val="60"/>
        </w:rPr>
        <w:t>Mini-GRP v3.3</w:t>
      </w:r>
    </w:p>
    <w:p>
      <w:pPr>
        <w:spacing w:after="80"/>
        <w:jc w:val="center"/>
      </w:pPr>
      <w:r>
        <w:rPr>
          <w:rFonts w:ascii="Calibri" w:hAnsi="Calibri" w:eastAsia="Microsoft YaHei"/>
          <w:b/>
          <w:color w:val="1F4D78"/>
          <w:sz w:val="36"/>
        </w:rPr>
        <w:t>完整项目报告</w:t>
      </w:r>
    </w:p>
    <w:p>
      <w:pPr>
        <w:spacing w:after="560"/>
        <w:jc w:val="center"/>
      </w:pPr>
      <w:r>
        <w:rPr>
          <w:rFonts w:ascii="Calibri" w:hAnsi="Calibri" w:eastAsia="Microsoft YaHei"/>
          <w:color w:val="5A6B78"/>
          <w:sz w:val="26"/>
        </w:rPr>
        <w:t>从面试原型到可审计量化研究框架</w:t>
      </w:r>
    </w:p>
    <w:p>
      <w:pPr>
        <w:pBdr>
          <w:bottom w:val="single" w:sz="16" w:space="8" w:color="9D741D"/>
        </w:pBdr>
      </w:pPr>
    </w:p>
    <w:p>
      <w:pPr>
        <w:spacing w:before="440" w:after="80"/>
        <w:jc w:val="center"/>
      </w:pPr>
      <w:r>
        <w:rPr>
          <w:rFonts w:ascii="Calibri" w:hAnsi="Calibri" w:eastAsia="Microsoft YaHei"/>
          <w:b/>
          <w:color w:val="5A6B78"/>
          <w:sz w:val="21"/>
        </w:rPr>
        <w:t>19 因子 | 5 维度 | 数据治理 | Walk-forward | CI/CD</w:t>
      </w:r>
    </w:p>
    <w:p>
      <w:pPr>
        <w:jc w:val="center"/>
      </w:pPr>
      <w:r>
        <w:rPr>
          <w:rFonts w:ascii="Calibri" w:hAnsi="Calibri" w:eastAsia="Microsoft YaHei"/>
          <w:color w:val="5A6B78"/>
          <w:sz w:val="21"/>
        </w:rPr>
        <w:t>报告日期：2026-06-12</w:t>
      </w:r>
    </w:p>
    <w:p>
      <w:pPr>
        <w:jc w:val="center"/>
      </w:pPr>
      <w:hyperlink r:id="rId9">
        <w:r>
          <w:rPr>
            <w:color w:val="2E74B5"/>
            <w:u w:val="single"/>
          </w:rPr>
          <w:t>github.com/SuperMarioGotze27/mini-grp-v32</w:t>
        </w:r>
      </w:hyperlink>
    </w:p>
    <w:p>
      <w:r>
        <w:br w:type="page"/>
      </w:r>
    </w:p>
    <w:p>
      <w:pPr>
        <w:pStyle w:val="Heading1"/>
      </w:pPr>
      <w:r>
        <w:t>报告结构</w:t>
      </w:r>
    </w:p>
    <w:p>
      <w:pPr>
        <w:numPr>
          <w:ilvl w:val="0"/>
          <w:numId w:val="10"/>
        </w:numPr>
      </w:pPr>
      <w:r>
        <w:rPr>
          <w:rFonts w:ascii="Calibri" w:hAnsi="Calibri" w:eastAsia="Microsoft YaHei"/>
          <w:color w:val="102A43"/>
          <w:sz w:val="21"/>
        </w:rPr>
        <w:t>执行摘要与项目起点</w:t>
      </w:r>
    </w:p>
    <w:p>
      <w:pPr>
        <w:numPr>
          <w:ilvl w:val="0"/>
          <w:numId w:val="10"/>
        </w:numPr>
      </w:pPr>
      <w:r>
        <w:rPr>
          <w:rFonts w:ascii="Calibri" w:hAnsi="Calibri" w:eastAsia="Microsoft YaHei"/>
          <w:color w:val="102A43"/>
          <w:sz w:val="21"/>
        </w:rPr>
        <w:t>版本演进与系统架构</w:t>
      </w:r>
    </w:p>
    <w:p>
      <w:pPr>
        <w:numPr>
          <w:ilvl w:val="0"/>
          <w:numId w:val="10"/>
        </w:numPr>
      </w:pPr>
      <w:r>
        <w:rPr>
          <w:rFonts w:ascii="Calibri" w:hAnsi="Calibri" w:eastAsia="Microsoft YaHei"/>
          <w:color w:val="102A43"/>
          <w:sz w:val="21"/>
        </w:rPr>
        <w:t>数据治理、因子模型与评分</w:t>
      </w:r>
    </w:p>
    <w:p>
      <w:pPr>
        <w:numPr>
          <w:ilvl w:val="0"/>
          <w:numId w:val="10"/>
        </w:numPr>
      </w:pPr>
      <w:r>
        <w:rPr>
          <w:rFonts w:ascii="Calibri" w:hAnsi="Calibri" w:eastAsia="Microsoft YaHei"/>
          <w:color w:val="102A43"/>
          <w:sz w:val="21"/>
        </w:rPr>
        <w:t>Walk-forward 回测与问题修复</w:t>
      </w:r>
    </w:p>
    <w:p>
      <w:pPr>
        <w:numPr>
          <w:ilvl w:val="0"/>
          <w:numId w:val="10"/>
        </w:numPr>
      </w:pPr>
      <w:r>
        <w:rPr>
          <w:rFonts w:ascii="Calibri" w:hAnsi="Calibri" w:eastAsia="Microsoft YaHei"/>
          <w:color w:val="102A43"/>
          <w:sz w:val="21"/>
        </w:rPr>
        <w:t>验证结果、风险、路线图与面试展示</w:t>
      </w:r>
    </w:p>
    <w:p>
      <w:pPr>
        <w:pStyle w:val="Callout"/>
        <w:shd w:fill="F4F6F9"/>
      </w:pPr>
      <w:r>
        <w:rPr>
          <w:rFonts w:ascii="Calibri" w:hAnsi="Calibri" w:eastAsia="Microsoft YaHei"/>
          <w:color w:val="102A43"/>
          <w:sz w:val="21"/>
        </w:rPr>
        <w:t>说明：本报告区分设计愿景、实际已验证功能和未来计划。所有回测数字均标注数据身份。</w:t>
      </w:r>
    </w:p>
    <w:p>
      <w:pPr>
        <w:pStyle w:val="Heading1"/>
      </w:pPr>
      <w:r>
        <w:t>执行摘要</w:t>
      </w:r>
    </w:p>
    <w:p>
      <w:r>
        <w:rPr>
          <w:rFonts w:ascii="Calibri" w:hAnsi="Calibri" w:eastAsia="Microsoft YaHei"/>
          <w:color w:val="102A43"/>
          <w:sz w:val="21"/>
        </w:rPr>
        <w:t>Mini-GRP 的出发点，是把一次面试中接触到的机构投资研究理念，转化为一个可以运行、解释、验证和持续迭代的个人项目。项目参考了 Principal 历史公开材料中对 Global Research Platform（GRP）的描述：GRP 是一种用于扩大研究覆盖面、提高研究客观性并把分析师注意力集中到较小候选集合的股票排名框架。公开材料还强调了相对区域行业同业进行比较，以及量化筛选与基本面研究结合的思路。</w:t>
      </w:r>
    </w:p>
    <w:p>
      <w:r>
        <w:rPr>
          <w:rFonts w:ascii="Calibri" w:hAnsi="Calibri" w:eastAsia="Microsoft YaHei"/>
          <w:color w:val="102A43"/>
          <w:sz w:val="21"/>
        </w:rPr>
        <w:t>Mini-GRP 没有试图复制机构系统的全部复杂度，而是抽取了一个可交付的核心闭环：统一数据接口、因子处理、五维评分、行业内排名、Top-N 输出、Walk-forward 评估、可视化与部署。它从最初的 A 股 16 因子原型，逐步扩展到 19 因子、预期差维度、跨市场接口、ML 实验模块和 Streamlit 应用。</w:t>
      </w:r>
    </w:p>
    <w:p>
      <w:r>
        <w:rPr>
          <w:rFonts w:ascii="Calibri" w:hAnsi="Calibri" w:eastAsia="Microsoft YaHei"/>
          <w:color w:val="102A43"/>
          <w:sz w:val="21"/>
        </w:rPr>
        <w:t>本次 v3.3 改进的重点不是继续增加功能，而是把项目从“能展示的原型”推进到“行为清楚、结果可追溯、失败不伪装”的研究工程版本。主要成果包括：</w:t>
      </w:r>
    </w:p>
    <w:p>
      <w:pPr>
        <w:numPr>
          <w:ilvl w:val="0"/>
          <w:numId w:val="12"/>
        </w:numPr>
      </w:pPr>
      <w:r>
        <w:rPr>
          <w:rFonts w:ascii="Calibri" w:hAnsi="Calibri" w:eastAsia="Microsoft YaHei"/>
          <w:color w:val="102A43"/>
          <w:sz w:val="21"/>
        </w:rPr>
        <w:t>恢复并纳入完整模块代码，解决远程仓库只有少量入口文件、无法体现真实工程内容的问题。</w:t>
      </w:r>
    </w:p>
    <w:p>
      <w:pPr>
        <w:numPr>
          <w:ilvl w:val="0"/>
          <w:numId w:val="12"/>
        </w:numPr>
      </w:pPr>
      <w:r>
        <w:rPr>
          <w:rFonts w:ascii="Calibri" w:hAnsi="Calibri" w:eastAsia="Microsoft YaHei"/>
          <w:color w:val="102A43"/>
          <w:sz w:val="21"/>
        </w:rPr>
        <w:t>修复网页入口语法错误、评分列重复、回测日期错位、错误导入、交易成本单位、随机基准、年化频率和累计超额计算等问题。</w:t>
      </w:r>
    </w:p>
    <w:p>
      <w:pPr>
        <w:numPr>
          <w:ilvl w:val="0"/>
          <w:numId w:val="12"/>
        </w:numPr>
      </w:pPr>
      <w:r>
        <w:rPr>
          <w:rFonts w:ascii="Calibri" w:hAnsi="Calibri" w:eastAsia="Microsoft YaHei"/>
          <w:color w:val="102A43"/>
          <w:sz w:val="21"/>
        </w:rPr>
        <w:t>将演示数据与真实研究数据严格分离。研究模式禁止静默回退到模拟数据。</w:t>
      </w:r>
    </w:p>
    <w:p>
      <w:pPr>
        <w:numPr>
          <w:ilvl w:val="0"/>
          <w:numId w:val="12"/>
        </w:numPr>
      </w:pPr>
      <w:r>
        <w:rPr>
          <w:rFonts w:ascii="Calibri" w:hAnsi="Calibri" w:eastAsia="Microsoft YaHei"/>
          <w:color w:val="102A43"/>
          <w:sz w:val="21"/>
        </w:rPr>
        <w:t>为数据增加来源、是否模拟、数据日期、因子覆盖率和预期数据来源等可追溯字段。</w:t>
      </w:r>
    </w:p>
    <w:p>
      <w:pPr>
        <w:numPr>
          <w:ilvl w:val="0"/>
          <w:numId w:val="12"/>
        </w:numPr>
      </w:pPr>
      <w:r>
        <w:rPr>
          <w:rFonts w:ascii="Calibri" w:hAnsi="Calibri" w:eastAsia="Microsoft YaHei"/>
          <w:color w:val="102A43"/>
          <w:sz w:val="21"/>
        </w:rPr>
        <w:t>将跨市场因子改为市场内标准化，避免不同会计口径和估值水平被直接混合比较。</w:t>
      </w:r>
    </w:p>
    <w:p>
      <w:pPr>
        <w:numPr>
          <w:ilvl w:val="0"/>
          <w:numId w:val="12"/>
        </w:numPr>
      </w:pPr>
      <w:r>
        <w:rPr>
          <w:rFonts w:ascii="Calibri" w:hAnsi="Calibri" w:eastAsia="Microsoft YaHei"/>
          <w:color w:val="102A43"/>
          <w:sz w:val="21"/>
        </w:rPr>
        <w:t>重建可复现的 Walk-forward 回测核心，输出逐期结果、权益曲线、持仓、指标和运行清单。</w:t>
      </w:r>
    </w:p>
    <w:p>
      <w:pPr>
        <w:numPr>
          <w:ilvl w:val="0"/>
          <w:numId w:val="12"/>
        </w:numPr>
      </w:pPr>
      <w:r>
        <w:rPr>
          <w:rFonts w:ascii="Calibri" w:hAnsi="Calibri" w:eastAsia="Microsoft YaHei"/>
          <w:color w:val="102A43"/>
          <w:sz w:val="21"/>
        </w:rPr>
        <w:t>新增 7 项自动测试、GitHub Actions、Docker 部署和经过浏览器实际验证的 Streamlit 页面。</w:t>
      </w:r>
    </w:p>
    <w:p>
      <w:r>
        <w:rPr>
          <w:rFonts w:ascii="Calibri" w:hAnsi="Calibri" w:eastAsia="Microsoft YaHei"/>
          <w:color w:val="102A43"/>
          <w:sz w:val="21"/>
        </w:rPr>
        <w:t>当前版本适合用于面试演示、研究流程验证、因子工程学习和后续接入真实点时数据。它不应被包装为已验证的投资策略，也不能把合成数据回测结果解释为历史业绩。</w:t>
      </w:r>
    </w:p>
    <w:p>
      <w:pPr>
        <w:pStyle w:val="Heading1"/>
      </w:pPr>
      <w:r>
        <w:t>1. 项目起点与问题定义</w:t>
      </w:r>
    </w:p>
    <w:p>
      <w:pPr>
        <w:pStyle w:val="Heading2"/>
      </w:pPr>
      <w:r>
        <w:t>1.1 面试触发</w:t>
      </w:r>
    </w:p>
    <w:p>
      <w:r>
        <w:rPr>
          <w:rFonts w:ascii="Calibri" w:hAnsi="Calibri" w:eastAsia="Microsoft YaHei"/>
          <w:color w:val="102A43"/>
          <w:sz w:val="21"/>
        </w:rPr>
        <w:t>项目最早服务于一个非常具体的目标：在面试中证明自己不仅能讨论投资框架，也能把投资思想转换为可运行的软件。传统准备方式通常只能分别展示编程能力或金融知识，而 Mini-GRP 试图展示两者的交集：</w:t>
      </w:r>
    </w:p>
    <w:p>
      <w:pPr>
        <w:numPr>
          <w:ilvl w:val="0"/>
          <w:numId w:val="10"/>
        </w:numPr>
      </w:pPr>
      <w:r>
        <w:rPr>
          <w:rFonts w:ascii="Calibri" w:hAnsi="Calibri" w:eastAsia="Microsoft YaHei"/>
          <w:color w:val="102A43"/>
          <w:sz w:val="21"/>
        </w:rPr>
        <w:t>把抽象的股票研究原则转成字段、因子、评分规则和接口。</w:t>
      </w:r>
    </w:p>
    <w:p>
      <w:pPr>
        <w:numPr>
          <w:ilvl w:val="0"/>
          <w:numId w:val="10"/>
        </w:numPr>
      </w:pPr>
      <w:r>
        <w:rPr>
          <w:rFonts w:ascii="Calibri" w:hAnsi="Calibri" w:eastAsia="Microsoft YaHei"/>
          <w:color w:val="102A43"/>
          <w:sz w:val="21"/>
        </w:rPr>
        <w:t>把海量股票压缩成可以由分析师继续研究的候选列表。</w:t>
      </w:r>
    </w:p>
    <w:p>
      <w:pPr>
        <w:numPr>
          <w:ilvl w:val="0"/>
          <w:numId w:val="10"/>
        </w:numPr>
      </w:pPr>
      <w:r>
        <w:rPr>
          <w:rFonts w:ascii="Calibri" w:hAnsi="Calibri" w:eastAsia="Microsoft YaHei"/>
          <w:color w:val="102A43"/>
          <w:sz w:val="21"/>
        </w:rPr>
        <w:t>为每个候选标的保留价值、质量、增长、动量和预期差的解释路径。</w:t>
      </w:r>
    </w:p>
    <w:p>
      <w:pPr>
        <w:numPr>
          <w:ilvl w:val="0"/>
          <w:numId w:val="10"/>
        </w:numPr>
      </w:pPr>
      <w:r>
        <w:rPr>
          <w:rFonts w:ascii="Calibri" w:hAnsi="Calibri" w:eastAsia="Microsoft YaHei"/>
          <w:color w:val="102A43"/>
          <w:sz w:val="21"/>
        </w:rPr>
        <w:t>把模型限制、数据质量和回测假设暴露出来，而不是只展示一条漂亮曲线。</w:t>
      </w:r>
    </w:p>
    <w:p>
      <w:pPr>
        <w:pStyle w:val="Heading2"/>
      </w:pPr>
      <w:r>
        <w:t>1.2 对 GRP 理念的适度映射</w:t>
      </w:r>
    </w:p>
    <w:p>
      <w:r>
        <w:rPr>
          <w:rFonts w:ascii="Calibri" w:hAnsi="Calibri" w:eastAsia="Microsoft YaHei"/>
          <w:color w:val="102A43"/>
          <w:sz w:val="21"/>
        </w:rPr>
        <w:t>Principal 的历史公开产品材料将 GRP 描述为专有股票排名框架，用于系统覆盖大量公司，并依据区域行业同业对公司基本面特征进行排名，从而缩小分析师的重点研究范围。Mini-GRP 对这一理念做了三个层面的简化映射：</w:t>
      </w:r>
    </w:p>
    <w:tbl>
      <w:tblPr>
        <w:tblStyle w:val="TableGrid"/>
        <w:tblW w:type="dxa" w:w="9360"/>
        <w:jc w:val="left"/>
        <w:tblLayout w:type="fixed"/>
        <w:tblLook w:firstColumn="1" w:firstRow="1" w:lastColumn="0" w:lastRow="0" w:noHBand="0" w:noVBand="1" w:val="04A0"/>
        <w:tblInd w:w="120" w:type="dxa"/>
        <w:tblLayout w:type="fixed"/>
      </w:tblPr>
      <w:tblGrid>
        <w:gridCol w:w="2190"/>
        <w:gridCol w:w="3982"/>
        <w:gridCol w:w="3188"/>
      </w:tblGrid>
      <w:tr>
        <w:trPr>
          <w:tblHeader w:val="true"/>
        </w:trPr>
        <w:tc>
          <w:tcPr>
            <w:tcW w:type="dxa" w:w="2190"/>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公开理念</w:t>
            </w:r>
          </w:p>
        </w:tc>
        <w:tc>
          <w:tcPr>
            <w:tcW w:type="dxa" w:w="3982"/>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Mini-GRP 实现</w:t>
            </w:r>
          </w:p>
        </w:tc>
        <w:tc>
          <w:tcPr>
            <w:tcW w:type="dxa" w:w="3188"/>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有意保留的边界</w:t>
            </w:r>
          </w:p>
        </w:tc>
      </w:tr>
      <w:tr>
        <w:tc>
          <w:tcPr>
            <w:tcW w:type="dxa" w:w="219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扩大研究覆盖面</w:t>
            </w:r>
          </w:p>
        </w:tc>
        <w:tc>
          <w:tcPr>
            <w:tcW w:type="dxa" w:w="398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对统一股票池进行批量因子计算</w:t>
            </w:r>
          </w:p>
        </w:tc>
        <w:tc>
          <w:tcPr>
            <w:tcW w:type="dxa" w:w="31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不声称覆盖机构级全球股票宇宙</w:t>
            </w:r>
          </w:p>
        </w:tc>
      </w:tr>
      <w:tr>
        <w:tc>
          <w:tcPr>
            <w:tcW w:type="dxa" w:w="219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相对同业比较</w:t>
            </w:r>
          </w:p>
        </w:tc>
        <w:tc>
          <w:tcPr>
            <w:tcW w:type="dxa" w:w="398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市场内标准化、行业内排名</w:t>
            </w:r>
          </w:p>
        </w:tc>
        <w:tc>
          <w:tcPr>
            <w:tcW w:type="dxa" w:w="31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未实现行业专属模型和独立权重</w:t>
            </w:r>
          </w:p>
        </w:tc>
      </w:tr>
      <w:tr>
        <w:tc>
          <w:tcPr>
            <w:tcW w:type="dxa" w:w="219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量化筛选支持基本面研究</w:t>
            </w:r>
          </w:p>
        </w:tc>
        <w:tc>
          <w:tcPr>
            <w:tcW w:type="dxa" w:w="398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输出 Top-N 与维度分解</w:t>
            </w:r>
          </w:p>
        </w:tc>
        <w:tc>
          <w:tcPr>
            <w:tcW w:type="dxa" w:w="31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不自动替代分析师尽调和投资决策</w:t>
            </w:r>
          </w:p>
        </w:tc>
      </w:tr>
      <w:tr>
        <w:tc>
          <w:tcPr>
            <w:tcW w:type="dxa" w:w="219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基本面变化与估值</w:t>
            </w:r>
          </w:p>
        </w:tc>
        <w:tc>
          <w:tcPr>
            <w:tcW w:type="dxa" w:w="398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Value、Quality、Growth</w:t>
            </w:r>
          </w:p>
        </w:tc>
        <w:tc>
          <w:tcPr>
            <w:tcW w:type="dxa" w:w="31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依赖数据源的字段质量和时点完整性</w:t>
            </w:r>
          </w:p>
        </w:tc>
      </w:tr>
      <w:tr>
        <w:tc>
          <w:tcPr>
            <w:tcW w:type="dxa" w:w="219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预期变化</w:t>
            </w:r>
          </w:p>
        </w:tc>
        <w:tc>
          <w:tcPr>
            <w:tcW w:type="dxa" w:w="398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SUE、EPS 修正、评级修正</w:t>
            </w:r>
          </w:p>
        </w:tc>
        <w:tc>
          <w:tcPr>
            <w:tcW w:type="dxa" w:w="31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无提供商数据时跳过，不再随机填充</w:t>
            </w:r>
          </w:p>
        </w:tc>
      </w:tr>
    </w:tbl>
    <w:p>
      <w:pPr>
        <w:spacing w:after="0"/>
      </w:pPr>
    </w:p>
    <w:p>
      <w:r>
        <w:rPr>
          <w:rFonts w:ascii="Calibri" w:hAnsi="Calibri" w:eastAsia="Microsoft YaHei"/>
          <w:color w:val="102A43"/>
          <w:sz w:val="21"/>
        </w:rPr>
        <w:t>因此，更准确的项目定位是“受 GRP 公开理念启发的 Mini 研究原型”，而不是“复刻 Principal 内部系统”。</w:t>
      </w:r>
    </w:p>
    <w:p>
      <w:pPr>
        <w:pStyle w:val="Heading2"/>
      </w:pPr>
      <w:r>
        <w:t>1.3 核心研究问题</w:t>
      </w:r>
    </w:p>
    <w:p>
      <w:r>
        <w:rPr>
          <w:rFonts w:ascii="Calibri" w:hAnsi="Calibri" w:eastAsia="Microsoft YaHei"/>
          <w:color w:val="102A43"/>
          <w:sz w:val="21"/>
        </w:rPr>
        <w:t>项目围绕一个稳定的问题展开：在有限数据、有限算力和有限开发时间下，如何构建一个可解释、可扩展并能支持人工研究的股票初筛系统？</w:t>
      </w:r>
    </w:p>
    <w:p>
      <w:r>
        <w:rPr>
          <w:rFonts w:ascii="Calibri" w:hAnsi="Calibri" w:eastAsia="Microsoft YaHei"/>
          <w:color w:val="102A43"/>
          <w:sz w:val="21"/>
        </w:rPr>
        <w:t>这个问题进一步分解为五个工程问题：</w:t>
      </w:r>
    </w:p>
    <w:p>
      <w:pPr>
        <w:numPr>
          <w:ilvl w:val="0"/>
          <w:numId w:val="13"/>
        </w:numPr>
      </w:pPr>
      <w:r>
        <w:rPr>
          <w:rFonts w:ascii="Calibri" w:hAnsi="Calibri" w:eastAsia="Microsoft YaHei"/>
          <w:color w:val="102A43"/>
          <w:sz w:val="21"/>
        </w:rPr>
        <w:t>如何对齐 A 股和美股等市场的字段、代码、行业和货币信息？</w:t>
      </w:r>
    </w:p>
    <w:p>
      <w:pPr>
        <w:numPr>
          <w:ilvl w:val="0"/>
          <w:numId w:val="13"/>
        </w:numPr>
      </w:pPr>
      <w:r>
        <w:rPr>
          <w:rFonts w:ascii="Calibri" w:hAnsi="Calibri" w:eastAsia="Microsoft YaHei"/>
          <w:color w:val="102A43"/>
          <w:sz w:val="21"/>
        </w:rPr>
        <w:t>如何处理异常值、缺失值、因子方向和不同量纲？</w:t>
      </w:r>
    </w:p>
    <w:p>
      <w:pPr>
        <w:numPr>
          <w:ilvl w:val="0"/>
          <w:numId w:val="13"/>
        </w:numPr>
      </w:pPr>
      <w:r>
        <w:rPr>
          <w:rFonts w:ascii="Calibri" w:hAnsi="Calibri" w:eastAsia="Microsoft YaHei"/>
          <w:color w:val="102A43"/>
          <w:sz w:val="21"/>
        </w:rPr>
        <w:t>如何在部分维度不可用时保持评分逻辑一致？</w:t>
      </w:r>
    </w:p>
    <w:p>
      <w:pPr>
        <w:numPr>
          <w:ilvl w:val="0"/>
          <w:numId w:val="13"/>
        </w:numPr>
      </w:pPr>
      <w:r>
        <w:rPr>
          <w:rFonts w:ascii="Calibri" w:hAnsi="Calibri" w:eastAsia="Microsoft YaHei"/>
          <w:color w:val="102A43"/>
          <w:sz w:val="21"/>
        </w:rPr>
        <w:t>如何避免回测中的未来函数、日期错位和错误的成本核算？</w:t>
      </w:r>
    </w:p>
    <w:p>
      <w:pPr>
        <w:numPr>
          <w:ilvl w:val="0"/>
          <w:numId w:val="13"/>
        </w:numPr>
      </w:pPr>
      <w:r>
        <w:rPr>
          <w:rFonts w:ascii="Calibri" w:hAnsi="Calibri" w:eastAsia="Microsoft YaHei"/>
          <w:color w:val="102A43"/>
          <w:sz w:val="21"/>
        </w:rPr>
        <w:t>如何让演示结果、真实数据结果和失败状态在界面与输出中一眼可区分？</w:t>
      </w:r>
    </w:p>
    <w:p>
      <w:pPr>
        <w:pStyle w:val="Heading1"/>
      </w:pPr>
      <w:r>
        <w:t>2. 版本演进与完整过程</w:t>
      </w:r>
    </w:p>
    <w:p>
      <w:r>
        <w:rPr>
          <w:rFonts w:ascii="Calibri" w:hAnsi="Calibri" w:eastAsia="Microsoft YaHei"/>
          <w:color w:val="102A43"/>
          <w:sz w:val="21"/>
        </w:rPr>
        <w:t>以下时间线根据旧版构建报告、v3.2 技术报告、当前代码结构和文件版本说明重建。由于早期仓库缺少完整的版本标签与提交记录，时间线应理解为“功能演进脉络”，不是严格的逐提交审计。</w:t>
      </w:r>
    </w:p>
    <w:p>
      <w:pPr>
        <w:pStyle w:val="Heading2"/>
      </w:pPr>
      <w:r>
        <w:t>2.1 v1.x：A 股四模块原型</w:t>
      </w:r>
    </w:p>
    <w:p>
      <w:r>
        <w:rPr>
          <w:rFonts w:ascii="Calibri" w:hAnsi="Calibri" w:eastAsia="Microsoft YaHei"/>
          <w:color w:val="102A43"/>
          <w:sz w:val="21"/>
        </w:rPr>
        <w:t>最初版本聚焦于最小可运行闭环：</w:t>
      </w:r>
    </w:p>
    <w:p>
      <w:pPr>
        <w:numPr>
          <w:ilvl w:val="0"/>
          <w:numId w:val="10"/>
        </w:numPr>
      </w:pPr>
      <w:r>
        <w:rPr>
          <w:rFonts w:ascii="Calibri" w:hAnsi="Calibri" w:eastAsia="Microsoft YaHei"/>
          <w:color w:val="102A43"/>
          <w:sz w:val="21"/>
        </w:rPr>
        <w:t>数据层：akshare 或模拟数据。</w:t>
      </w:r>
    </w:p>
    <w:p>
      <w:pPr>
        <w:numPr>
          <w:ilvl w:val="0"/>
          <w:numId w:val="10"/>
        </w:numPr>
      </w:pPr>
      <w:r>
        <w:rPr>
          <w:rFonts w:ascii="Calibri" w:hAnsi="Calibri" w:eastAsia="Microsoft YaHei"/>
          <w:color w:val="102A43"/>
          <w:sz w:val="21"/>
        </w:rPr>
        <w:t>因子层：16 个因子，覆盖价值、质量、增长和动量。</w:t>
      </w:r>
    </w:p>
    <w:p>
      <w:pPr>
        <w:numPr>
          <w:ilvl w:val="0"/>
          <w:numId w:val="10"/>
        </w:numPr>
      </w:pPr>
      <w:r>
        <w:rPr>
          <w:rFonts w:ascii="Calibri" w:hAnsi="Calibri" w:eastAsia="Microsoft YaHei"/>
          <w:color w:val="102A43"/>
          <w:sz w:val="21"/>
        </w:rPr>
        <w:t>评分层：四维度加权，早期权重为 30%/30%/20%/20%。</w:t>
      </w:r>
    </w:p>
    <w:p>
      <w:pPr>
        <w:numPr>
          <w:ilvl w:val="0"/>
          <w:numId w:val="10"/>
        </w:numPr>
      </w:pPr>
      <w:r>
        <w:rPr>
          <w:rFonts w:ascii="Calibri" w:hAnsi="Calibri" w:eastAsia="Microsoft YaHei"/>
          <w:color w:val="102A43"/>
          <w:sz w:val="21"/>
        </w:rPr>
        <w:t>展示层：Top 20、静态图表和 Excel 报告。</w:t>
      </w:r>
    </w:p>
    <w:p>
      <w:r>
        <w:rPr>
          <w:rFonts w:ascii="Calibri" w:hAnsi="Calibri" w:eastAsia="Microsoft YaHei"/>
          <w:color w:val="102A43"/>
          <w:sz w:val="21"/>
        </w:rPr>
        <w:t>这一阶段解决的是“能否把面试中的投资框架真正跑起来”。其价值在于模块化和可解释，但对数据时点、回测、数据来源和部署的处理仍然较轻。</w:t>
      </w:r>
    </w:p>
    <w:p>
      <w:pPr>
        <w:pStyle w:val="Heading2"/>
      </w:pPr>
      <w:r>
        <w:t>2.2 v2.x：评分与报告扩展</w:t>
      </w:r>
    </w:p>
    <w:p>
      <w:r>
        <w:rPr>
          <w:rFonts w:ascii="Calibri" w:hAnsi="Calibri" w:eastAsia="Microsoft YaHei"/>
          <w:color w:val="102A43"/>
          <w:sz w:val="21"/>
        </w:rPr>
        <w:t>第二阶段开始从单次选股扩展到分析流程：</w:t>
      </w:r>
    </w:p>
    <w:p>
      <w:pPr>
        <w:numPr>
          <w:ilvl w:val="0"/>
          <w:numId w:val="10"/>
        </w:numPr>
      </w:pPr>
      <w:r>
        <w:rPr>
          <w:rFonts w:ascii="Calibri" w:hAnsi="Calibri" w:eastAsia="Microsoft YaHei"/>
          <w:color w:val="102A43"/>
          <w:sz w:val="21"/>
        </w:rPr>
        <w:t>增加行业内排名和更完整的维度分解。</w:t>
      </w:r>
    </w:p>
    <w:p>
      <w:pPr>
        <w:numPr>
          <w:ilvl w:val="0"/>
          <w:numId w:val="10"/>
        </w:numPr>
      </w:pPr>
      <w:r>
        <w:rPr>
          <w:rFonts w:ascii="Calibri" w:hAnsi="Calibri" w:eastAsia="Microsoft YaHei"/>
          <w:color w:val="102A43"/>
          <w:sz w:val="21"/>
        </w:rPr>
        <w:t>增加静态图表、行业统计和导出报告。</w:t>
      </w:r>
    </w:p>
    <w:p>
      <w:pPr>
        <w:numPr>
          <w:ilvl w:val="0"/>
          <w:numId w:val="10"/>
        </w:numPr>
      </w:pPr>
      <w:r>
        <w:rPr>
          <w:rFonts w:ascii="Calibri" w:hAnsi="Calibri" w:eastAsia="Microsoft YaHei"/>
          <w:color w:val="102A43"/>
          <w:sz w:val="21"/>
        </w:rPr>
        <w:t>引入 Walk-forward 回测概念与绩效指标框架。</w:t>
      </w:r>
    </w:p>
    <w:p>
      <w:pPr>
        <w:numPr>
          <w:ilvl w:val="0"/>
          <w:numId w:val="10"/>
        </w:numPr>
      </w:pPr>
      <w:r>
        <w:rPr>
          <w:rFonts w:ascii="Calibri" w:hAnsi="Calibri" w:eastAsia="Microsoft YaHei"/>
          <w:color w:val="102A43"/>
          <w:sz w:val="21"/>
        </w:rPr>
        <w:t>强调“量化筛选后由人工做基本面验证”的工作方式。</w:t>
      </w:r>
    </w:p>
    <w:p>
      <w:r>
        <w:rPr>
          <w:rFonts w:ascii="Calibri" w:hAnsi="Calibri" w:eastAsia="Microsoft YaHei"/>
          <w:color w:val="102A43"/>
          <w:sz w:val="21"/>
        </w:rPr>
        <w:t>这一阶段形成了项目叙事，但早期回测更接近流程演示，还没有可靠处理点时数据、基准、交易成本和调仓日期。</w:t>
      </w:r>
    </w:p>
    <w:p>
      <w:pPr>
        <w:pStyle w:val="Heading2"/>
      </w:pPr>
      <w:r>
        <w:t>2.3 v3.0：统一数据与跨市场方向</w:t>
      </w:r>
    </w:p>
    <w:p>
      <w:r>
        <w:rPr>
          <w:rFonts w:ascii="Calibri" w:hAnsi="Calibri" w:eastAsia="Microsoft YaHei"/>
          <w:color w:val="102A43"/>
          <w:sz w:val="21"/>
        </w:rPr>
        <w:t>v3.0 的主要变化是数据层扩展：</w:t>
      </w:r>
    </w:p>
    <w:p>
      <w:pPr>
        <w:numPr>
          <w:ilvl w:val="0"/>
          <w:numId w:val="10"/>
        </w:numPr>
      </w:pPr>
      <w:r>
        <w:rPr>
          <w:rFonts w:ascii="Calibri" w:hAnsi="Calibri" w:eastAsia="Microsoft YaHei"/>
          <w:color w:val="102A43"/>
          <w:sz w:val="21"/>
        </w:rPr>
        <w:t>A 股尝试 Tushare Pro 与 akshare。</w:t>
      </w:r>
    </w:p>
    <w:p>
      <w:pPr>
        <w:numPr>
          <w:ilvl w:val="0"/>
          <w:numId w:val="10"/>
        </w:numPr>
      </w:pPr>
      <w:r>
        <w:rPr>
          <w:rFonts w:ascii="Calibri" w:hAnsi="Calibri" w:eastAsia="Microsoft YaHei"/>
          <w:color w:val="102A43"/>
          <w:sz w:val="21"/>
        </w:rPr>
        <w:t>美股尝试 Alpha Vantage 与 yfinance。</w:t>
      </w:r>
    </w:p>
    <w:p>
      <w:pPr>
        <w:numPr>
          <w:ilvl w:val="0"/>
          <w:numId w:val="10"/>
        </w:numPr>
      </w:pPr>
      <w:r>
        <w:rPr>
          <w:rFonts w:ascii="Calibri" w:hAnsi="Calibri" w:eastAsia="Microsoft YaHei"/>
          <w:color w:val="102A43"/>
          <w:sz w:val="21"/>
        </w:rPr>
        <w:t>引入统一字段映射和 SQLite 缓存。</w:t>
      </w:r>
    </w:p>
    <w:p>
      <w:pPr>
        <w:numPr>
          <w:ilvl w:val="0"/>
          <w:numId w:val="10"/>
        </w:numPr>
      </w:pPr>
      <w:r>
        <w:rPr>
          <w:rFonts w:ascii="Calibri" w:hAnsi="Calibri" w:eastAsia="Microsoft YaHei"/>
          <w:color w:val="102A43"/>
          <w:sz w:val="21"/>
        </w:rPr>
        <w:t xml:space="preserve">增加 </w:t>
      </w:r>
      <w:r>
        <w:rPr>
          <w:rFonts w:ascii="Consolas" w:hAnsi="Consolas" w:eastAsia="Microsoft YaHei"/>
          <w:color w:val="1F4D78"/>
          <w:sz w:val="19"/>
          <w:shd w:fill="E8EEF5"/>
        </w:rPr>
        <w:t>market</w:t>
      </w:r>
      <w:r>
        <w:rPr>
          <w:rFonts w:ascii="Calibri" w:hAnsi="Calibri" w:eastAsia="Microsoft YaHei"/>
          <w:color w:val="102A43"/>
          <w:sz w:val="21"/>
        </w:rPr>
        <w:t xml:space="preserve"> 与 </w:t>
      </w:r>
      <w:r>
        <w:rPr>
          <w:rFonts w:ascii="Consolas" w:hAnsi="Consolas" w:eastAsia="Microsoft YaHei"/>
          <w:color w:val="1F4D78"/>
          <w:sz w:val="19"/>
          <w:shd w:fill="E8EEF5"/>
        </w:rPr>
        <w:t>currency</w:t>
      </w:r>
      <w:r>
        <w:rPr>
          <w:rFonts w:ascii="Calibri" w:hAnsi="Calibri" w:eastAsia="Microsoft YaHei"/>
          <w:color w:val="102A43"/>
          <w:sz w:val="21"/>
        </w:rPr>
        <w:t xml:space="preserve"> 等跨市场元数据。</w:t>
      </w:r>
    </w:p>
    <w:p>
      <w:pPr>
        <w:numPr>
          <w:ilvl w:val="0"/>
          <w:numId w:val="10"/>
        </w:numPr>
      </w:pPr>
      <w:r>
        <w:rPr>
          <w:rFonts w:ascii="Calibri" w:hAnsi="Calibri" w:eastAsia="Microsoft YaHei"/>
          <w:color w:val="102A43"/>
          <w:sz w:val="21"/>
        </w:rPr>
        <w:t>设计 CN、US、HK、JP、KR 的统一入口。</w:t>
      </w:r>
    </w:p>
    <w:p>
      <w:r>
        <w:rPr>
          <w:rFonts w:ascii="Calibri" w:hAnsi="Calibri" w:eastAsia="Microsoft YaHei"/>
          <w:color w:val="102A43"/>
          <w:sz w:val="21"/>
        </w:rPr>
        <w:t>这一阶段的架构方向正确，但实现中存在一个重要风险：当真实数据不可用时自动回退模拟数据，而输出端没有足够清楚地区分两者。这会让“系统始终有结果”演变成“系统可能给出看似真实的结果”。</w:t>
      </w:r>
    </w:p>
    <w:p>
      <w:pPr>
        <w:pStyle w:val="Heading2"/>
      </w:pPr>
      <w:r>
        <w:t>2.4 v3.1：ML 作为辅助层</w:t>
      </w:r>
    </w:p>
    <w:p>
      <w:r>
        <w:rPr>
          <w:rFonts w:ascii="Calibri" w:hAnsi="Calibri" w:eastAsia="Microsoft YaHei"/>
          <w:color w:val="102A43"/>
          <w:sz w:val="21"/>
        </w:rPr>
        <w:t>v3.1 将 ML 定位为线性因子模型的 Overlay，而不是替代主模型。代码中包含：</w:t>
      </w:r>
    </w:p>
    <w:p>
      <w:pPr>
        <w:numPr>
          <w:ilvl w:val="0"/>
          <w:numId w:val="10"/>
        </w:numPr>
      </w:pPr>
      <w:r>
        <w:rPr>
          <w:rFonts w:ascii="Calibri" w:hAnsi="Calibri" w:eastAsia="Microsoft YaHei"/>
          <w:color w:val="102A43"/>
          <w:sz w:val="21"/>
        </w:rPr>
        <w:t>因子有效性验证与筛选。</w:t>
      </w:r>
    </w:p>
    <w:p>
      <w:pPr>
        <w:numPr>
          <w:ilvl w:val="0"/>
          <w:numId w:val="10"/>
        </w:numPr>
      </w:pPr>
      <w:r>
        <w:rPr>
          <w:rFonts w:ascii="Calibri" w:hAnsi="Calibri" w:eastAsia="Microsoft YaHei"/>
          <w:color w:val="102A43"/>
          <w:sz w:val="21"/>
        </w:rPr>
        <w:t>XGBoost 非线性评分实验。</w:t>
      </w:r>
    </w:p>
    <w:p>
      <w:pPr>
        <w:numPr>
          <w:ilvl w:val="0"/>
          <w:numId w:val="10"/>
        </w:numPr>
      </w:pPr>
      <w:r>
        <w:rPr>
          <w:rFonts w:ascii="Calibri" w:hAnsi="Calibri" w:eastAsia="Microsoft YaHei"/>
          <w:color w:val="102A43"/>
          <w:sz w:val="21"/>
        </w:rPr>
        <w:t>市场环境识别。</w:t>
      </w:r>
    </w:p>
    <w:p>
      <w:pPr>
        <w:numPr>
          <w:ilvl w:val="0"/>
          <w:numId w:val="10"/>
        </w:numPr>
      </w:pPr>
      <w:r>
        <w:rPr>
          <w:rFonts w:ascii="Calibri" w:hAnsi="Calibri" w:eastAsia="Microsoft YaHei"/>
          <w:color w:val="102A43"/>
          <w:sz w:val="21"/>
        </w:rPr>
        <w:t>多臂老虎机动态权重实验。</w:t>
      </w:r>
    </w:p>
    <w:p>
      <w:pPr>
        <w:numPr>
          <w:ilvl w:val="0"/>
          <w:numId w:val="10"/>
        </w:numPr>
      </w:pPr>
      <w:r>
        <w:rPr>
          <w:rFonts w:ascii="Calibri" w:hAnsi="Calibri" w:eastAsia="Microsoft YaHei"/>
          <w:color w:val="102A43"/>
          <w:sz w:val="21"/>
        </w:rPr>
        <w:t>Purged CV、SHAP 等研究性模块。</w:t>
      </w:r>
    </w:p>
    <w:p>
      <w:r>
        <w:rPr>
          <w:rFonts w:ascii="Calibri" w:hAnsi="Calibri" w:eastAsia="Microsoft YaHei"/>
          <w:color w:val="102A43"/>
          <w:sz w:val="21"/>
        </w:rPr>
        <w:t>这一方向体现了正确的工程克制：基线模型保持可解释，ML 仅用于识别有限的非线性交互。但当前仓库中的 ML 部分仍属于实验模块，缺少真实、严格的时间序列训练数据和完整集成测试，因此 v3.3 没有把它放进默认生产路径。</w:t>
      </w:r>
    </w:p>
    <w:p>
      <w:pPr>
        <w:pStyle w:val="Heading2"/>
      </w:pPr>
      <w:r>
        <w:t>2.5 v3.2：模块化、文档化与 Streamlit 部署</w:t>
      </w:r>
    </w:p>
    <w:p>
      <w:r>
        <w:rPr>
          <w:rFonts w:ascii="Calibri" w:hAnsi="Calibri" w:eastAsia="Microsoft YaHei"/>
          <w:color w:val="102A43"/>
          <w:sz w:val="21"/>
        </w:rPr>
        <w:t>v3.2 增加三项预期差因子，将模型升级为 19 因子、5 维度，并形成较完整的技术报告、概览和部署指南。Streamlit 页面用于展示选股、雷达图和回测结果。</w:t>
      </w:r>
    </w:p>
    <w:p>
      <w:r>
        <w:rPr>
          <w:rFonts w:ascii="Calibri" w:hAnsi="Calibri" w:eastAsia="Microsoft YaHei"/>
          <w:color w:val="102A43"/>
          <w:sz w:val="21"/>
        </w:rPr>
        <w:t>但审查发现，v3.2 的“文档状态”和“远程代码状态”不一致：</w:t>
      </w:r>
    </w:p>
    <w:p>
      <w:pPr>
        <w:numPr>
          <w:ilvl w:val="0"/>
          <w:numId w:val="10"/>
        </w:numPr>
      </w:pPr>
      <w:r>
        <w:rPr>
          <w:rFonts w:ascii="Calibri" w:hAnsi="Calibri" w:eastAsia="Microsoft YaHei"/>
          <w:color w:val="102A43"/>
          <w:sz w:val="21"/>
        </w:rPr>
        <w:t>远程主分支只发布了少量入口文件，完整模块主要留在本地目录。</w:t>
      </w:r>
    </w:p>
    <w:p>
      <w:pPr>
        <w:numPr>
          <w:ilvl w:val="0"/>
          <w:numId w:val="10"/>
        </w:numPr>
      </w:pPr>
      <w:r>
        <w:rPr>
          <w:rFonts w:ascii="Consolas" w:hAnsi="Consolas" w:eastAsia="Microsoft YaHei"/>
          <w:color w:val="1F4D78"/>
          <w:sz w:val="19"/>
          <w:shd w:fill="E8EEF5"/>
        </w:rPr>
        <w:t>app.py</w:t>
      </w:r>
      <w:r>
        <w:rPr>
          <w:rFonts w:ascii="Calibri" w:hAnsi="Calibri" w:eastAsia="Microsoft YaHei"/>
          <w:color w:val="102A43"/>
          <w:sz w:val="21"/>
        </w:rPr>
        <w:t xml:space="preserve"> 存在未闭合字符串，无法通过语法编译。</w:t>
      </w:r>
    </w:p>
    <w:p>
      <w:pPr>
        <w:numPr>
          <w:ilvl w:val="0"/>
          <w:numId w:val="10"/>
        </w:numPr>
      </w:pPr>
      <w:r>
        <w:rPr>
          <w:rFonts w:ascii="Consolas" w:hAnsi="Consolas" w:eastAsia="Microsoft YaHei"/>
          <w:color w:val="1F4D78"/>
          <w:sz w:val="19"/>
          <w:shd w:fill="E8EEF5"/>
        </w:rPr>
        <w:t>streamlit_app.py</w:t>
      </w:r>
      <w:r>
        <w:rPr>
          <w:rFonts w:ascii="Calibri" w:hAnsi="Calibri" w:eastAsia="Microsoft YaHei"/>
          <w:color w:val="102A43"/>
          <w:sz w:val="21"/>
        </w:rPr>
        <w:t xml:space="preserve"> 内嵌了另一套因子与回测逻辑，和模块代码发生分叉。</w:t>
      </w:r>
    </w:p>
    <w:p>
      <w:pPr>
        <w:numPr>
          <w:ilvl w:val="0"/>
          <w:numId w:val="10"/>
        </w:numPr>
      </w:pPr>
      <w:r>
        <w:rPr>
          <w:rFonts w:ascii="Calibri" w:hAnsi="Calibri" w:eastAsia="Microsoft YaHei"/>
          <w:color w:val="102A43"/>
          <w:sz w:val="21"/>
        </w:rPr>
        <w:t xml:space="preserve">Pandas 版本下 </w:t>
      </w:r>
      <w:r>
        <w:rPr>
          <w:rFonts w:ascii="Consolas" w:hAnsi="Consolas" w:eastAsia="Microsoft YaHei"/>
          <w:color w:val="1F4D78"/>
          <w:sz w:val="19"/>
          <w:shd w:fill="E8EEF5"/>
        </w:rPr>
        <w:t>freq='ME'</w:t>
      </w:r>
      <w:r>
        <w:rPr>
          <w:rFonts w:ascii="Calibri" w:hAnsi="Calibri" w:eastAsia="Microsoft YaHei"/>
          <w:color w:val="102A43"/>
          <w:sz w:val="21"/>
        </w:rPr>
        <w:t xml:space="preserve"> 直接报错。</w:t>
      </w:r>
    </w:p>
    <w:p>
      <w:pPr>
        <w:numPr>
          <w:ilvl w:val="0"/>
          <w:numId w:val="10"/>
        </w:numPr>
      </w:pPr>
      <w:r>
        <w:rPr>
          <w:rFonts w:ascii="Calibri" w:hAnsi="Calibri" w:eastAsia="Microsoft YaHei"/>
          <w:color w:val="102A43"/>
          <w:sz w:val="21"/>
        </w:rPr>
        <w:t xml:space="preserve">命令行输出列选择包含重复 </w:t>
      </w:r>
      <w:r>
        <w:rPr>
          <w:rFonts w:ascii="Consolas" w:hAnsi="Consolas" w:eastAsia="Microsoft YaHei"/>
          <w:color w:val="1F4D78"/>
          <w:sz w:val="19"/>
          <w:shd w:fill="E8EEF5"/>
        </w:rPr>
        <w:t>composite_score</w:t>
      </w:r>
      <w:r>
        <w:rPr>
          <w:rFonts w:ascii="Calibri" w:hAnsi="Calibri" w:eastAsia="Microsoft YaHei"/>
          <w:color w:val="102A43"/>
          <w:sz w:val="21"/>
        </w:rPr>
        <w:t>，导致行值变成 Series 并报格式化错误。</w:t>
      </w:r>
    </w:p>
    <w:p>
      <w:pPr>
        <w:numPr>
          <w:ilvl w:val="0"/>
          <w:numId w:val="10"/>
        </w:numPr>
      </w:pPr>
      <w:r>
        <w:rPr>
          <w:rFonts w:ascii="Calibri" w:hAnsi="Calibri" w:eastAsia="Microsoft YaHei"/>
          <w:color w:val="102A43"/>
          <w:sz w:val="21"/>
        </w:rPr>
        <w:t>回测调仓日使用月末，而模拟快照使用月初，导致找不到数据并返回零结果。</w:t>
      </w:r>
    </w:p>
    <w:p>
      <w:r>
        <w:rPr>
          <w:rFonts w:ascii="Calibri" w:hAnsi="Calibri" w:eastAsia="Microsoft YaHei"/>
          <w:color w:val="102A43"/>
          <w:sz w:val="21"/>
        </w:rPr>
        <w:t>这说明 v3.2 已经有较强的产品外观和文档表达，但还需要一次以可靠性为中心的收敛。</w:t>
      </w:r>
    </w:p>
    <w:p>
      <w:pPr>
        <w:pStyle w:val="Heading2"/>
      </w:pPr>
      <w:r>
        <w:t>2.6 v3.3：可靠性、可审计性与仓库治理</w:t>
      </w:r>
    </w:p>
    <w:p>
      <w:r>
        <w:rPr>
          <w:rFonts w:ascii="Calibri" w:hAnsi="Calibri" w:eastAsia="Microsoft YaHei"/>
          <w:color w:val="102A43"/>
          <w:sz w:val="21"/>
        </w:rPr>
        <w:t>本次 v3.3 的工作原则是：先保证结果的身份和计算路径可信，再扩展功能。</w:t>
      </w:r>
    </w:p>
    <w:p>
      <w:r>
        <w:rPr>
          <w:rFonts w:ascii="Calibri" w:hAnsi="Calibri" w:eastAsia="Microsoft YaHei"/>
          <w:color w:val="102A43"/>
          <w:sz w:val="21"/>
        </w:rPr>
        <w:t>具体过程为：</w:t>
      </w:r>
    </w:p>
    <w:p>
      <w:pPr>
        <w:numPr>
          <w:ilvl w:val="0"/>
          <w:numId w:val="14"/>
        </w:numPr>
      </w:pPr>
      <w:r>
        <w:rPr>
          <w:rFonts w:ascii="Calibri" w:hAnsi="Calibri" w:eastAsia="Microsoft YaHei"/>
          <w:color w:val="102A43"/>
          <w:sz w:val="21"/>
        </w:rPr>
        <w:t xml:space="preserve">从远程 </w:t>
      </w:r>
      <w:r>
        <w:rPr>
          <w:rFonts w:ascii="Consolas" w:hAnsi="Consolas" w:eastAsia="Microsoft YaHei"/>
          <w:color w:val="1F4D78"/>
          <w:sz w:val="19"/>
          <w:shd w:fill="E8EEF5"/>
        </w:rPr>
        <w:t>main</w:t>
      </w:r>
      <w:r>
        <w:rPr>
          <w:rFonts w:ascii="Calibri" w:hAnsi="Calibri" w:eastAsia="Microsoft YaHei"/>
          <w:color w:val="102A43"/>
          <w:sz w:val="21"/>
        </w:rPr>
        <w:t xml:space="preserve"> 创建独立改进分支，避免覆盖本地历史和远程已有提交。</w:t>
      </w:r>
    </w:p>
    <w:p>
      <w:pPr>
        <w:numPr>
          <w:ilvl w:val="0"/>
          <w:numId w:val="14"/>
        </w:numPr>
      </w:pPr>
      <w:r>
        <w:rPr>
          <w:rFonts w:ascii="Calibri" w:hAnsi="Calibri" w:eastAsia="Microsoft YaHei"/>
          <w:color w:val="102A43"/>
          <w:sz w:val="21"/>
        </w:rPr>
        <w:t>将本地完整模块代码纳入工作分支，排除缓存、旧输出和临时文件。</w:t>
      </w:r>
    </w:p>
    <w:p>
      <w:pPr>
        <w:numPr>
          <w:ilvl w:val="0"/>
          <w:numId w:val="14"/>
        </w:numPr>
      </w:pPr>
      <w:r>
        <w:rPr>
          <w:rFonts w:ascii="Calibri" w:hAnsi="Calibri" w:eastAsia="Microsoft YaHei"/>
          <w:color w:val="102A43"/>
          <w:sz w:val="21"/>
        </w:rPr>
        <w:t>重写回测核心，修复日期、收益、基准、成本和年化计算。</w:t>
      </w:r>
    </w:p>
    <w:p>
      <w:pPr>
        <w:numPr>
          <w:ilvl w:val="0"/>
          <w:numId w:val="14"/>
        </w:numPr>
      </w:pPr>
      <w:r>
        <w:rPr>
          <w:rFonts w:ascii="Calibri" w:hAnsi="Calibri" w:eastAsia="Microsoft YaHei"/>
          <w:color w:val="102A43"/>
          <w:sz w:val="21"/>
        </w:rPr>
        <w:t xml:space="preserve">统一 </w:t>
      </w:r>
      <w:r>
        <w:rPr>
          <w:rFonts w:ascii="Consolas" w:hAnsi="Consolas" w:eastAsia="Microsoft YaHei"/>
          <w:color w:val="1F4D78"/>
          <w:sz w:val="19"/>
          <w:shd w:fill="E8EEF5"/>
        </w:rPr>
        <w:t>app.py</w:t>
      </w:r>
      <w:r>
        <w:rPr>
          <w:rFonts w:ascii="Calibri" w:hAnsi="Calibri" w:eastAsia="Microsoft YaHei"/>
          <w:color w:val="102A43"/>
          <w:sz w:val="21"/>
        </w:rPr>
        <w:t>、</w:t>
      </w:r>
      <w:r>
        <w:rPr>
          <w:rFonts w:ascii="Consolas" w:hAnsi="Consolas" w:eastAsia="Microsoft YaHei"/>
          <w:color w:val="1F4D78"/>
          <w:sz w:val="19"/>
          <w:shd w:fill="E8EEF5"/>
        </w:rPr>
        <w:t>streamlit_app.py</w:t>
      </w:r>
      <w:r>
        <w:rPr>
          <w:rFonts w:ascii="Calibri" w:hAnsi="Calibri" w:eastAsia="Microsoft YaHei"/>
          <w:color w:val="102A43"/>
          <w:sz w:val="21"/>
        </w:rPr>
        <w:t xml:space="preserve"> 和 </w:t>
      </w:r>
      <w:r>
        <w:rPr>
          <w:rFonts w:ascii="Consolas" w:hAnsi="Consolas" w:eastAsia="Microsoft YaHei"/>
          <w:color w:val="1F4D78"/>
          <w:sz w:val="19"/>
          <w:shd w:fill="E8EEF5"/>
        </w:rPr>
        <w:t>core.main</w:t>
      </w:r>
      <w:r>
        <w:rPr>
          <w:rFonts w:ascii="Calibri" w:hAnsi="Calibri" w:eastAsia="Microsoft YaHei"/>
          <w:color w:val="102A43"/>
          <w:sz w:val="21"/>
        </w:rPr>
        <w:t xml:space="preserve"> 的领域逻辑。</w:t>
      </w:r>
    </w:p>
    <w:p>
      <w:pPr>
        <w:numPr>
          <w:ilvl w:val="0"/>
          <w:numId w:val="14"/>
        </w:numPr>
      </w:pPr>
      <w:r>
        <w:rPr>
          <w:rFonts w:ascii="Calibri" w:hAnsi="Calibri" w:eastAsia="Microsoft YaHei"/>
          <w:color w:val="102A43"/>
          <w:sz w:val="21"/>
        </w:rPr>
        <w:t>增加研究模式与演示模式，禁止研究模式使用模拟回退。</w:t>
      </w:r>
    </w:p>
    <w:p>
      <w:pPr>
        <w:numPr>
          <w:ilvl w:val="0"/>
          <w:numId w:val="14"/>
        </w:numPr>
      </w:pPr>
      <w:r>
        <w:rPr>
          <w:rFonts w:ascii="Calibri" w:hAnsi="Calibri" w:eastAsia="Microsoft YaHei"/>
          <w:color w:val="102A43"/>
          <w:sz w:val="21"/>
        </w:rPr>
        <w:t>增加数据来源与覆盖率元数据。</w:t>
      </w:r>
    </w:p>
    <w:p>
      <w:pPr>
        <w:numPr>
          <w:ilvl w:val="0"/>
          <w:numId w:val="14"/>
        </w:numPr>
      </w:pPr>
      <w:r>
        <w:rPr>
          <w:rFonts w:ascii="Calibri" w:hAnsi="Calibri" w:eastAsia="Microsoft YaHei"/>
          <w:color w:val="102A43"/>
          <w:sz w:val="21"/>
        </w:rPr>
        <w:t>修正跨市场标准化与不可用因子的处理。</w:t>
      </w:r>
    </w:p>
    <w:p>
      <w:pPr>
        <w:numPr>
          <w:ilvl w:val="0"/>
          <w:numId w:val="14"/>
        </w:numPr>
      </w:pPr>
      <w:r>
        <w:rPr>
          <w:rFonts w:ascii="Calibri" w:hAnsi="Calibri" w:eastAsia="Microsoft YaHei"/>
          <w:color w:val="102A43"/>
          <w:sz w:val="21"/>
        </w:rPr>
        <w:t>增加依赖分层、自动测试、CI、Docker 和部署说明。</w:t>
      </w:r>
    </w:p>
    <w:p>
      <w:pPr>
        <w:numPr>
          <w:ilvl w:val="0"/>
          <w:numId w:val="14"/>
        </w:numPr>
      </w:pPr>
      <w:r>
        <w:rPr>
          <w:rFonts w:ascii="Calibri" w:hAnsi="Calibri" w:eastAsia="Microsoft YaHei"/>
          <w:color w:val="102A43"/>
          <w:sz w:val="21"/>
        </w:rPr>
        <w:t>运行命令行和浏览器端到端验证。</w:t>
      </w:r>
    </w:p>
    <w:p>
      <w:pPr>
        <w:numPr>
          <w:ilvl w:val="0"/>
          <w:numId w:val="14"/>
        </w:numPr>
      </w:pPr>
      <w:r>
        <w:rPr>
          <w:rFonts w:ascii="Calibri" w:hAnsi="Calibri" w:eastAsia="Microsoft YaHei"/>
          <w:color w:val="102A43"/>
          <w:sz w:val="21"/>
        </w:rPr>
        <w:t>重新整理项目报告，使其反映“实际已验证能力”，而不是只描述设计愿景。</w:t>
      </w:r>
    </w:p>
    <w:p>
      <w:pPr>
        <w:pStyle w:val="Heading1"/>
      </w:pPr>
      <w:r>
        <w:t>3. v3.3 系统架构</w:t>
      </w:r>
    </w:p>
    <w:p>
      <w:pPr>
        <w:pStyle w:val="Heading2"/>
      </w:pPr>
      <w:r>
        <w:t>3.1 分层结构</w:t>
      </w:r>
    </w:p>
    <w:tbl>
      <w:tblPr>
        <w:tblStyle w:val="TableGrid"/>
        <w:tblW w:type="dxa" w:w="9360"/>
        <w:jc w:val="left"/>
        <w:tblLayout w:type="fixed"/>
        <w:tblLook w:firstColumn="1" w:firstRow="1" w:lastColumn="0" w:lastRow="0" w:noHBand="0" w:noVBand="1" w:val="04A0"/>
        <w:tblInd w:w="120" w:type="dxa"/>
        <w:tblLayout w:type="fixed"/>
      </w:tblPr>
      <w:tblGrid>
        <w:gridCol w:w="872"/>
        <w:gridCol w:w="3219"/>
        <w:gridCol w:w="2048"/>
        <w:gridCol w:w="3221"/>
      </w:tblGrid>
      <w:tr>
        <w:trPr>
          <w:tblHeader w:val="true"/>
        </w:trPr>
        <w:tc>
          <w:tcPr>
            <w:tcW w:type="dxa" w:w="872"/>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层级</w:t>
            </w:r>
          </w:p>
        </w:tc>
        <w:tc>
          <w:tcPr>
            <w:tcW w:type="dxa" w:w="3219"/>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主要目录</w:t>
            </w:r>
          </w:p>
        </w:tc>
        <w:tc>
          <w:tcPr>
            <w:tcW w:type="dxa" w:w="2048"/>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责任</w:t>
            </w:r>
          </w:p>
        </w:tc>
        <w:tc>
          <w:tcPr>
            <w:tcW w:type="dxa" w:w="3221"/>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关键输出</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数据层</w:t>
            </w:r>
          </w:p>
        </w:tc>
        <w:tc>
          <w:tcPr>
            <w:tcW w:type="dxa" w:w="3219"/>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data/</w:t>
            </w:r>
          </w:p>
        </w:tc>
        <w:tc>
          <w:tcPr>
            <w:tcW w:type="dxa" w:w="20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获取、映射、缓存、来源标记</w:t>
            </w:r>
          </w:p>
        </w:tc>
        <w:tc>
          <w:tcPr>
            <w:tcW w:type="dxa" w:w="3221"/>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统一股票截面 DataFrame</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因子层</w:t>
            </w:r>
          </w:p>
        </w:tc>
        <w:tc>
          <w:tcPr>
            <w:tcW w:type="dxa" w:w="3219"/>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core/factor_engine.py</w:t>
            </w:r>
          </w:p>
        </w:tc>
        <w:tc>
          <w:tcPr>
            <w:tcW w:type="dxa" w:w="20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缺失处理、缩尾、标准化、方向调整</w:t>
            </w:r>
          </w:p>
        </w:tc>
        <w:tc>
          <w:tcPr>
            <w:tcW w:type="dxa" w:w="3221"/>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{factor}_z</w:t>
            </w:r>
            <w:r>
              <w:rPr>
                <w:rFonts w:ascii="Calibri" w:hAnsi="Calibri" w:eastAsia="Microsoft YaHei"/>
                <w:b w:val="0"/>
                <w:color w:val="102A43"/>
                <w:sz w:val="17"/>
              </w:rPr>
              <w:t xml:space="preserve"> 与维度原始得分</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评分层</w:t>
            </w:r>
          </w:p>
        </w:tc>
        <w:tc>
          <w:tcPr>
            <w:tcW w:type="dxa" w:w="3219"/>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core/scoring_engine.py</w:t>
            </w:r>
          </w:p>
        </w:tc>
        <w:tc>
          <w:tcPr>
            <w:tcW w:type="dxa" w:w="20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维度标准化、动态权重、百分位、行业排名</w:t>
            </w:r>
          </w:p>
        </w:tc>
        <w:tc>
          <w:tcPr>
            <w:tcW w:type="dxa" w:w="3221"/>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composite_score</w:t>
            </w:r>
            <w:r>
              <w:rPr>
                <w:rFonts w:ascii="Calibri" w:hAnsi="Calibri" w:eastAsia="Microsoft YaHei"/>
                <w:b w:val="0"/>
                <w:color w:val="102A43"/>
                <w:sz w:val="17"/>
              </w:rPr>
              <w:t>、</w:t>
            </w:r>
            <w:r>
              <w:rPr>
                <w:rFonts w:ascii="Calibri" w:hAnsi="Calibri" w:eastAsia="Microsoft YaHei"/>
                <w:b w:val="0"/>
                <w:color w:val="102A43"/>
                <w:sz w:val="17"/>
                <w:shd w:fill="E8EEF5"/>
              </w:rPr>
              <w:t>industry_rank</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回测层</w:t>
            </w:r>
          </w:p>
        </w:tc>
        <w:tc>
          <w:tcPr>
            <w:tcW w:type="dxa" w:w="3219"/>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backtest/engine.py</w:t>
            </w:r>
          </w:p>
        </w:tc>
        <w:tc>
          <w:tcPr>
            <w:tcW w:type="dxa" w:w="20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点时快照、持有期收益、换手成本、基准与指标</w:t>
            </w:r>
          </w:p>
        </w:tc>
        <w:tc>
          <w:tcPr>
            <w:tcW w:type="dxa" w:w="3221"/>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逐期结果、NAV、持仓与指标</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入口层</w:t>
            </w:r>
          </w:p>
        </w:tc>
        <w:tc>
          <w:tcPr>
            <w:tcW w:type="dxa" w:w="3219"/>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core/main.py</w:t>
            </w:r>
            <w:r>
              <w:rPr>
                <w:rFonts w:ascii="Calibri" w:hAnsi="Calibri" w:eastAsia="Microsoft YaHei"/>
                <w:b w:val="0"/>
                <w:color w:val="102A43"/>
                <w:sz w:val="17"/>
              </w:rPr>
              <w:t>、</w:t>
            </w:r>
            <w:r>
              <w:rPr>
                <w:rFonts w:ascii="Calibri" w:hAnsi="Calibri" w:eastAsia="Microsoft YaHei"/>
                <w:b w:val="0"/>
                <w:color w:val="102A43"/>
                <w:sz w:val="17"/>
                <w:shd w:fill="E8EEF5"/>
              </w:rPr>
              <w:t>streamlit_app.py</w:t>
            </w:r>
          </w:p>
        </w:tc>
        <w:tc>
          <w:tcPr>
            <w:tcW w:type="dxa" w:w="20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参数、模式、编排、交互、输出</w:t>
            </w:r>
          </w:p>
        </w:tc>
        <w:tc>
          <w:tcPr>
            <w:tcW w:type="dxa" w:w="3221"/>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CLI 和 Web 应用</w:t>
            </w:r>
          </w:p>
        </w:tc>
      </w:tr>
      <w:tr>
        <w:tc>
          <w:tcPr>
            <w:tcW w:type="dxa" w:w="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实验层</w:t>
            </w:r>
          </w:p>
        </w:tc>
        <w:tc>
          <w:tcPr>
            <w:tcW w:type="dxa" w:w="3219"/>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ml/</w:t>
            </w:r>
            <w:r>
              <w:rPr>
                <w:rFonts w:ascii="Calibri" w:hAnsi="Calibri" w:eastAsia="Microsoft YaHei"/>
                <w:b w:val="0"/>
                <w:color w:val="102A43"/>
                <w:sz w:val="17"/>
              </w:rPr>
              <w:t>、</w:t>
            </w:r>
            <w:r>
              <w:rPr>
                <w:rFonts w:ascii="Calibri" w:hAnsi="Calibri" w:eastAsia="Microsoft YaHei"/>
                <w:b w:val="0"/>
                <w:color w:val="102A43"/>
                <w:sz w:val="17"/>
                <w:shd w:fill="E8EEF5"/>
              </w:rPr>
              <w:t>analytics/</w:t>
            </w:r>
          </w:p>
        </w:tc>
        <w:tc>
          <w:tcPr>
            <w:tcW w:type="dxa" w:w="20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ML 与研究工具</w:t>
            </w:r>
          </w:p>
        </w:tc>
        <w:tc>
          <w:tcPr>
            <w:tcW w:type="dxa" w:w="3221"/>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非默认的研究性功能</w:t>
            </w:r>
          </w:p>
        </w:tc>
      </w:tr>
    </w:tbl>
    <w:p>
      <w:pPr>
        <w:spacing w:after="0"/>
      </w:pPr>
    </w:p>
    <w:p>
      <w:pPr>
        <w:pStyle w:val="Heading2"/>
      </w:pPr>
      <w:r>
        <w:t>3.2 单一逻辑来源</w:t>
      </w:r>
    </w:p>
    <w:p>
      <w:r>
        <w:rPr>
          <w:rFonts w:ascii="Calibri" w:hAnsi="Calibri" w:eastAsia="Microsoft YaHei"/>
          <w:color w:val="102A43"/>
          <w:sz w:val="21"/>
        </w:rPr>
        <w:t>v3.2 的网页文件内嵌了一套独立的因子和回测实现，导致同一按钮在不同入口下可能执行不同算法。v3.3 将网页改为调用核心模块：</w:t>
      </w:r>
    </w:p>
    <w:p>
      <w:pPr>
        <w:numPr>
          <w:ilvl w:val="0"/>
          <w:numId w:val="10"/>
        </w:numPr>
      </w:pPr>
      <w:r>
        <w:rPr>
          <w:rFonts w:ascii="Calibri" w:hAnsi="Calibri" w:eastAsia="Microsoft YaHei"/>
          <w:color w:val="102A43"/>
          <w:sz w:val="21"/>
        </w:rPr>
        <w:t xml:space="preserve">选股统一调用 </w:t>
      </w:r>
      <w:r>
        <w:rPr>
          <w:rFonts w:ascii="Consolas" w:hAnsi="Consolas" w:eastAsia="Microsoft YaHei"/>
          <w:color w:val="1F4D78"/>
          <w:sz w:val="19"/>
          <w:shd w:fill="E8EEF5"/>
        </w:rPr>
        <w:t>score_universe()</w:t>
      </w:r>
      <w:r>
        <w:rPr>
          <w:rFonts w:ascii="Calibri" w:hAnsi="Calibri" w:eastAsia="Microsoft YaHei"/>
          <w:color w:val="102A43"/>
          <w:sz w:val="21"/>
        </w:rPr>
        <w:t>。</w:t>
      </w:r>
    </w:p>
    <w:p>
      <w:pPr>
        <w:numPr>
          <w:ilvl w:val="0"/>
          <w:numId w:val="10"/>
        </w:numPr>
      </w:pPr>
      <w:r>
        <w:rPr>
          <w:rFonts w:ascii="Calibri" w:hAnsi="Calibri" w:eastAsia="Microsoft YaHei"/>
          <w:color w:val="102A43"/>
          <w:sz w:val="21"/>
        </w:rPr>
        <w:t xml:space="preserve">回测统一调用 </w:t>
      </w:r>
      <w:r>
        <w:rPr>
          <w:rFonts w:ascii="Consolas" w:hAnsi="Consolas" w:eastAsia="Microsoft YaHei"/>
          <w:color w:val="1F4D78"/>
          <w:sz w:val="19"/>
          <w:shd w:fill="E8EEF5"/>
        </w:rPr>
        <w:t>backtest.engine</w:t>
      </w:r>
      <w:r>
        <w:rPr>
          <w:rFonts w:ascii="Calibri" w:hAnsi="Calibri" w:eastAsia="Microsoft YaHei"/>
          <w:color w:val="102A43"/>
          <w:sz w:val="21"/>
        </w:rPr>
        <w:t>。</w:t>
      </w:r>
    </w:p>
    <w:p>
      <w:pPr>
        <w:numPr>
          <w:ilvl w:val="0"/>
          <w:numId w:val="10"/>
        </w:numPr>
      </w:pPr>
      <w:r>
        <w:rPr>
          <w:rFonts w:ascii="Consolas" w:hAnsi="Consolas" w:eastAsia="Microsoft YaHei"/>
          <w:color w:val="1F4D78"/>
          <w:sz w:val="19"/>
          <w:shd w:fill="E8EEF5"/>
        </w:rPr>
        <w:t>app.py</w:t>
      </w:r>
      <w:r>
        <w:rPr>
          <w:rFonts w:ascii="Calibri" w:hAnsi="Calibri" w:eastAsia="Microsoft YaHei"/>
          <w:color w:val="102A43"/>
          <w:sz w:val="21"/>
        </w:rPr>
        <w:t xml:space="preserve"> 仅作为兼容包装器调用 </w:t>
      </w:r>
      <w:r>
        <w:rPr>
          <w:rFonts w:ascii="Consolas" w:hAnsi="Consolas" w:eastAsia="Microsoft YaHei"/>
          <w:color w:val="1F4D78"/>
          <w:sz w:val="19"/>
          <w:shd w:fill="E8EEF5"/>
        </w:rPr>
        <w:t>streamlit_app.main()</w:t>
      </w:r>
      <w:r>
        <w:rPr>
          <w:rFonts w:ascii="Calibri" w:hAnsi="Calibri" w:eastAsia="Microsoft YaHei"/>
          <w:color w:val="102A43"/>
          <w:sz w:val="21"/>
        </w:rPr>
        <w:t>。</w:t>
      </w:r>
    </w:p>
    <w:p>
      <w:pPr>
        <w:numPr>
          <w:ilvl w:val="0"/>
          <w:numId w:val="10"/>
        </w:numPr>
      </w:pPr>
      <w:r>
        <w:rPr>
          <w:rFonts w:ascii="Calibri" w:hAnsi="Calibri" w:eastAsia="Microsoft YaHei"/>
          <w:color w:val="102A43"/>
          <w:sz w:val="21"/>
        </w:rPr>
        <w:t>CLI 与网页共享模拟数据生成器。</w:t>
      </w:r>
    </w:p>
    <w:p>
      <w:r>
        <w:rPr>
          <w:rFonts w:ascii="Calibri" w:hAnsi="Calibri" w:eastAsia="Microsoft YaHei"/>
          <w:color w:val="102A43"/>
          <w:sz w:val="21"/>
        </w:rPr>
        <w:t>这一调整降低了重复代码，也让测试真正覆盖用户界面背后的核心行为。</w:t>
      </w:r>
    </w:p>
    <w:p>
      <w:pPr>
        <w:pStyle w:val="Heading2"/>
      </w:pPr>
      <w:r>
        <w:t>3.3 运行模式</w:t>
      </w:r>
    </w:p>
    <w:p>
      <w:r>
        <w:rPr>
          <w:rFonts w:ascii="Calibri" w:hAnsi="Calibri" w:eastAsia="Microsoft YaHei"/>
          <w:color w:val="102A43"/>
          <w:sz w:val="21"/>
        </w:rPr>
        <w:t>系统现在有两个明确的数据模式：</w:t>
      </w:r>
    </w:p>
    <w:p>
      <w:r>
        <w:rPr>
          <w:rFonts w:ascii="Calibri" w:hAnsi="Calibri" w:eastAsia="Microsoft YaHei"/>
          <w:b/>
          <w:color w:val="102A43"/>
          <w:sz w:val="21"/>
        </w:rPr>
        <w:t>Synthetic demo</w:t>
      </w:r>
    </w:p>
    <w:p>
      <w:pPr>
        <w:numPr>
          <w:ilvl w:val="0"/>
          <w:numId w:val="10"/>
        </w:numPr>
      </w:pPr>
      <w:r>
        <w:rPr>
          <w:rFonts w:ascii="Calibri" w:hAnsi="Calibri" w:eastAsia="Microsoft YaHei"/>
          <w:color w:val="102A43"/>
          <w:sz w:val="21"/>
        </w:rPr>
        <w:t>使用固定随机种子的合成数据。</w:t>
      </w:r>
    </w:p>
    <w:p>
      <w:pPr>
        <w:numPr>
          <w:ilvl w:val="0"/>
          <w:numId w:val="10"/>
        </w:numPr>
      </w:pPr>
      <w:r>
        <w:rPr>
          <w:rFonts w:ascii="Calibri" w:hAnsi="Calibri" w:eastAsia="Microsoft YaHei"/>
          <w:color w:val="102A43"/>
          <w:sz w:val="21"/>
        </w:rPr>
        <w:t>适合演示、回归测试和界面验证。</w:t>
      </w:r>
    </w:p>
    <w:p>
      <w:pPr>
        <w:numPr>
          <w:ilvl w:val="0"/>
          <w:numId w:val="10"/>
        </w:numPr>
      </w:pPr>
      <w:r>
        <w:rPr>
          <w:rFonts w:ascii="Calibri" w:hAnsi="Calibri" w:eastAsia="Microsoft YaHei"/>
          <w:color w:val="102A43"/>
          <w:sz w:val="21"/>
        </w:rPr>
        <w:t xml:space="preserve">所有输出标记 </w:t>
      </w:r>
      <w:r>
        <w:rPr>
          <w:rFonts w:ascii="Consolas" w:hAnsi="Consolas" w:eastAsia="Microsoft YaHei"/>
          <w:color w:val="1F4D78"/>
          <w:sz w:val="19"/>
          <w:shd w:fill="E8EEF5"/>
        </w:rPr>
        <w:t>data_source=synthetic_demo</w:t>
      </w:r>
      <w:r>
        <w:rPr>
          <w:rFonts w:ascii="Calibri" w:hAnsi="Calibri" w:eastAsia="Microsoft YaHei"/>
          <w:color w:val="102A43"/>
          <w:sz w:val="21"/>
        </w:rPr>
        <w:t>、</w:t>
      </w:r>
      <w:r>
        <w:rPr>
          <w:rFonts w:ascii="Consolas" w:hAnsi="Consolas" w:eastAsia="Microsoft YaHei"/>
          <w:color w:val="1F4D78"/>
          <w:sz w:val="19"/>
          <w:shd w:fill="E8EEF5"/>
        </w:rPr>
        <w:t>is_mock=True</w:t>
      </w:r>
      <w:r>
        <w:rPr>
          <w:rFonts w:ascii="Calibri" w:hAnsi="Calibri" w:eastAsia="Microsoft YaHei"/>
          <w:color w:val="102A43"/>
          <w:sz w:val="21"/>
        </w:rPr>
        <w:t>。</w:t>
      </w:r>
    </w:p>
    <w:p>
      <w:pPr>
        <w:numPr>
          <w:ilvl w:val="0"/>
          <w:numId w:val="10"/>
        </w:numPr>
      </w:pPr>
      <w:r>
        <w:rPr>
          <w:rFonts w:ascii="Calibri" w:hAnsi="Calibri" w:eastAsia="Microsoft YaHei"/>
          <w:color w:val="102A43"/>
          <w:sz w:val="21"/>
        </w:rPr>
        <w:t>回测收益和因子信号存在人为设定的适度关系，仅用于验证流程。</w:t>
      </w:r>
    </w:p>
    <w:p>
      <w:r>
        <w:rPr>
          <w:rFonts w:ascii="Calibri" w:hAnsi="Calibri" w:eastAsia="Microsoft YaHei"/>
          <w:b/>
          <w:color w:val="102A43"/>
          <w:sz w:val="21"/>
        </w:rPr>
        <w:t>Research data</w:t>
      </w:r>
    </w:p>
    <w:p>
      <w:pPr>
        <w:numPr>
          <w:ilvl w:val="0"/>
          <w:numId w:val="10"/>
        </w:numPr>
      </w:pPr>
      <w:r>
        <w:rPr>
          <w:rFonts w:ascii="Calibri" w:hAnsi="Calibri" w:eastAsia="Microsoft YaHei"/>
          <w:color w:val="102A43"/>
          <w:sz w:val="21"/>
        </w:rPr>
        <w:t>使用 Tushare、akshare、Alpha Vantage 或 yfinance 等真实提供商。</w:t>
      </w:r>
    </w:p>
    <w:p>
      <w:pPr>
        <w:numPr>
          <w:ilvl w:val="0"/>
          <w:numId w:val="10"/>
        </w:numPr>
      </w:pPr>
      <w:r>
        <w:rPr>
          <w:rFonts w:ascii="Calibri" w:hAnsi="Calibri" w:eastAsia="Microsoft YaHei"/>
          <w:color w:val="102A43"/>
          <w:sz w:val="21"/>
        </w:rPr>
        <w:t>数据不可用时抛出明确错误。</w:t>
      </w:r>
    </w:p>
    <w:p>
      <w:pPr>
        <w:numPr>
          <w:ilvl w:val="0"/>
          <w:numId w:val="10"/>
        </w:numPr>
      </w:pPr>
      <w:r>
        <w:rPr>
          <w:rFonts w:ascii="Calibri" w:hAnsi="Calibri" w:eastAsia="Microsoft YaHei"/>
          <w:color w:val="102A43"/>
          <w:sz w:val="21"/>
        </w:rPr>
        <w:t>不生成随机预期因子。</w:t>
      </w:r>
    </w:p>
    <w:p>
      <w:pPr>
        <w:numPr>
          <w:ilvl w:val="0"/>
          <w:numId w:val="10"/>
        </w:numPr>
      </w:pPr>
      <w:r>
        <w:rPr>
          <w:rFonts w:ascii="Calibri" w:hAnsi="Calibri" w:eastAsia="Microsoft YaHei"/>
          <w:color w:val="102A43"/>
          <w:sz w:val="21"/>
        </w:rPr>
        <w:t>需要用户审查字段覆盖率、数据日期和提供商限制。</w:t>
      </w:r>
    </w:p>
    <w:p>
      <w:pPr>
        <w:pStyle w:val="Heading1"/>
      </w:pPr>
      <w:r>
        <w:t>4. 数据层与数据治理</w:t>
      </w:r>
    </w:p>
    <w:p>
      <w:pPr>
        <w:pStyle w:val="Heading2"/>
      </w:pPr>
      <w:r>
        <w:t>4.1 统一字段</w:t>
      </w:r>
    </w:p>
    <w:p>
      <w:r>
        <w:rPr>
          <w:rFonts w:ascii="Calibri" w:hAnsi="Calibri" w:eastAsia="Microsoft YaHei"/>
          <w:color w:val="102A43"/>
          <w:sz w:val="21"/>
        </w:rPr>
        <w:t>统一数据表至少包含三类字段：</w:t>
      </w:r>
    </w:p>
    <w:p>
      <w:pPr>
        <w:numPr>
          <w:ilvl w:val="0"/>
          <w:numId w:val="15"/>
        </w:numPr>
      </w:pPr>
      <w:r>
        <w:rPr>
          <w:rFonts w:ascii="Calibri" w:hAnsi="Calibri" w:eastAsia="Microsoft YaHei"/>
          <w:color w:val="102A43"/>
          <w:sz w:val="21"/>
        </w:rPr>
        <w:t>标识字段：</w:t>
      </w:r>
      <w:r>
        <w:rPr>
          <w:rFonts w:ascii="Consolas" w:hAnsi="Consolas" w:eastAsia="Microsoft YaHei"/>
          <w:color w:val="1F4D78"/>
          <w:sz w:val="19"/>
          <w:shd w:fill="E8EEF5"/>
        </w:rPr>
        <w:t>code</w:t>
      </w:r>
      <w:r>
        <w:rPr>
          <w:rFonts w:ascii="Calibri" w:hAnsi="Calibri" w:eastAsia="Microsoft YaHei"/>
          <w:color w:val="102A43"/>
          <w:sz w:val="21"/>
        </w:rPr>
        <w:t>、</w:t>
      </w:r>
      <w:r>
        <w:rPr>
          <w:rFonts w:ascii="Consolas" w:hAnsi="Consolas" w:eastAsia="Microsoft YaHei"/>
          <w:color w:val="1F4D78"/>
          <w:sz w:val="19"/>
          <w:shd w:fill="E8EEF5"/>
        </w:rPr>
        <w:t>name</w:t>
      </w:r>
      <w:r>
        <w:rPr>
          <w:rFonts w:ascii="Calibri" w:hAnsi="Calibri" w:eastAsia="Microsoft YaHei"/>
          <w:color w:val="102A43"/>
          <w:sz w:val="21"/>
        </w:rPr>
        <w:t>、</w:t>
      </w:r>
      <w:r>
        <w:rPr>
          <w:rFonts w:ascii="Consolas" w:hAnsi="Consolas" w:eastAsia="Microsoft YaHei"/>
          <w:color w:val="1F4D78"/>
          <w:sz w:val="19"/>
          <w:shd w:fill="E8EEF5"/>
        </w:rPr>
        <w:t>sw_industry_name</w:t>
      </w:r>
      <w:r>
        <w:rPr>
          <w:rFonts w:ascii="Calibri" w:hAnsi="Calibri" w:eastAsia="Microsoft YaHei"/>
          <w:color w:val="102A43"/>
          <w:sz w:val="21"/>
        </w:rPr>
        <w:t>、</w:t>
      </w:r>
      <w:r>
        <w:rPr>
          <w:rFonts w:ascii="Consolas" w:hAnsi="Consolas" w:eastAsia="Microsoft YaHei"/>
          <w:color w:val="1F4D78"/>
          <w:sz w:val="19"/>
          <w:shd w:fill="E8EEF5"/>
        </w:rPr>
        <w:t>market</w:t>
      </w:r>
      <w:r>
        <w:rPr>
          <w:rFonts w:ascii="Calibri" w:hAnsi="Calibri" w:eastAsia="Microsoft YaHei"/>
          <w:color w:val="102A43"/>
          <w:sz w:val="21"/>
        </w:rPr>
        <w:t>、</w:t>
      </w:r>
      <w:r>
        <w:rPr>
          <w:rFonts w:ascii="Consolas" w:hAnsi="Consolas" w:eastAsia="Microsoft YaHei"/>
          <w:color w:val="1F4D78"/>
          <w:sz w:val="19"/>
          <w:shd w:fill="E8EEF5"/>
        </w:rPr>
        <w:t>currency</w:t>
      </w:r>
      <w:r>
        <w:rPr>
          <w:rFonts w:ascii="Calibri" w:hAnsi="Calibri" w:eastAsia="Microsoft YaHei"/>
          <w:color w:val="102A43"/>
          <w:sz w:val="21"/>
        </w:rPr>
        <w:t>。</w:t>
      </w:r>
    </w:p>
    <w:p>
      <w:pPr>
        <w:numPr>
          <w:ilvl w:val="0"/>
          <w:numId w:val="15"/>
        </w:numPr>
      </w:pPr>
      <w:r>
        <w:rPr>
          <w:rFonts w:ascii="Calibri" w:hAnsi="Calibri" w:eastAsia="Microsoft YaHei"/>
          <w:color w:val="102A43"/>
          <w:sz w:val="21"/>
        </w:rPr>
        <w:t>因子字段：19 个候选因子。</w:t>
      </w:r>
    </w:p>
    <w:p>
      <w:pPr>
        <w:numPr>
          <w:ilvl w:val="0"/>
          <w:numId w:val="15"/>
        </w:numPr>
      </w:pPr>
      <w:r>
        <w:rPr>
          <w:rFonts w:ascii="Calibri" w:hAnsi="Calibri" w:eastAsia="Microsoft YaHei"/>
          <w:color w:val="102A43"/>
          <w:sz w:val="21"/>
        </w:rPr>
        <w:t>治理字段：</w:t>
      </w:r>
      <w:r>
        <w:rPr>
          <w:rFonts w:ascii="Consolas" w:hAnsi="Consolas" w:eastAsia="Microsoft YaHei"/>
          <w:color w:val="1F4D78"/>
          <w:sz w:val="19"/>
          <w:shd w:fill="E8EEF5"/>
        </w:rPr>
        <w:t>data_source</w:t>
      </w:r>
      <w:r>
        <w:rPr>
          <w:rFonts w:ascii="Calibri" w:hAnsi="Calibri" w:eastAsia="Microsoft YaHei"/>
          <w:color w:val="102A43"/>
          <w:sz w:val="21"/>
        </w:rPr>
        <w:t>、</w:t>
      </w:r>
      <w:r>
        <w:rPr>
          <w:rFonts w:ascii="Consolas" w:hAnsi="Consolas" w:eastAsia="Microsoft YaHei"/>
          <w:color w:val="1F4D78"/>
          <w:sz w:val="19"/>
          <w:shd w:fill="E8EEF5"/>
        </w:rPr>
        <w:t>is_mock</w:t>
      </w:r>
      <w:r>
        <w:rPr>
          <w:rFonts w:ascii="Calibri" w:hAnsi="Calibri" w:eastAsia="Microsoft YaHei"/>
          <w:color w:val="102A43"/>
          <w:sz w:val="21"/>
        </w:rPr>
        <w:t>、</w:t>
      </w:r>
      <w:r>
        <w:rPr>
          <w:rFonts w:ascii="Consolas" w:hAnsi="Consolas" w:eastAsia="Microsoft YaHei"/>
          <w:color w:val="1F4D78"/>
          <w:sz w:val="19"/>
          <w:shd w:fill="E8EEF5"/>
        </w:rPr>
        <w:t>as_of_date</w:t>
      </w:r>
      <w:r>
        <w:rPr>
          <w:rFonts w:ascii="Calibri" w:hAnsi="Calibri" w:eastAsia="Microsoft YaHei"/>
          <w:color w:val="102A43"/>
          <w:sz w:val="21"/>
        </w:rPr>
        <w:t>、</w:t>
      </w:r>
      <w:r>
        <w:rPr>
          <w:rFonts w:ascii="Consolas" w:hAnsi="Consolas" w:eastAsia="Microsoft YaHei"/>
          <w:color w:val="1F4D78"/>
          <w:sz w:val="19"/>
          <w:shd w:fill="E8EEF5"/>
        </w:rPr>
        <w:t>factor_coverage</w:t>
      </w:r>
      <w:r>
        <w:rPr>
          <w:rFonts w:ascii="Calibri" w:hAnsi="Calibri" w:eastAsia="Microsoft YaHei"/>
          <w:color w:val="102A43"/>
          <w:sz w:val="21"/>
        </w:rPr>
        <w:t>、</w:t>
      </w:r>
      <w:r>
        <w:rPr>
          <w:rFonts w:ascii="Consolas" w:hAnsi="Consolas" w:eastAsia="Microsoft YaHei"/>
          <w:color w:val="1F4D78"/>
          <w:sz w:val="19"/>
          <w:shd w:fill="E8EEF5"/>
        </w:rPr>
        <w:t>expectation_source</w:t>
      </w:r>
      <w:r>
        <w:rPr>
          <w:rFonts w:ascii="Calibri" w:hAnsi="Calibri" w:eastAsia="Microsoft YaHei"/>
          <w:color w:val="102A43"/>
          <w:sz w:val="21"/>
        </w:rPr>
        <w:t>。</w:t>
      </w:r>
    </w:p>
    <w:p>
      <w:r>
        <w:rPr>
          <w:rFonts w:ascii="Calibri" w:hAnsi="Calibri" w:eastAsia="Microsoft YaHei"/>
          <w:color w:val="102A43"/>
          <w:sz w:val="21"/>
        </w:rPr>
        <w:t>治理字段是 v3.3 的关键改进。对于任何选股结果，用户都可以先回答：数据来自哪里、是否模拟、截至哪一天、因子覆盖是否完整、预期数据是否真实存在。</w:t>
      </w:r>
    </w:p>
    <w:p>
      <w:pPr>
        <w:pStyle w:val="Heading2"/>
      </w:pPr>
      <w:r>
        <w:t>4.2 数据优先级</w:t>
      </w:r>
    </w:p>
    <w:tbl>
      <w:tblPr>
        <w:tblStyle w:val="TableGrid"/>
        <w:tblW w:type="dxa" w:w="9360"/>
        <w:jc w:val="left"/>
        <w:tblLayout w:type="fixed"/>
        <w:tblLook w:firstColumn="1" w:firstRow="1" w:lastColumn="0" w:lastRow="0" w:noHBand="0" w:noVBand="1" w:val="04A0"/>
        <w:tblInd w:w="120" w:type="dxa"/>
        <w:tblLayout w:type="fixed"/>
      </w:tblPr>
      <w:tblGrid>
        <w:gridCol w:w="1872"/>
        <w:gridCol w:w="3042"/>
        <w:gridCol w:w="1872"/>
        <w:gridCol w:w="2574"/>
      </w:tblGrid>
      <w:tr>
        <w:trPr>
          <w:tblHeader w:val="true"/>
        </w:trPr>
        <w:tc>
          <w:tcPr>
            <w:tcW w:type="dxa" w:w="1872"/>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市场</w:t>
            </w:r>
          </w:p>
        </w:tc>
        <w:tc>
          <w:tcPr>
            <w:tcW w:type="dxa" w:w="3042"/>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首选</w:t>
            </w:r>
          </w:p>
        </w:tc>
        <w:tc>
          <w:tcPr>
            <w:tcW w:type="dxa" w:w="1872"/>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备选</w:t>
            </w:r>
          </w:p>
        </w:tc>
        <w:tc>
          <w:tcPr>
            <w:tcW w:type="dxa" w:w="2574"/>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演示回退</w:t>
            </w:r>
          </w:p>
        </w:tc>
      </w:tr>
      <w:tr>
        <w:tc>
          <w:tcPr>
            <w:tcW w:type="dxa" w:w="1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A 股</w:t>
            </w:r>
          </w:p>
        </w:tc>
        <w:tc>
          <w:tcPr>
            <w:tcW w:type="dxa" w:w="304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Tushare Pro</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akshare</w:t>
            </w:r>
          </w:p>
        </w:tc>
        <w:tc>
          <w:tcPr>
            <w:tcW w:type="dxa" w:w="257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仅 demo 模式允许</w:t>
            </w:r>
          </w:p>
        </w:tc>
      </w:tr>
      <w:tr>
        <w:tc>
          <w:tcPr>
            <w:tcW w:type="dxa" w:w="1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美股</w:t>
            </w:r>
          </w:p>
        </w:tc>
        <w:tc>
          <w:tcPr>
            <w:tcW w:type="dxa" w:w="304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Alpha Vantage</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yfinance</w:t>
            </w:r>
          </w:p>
        </w:tc>
        <w:tc>
          <w:tcPr>
            <w:tcW w:type="dxa" w:w="257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仅 demo 模式允许</w:t>
            </w:r>
          </w:p>
        </w:tc>
      </w:tr>
      <w:tr>
        <w:tc>
          <w:tcPr>
            <w:tcW w:type="dxa" w:w="1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港股/日股/韩股</w:t>
            </w:r>
          </w:p>
        </w:tc>
        <w:tc>
          <w:tcPr>
            <w:tcW w:type="dxa" w:w="304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预留 Yahoo 适配方向</w:t>
            </w:r>
          </w:p>
        </w:tc>
        <w:tc>
          <w:tcPr>
            <w:tcW w:type="dxa" w:w="1872"/>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尚需完善</w:t>
            </w:r>
          </w:p>
        </w:tc>
        <w:tc>
          <w:tcPr>
            <w:tcW w:type="dxa" w:w="257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仅 demo 模式允许</w:t>
            </w:r>
          </w:p>
        </w:tc>
      </w:tr>
    </w:tbl>
    <w:p>
      <w:pPr>
        <w:spacing w:after="0"/>
      </w:pPr>
    </w:p>
    <w:p>
      <w:pPr>
        <w:pStyle w:val="Heading2"/>
      </w:pPr>
      <w:r>
        <w:t>4.3 缺失数据原则</w:t>
      </w:r>
    </w:p>
    <w:p>
      <w:r>
        <w:rPr>
          <w:rFonts w:ascii="Calibri" w:hAnsi="Calibri" w:eastAsia="Microsoft YaHei"/>
          <w:color w:val="102A43"/>
          <w:sz w:val="21"/>
        </w:rPr>
        <w:t>旧版本为了维持五维输出，会对缺少分析师预期数据的市场生成随机 SUE、EPS 修正和评级修正。这种做法适合 UI 占位，但不适合研究输出。v3.3 的处理原则是：</w:t>
      </w:r>
    </w:p>
    <w:p>
      <w:pPr>
        <w:numPr>
          <w:ilvl w:val="0"/>
          <w:numId w:val="10"/>
        </w:numPr>
      </w:pPr>
      <w:r>
        <w:rPr>
          <w:rFonts w:ascii="Calibri" w:hAnsi="Calibri" w:eastAsia="Microsoft YaHei"/>
          <w:color w:val="102A43"/>
          <w:sz w:val="21"/>
        </w:rPr>
        <w:t>列不存在、全空或没有横截面差异时，该因子不可用。</w:t>
      </w:r>
    </w:p>
    <w:p>
      <w:pPr>
        <w:numPr>
          <w:ilvl w:val="0"/>
          <w:numId w:val="10"/>
        </w:numPr>
      </w:pPr>
      <w:r>
        <w:rPr>
          <w:rFonts w:ascii="Calibri" w:hAnsi="Calibri" w:eastAsia="Microsoft YaHei"/>
          <w:color w:val="102A43"/>
          <w:sz w:val="21"/>
        </w:rPr>
        <w:t>不可用因子不会生成标准化列。</w:t>
      </w:r>
    </w:p>
    <w:p>
      <w:pPr>
        <w:numPr>
          <w:ilvl w:val="0"/>
          <w:numId w:val="10"/>
        </w:numPr>
      </w:pPr>
      <w:r>
        <w:rPr>
          <w:rFonts w:ascii="Calibri" w:hAnsi="Calibri" w:eastAsia="Microsoft YaHei"/>
          <w:color w:val="102A43"/>
          <w:sz w:val="21"/>
        </w:rPr>
        <w:t>整个维度不可用时，维度得分设为 NaN。</w:t>
      </w:r>
    </w:p>
    <w:p>
      <w:pPr>
        <w:numPr>
          <w:ilvl w:val="0"/>
          <w:numId w:val="10"/>
        </w:numPr>
      </w:pPr>
      <w:r>
        <w:rPr>
          <w:rFonts w:ascii="Calibri" w:hAnsi="Calibri" w:eastAsia="Microsoft YaHei"/>
          <w:color w:val="102A43"/>
          <w:sz w:val="21"/>
        </w:rPr>
        <w:t>综合评分只使用活跃维度，并重新归一化权重。</w:t>
      </w:r>
    </w:p>
    <w:p>
      <w:r>
        <w:rPr>
          <w:rFonts w:ascii="Calibri" w:hAnsi="Calibri" w:eastAsia="Microsoft YaHei"/>
          <w:color w:val="102A43"/>
          <w:sz w:val="21"/>
        </w:rPr>
        <w:t>这使得模型宁可承认信息缺失，也不会用随机值维持表面完整。</w:t>
      </w:r>
    </w:p>
    <w:p>
      <w:pPr>
        <w:pStyle w:val="Heading2"/>
      </w:pPr>
      <w:r>
        <w:t>4.4 缓存边界</w:t>
      </w:r>
    </w:p>
    <w:p>
      <w:r>
        <w:rPr>
          <w:rFonts w:ascii="Calibri" w:hAnsi="Calibri" w:eastAsia="Microsoft YaHei"/>
          <w:color w:val="102A43"/>
          <w:sz w:val="21"/>
        </w:rPr>
        <w:t xml:space="preserve">缓存用于降低接口调用频率，但缓存不能改变数据身份。v3.3 在读取缓存时检查 </w:t>
      </w:r>
      <w:r>
        <w:rPr>
          <w:rFonts w:ascii="Consolas" w:hAnsi="Consolas" w:eastAsia="Microsoft YaHei"/>
          <w:color w:val="1F4D78"/>
          <w:sz w:val="19"/>
          <w:shd w:fill="E8EEF5"/>
        </w:rPr>
        <w:t>is_mock</w:t>
      </w:r>
      <w:r>
        <w:rPr>
          <w:rFonts w:ascii="Calibri" w:hAnsi="Calibri" w:eastAsia="Microsoft YaHei"/>
          <w:color w:val="102A43"/>
          <w:sz w:val="21"/>
        </w:rPr>
        <w:t>，研究模式不会接受历史上以真实源键保存的模拟数据。后续仍建议把缓存键进一步扩展为：提供商、市场、股票集合、字段版本、请求日期和模式的组合，并为数据模式设置独立命名空间。</w:t>
      </w:r>
    </w:p>
    <w:p>
      <w:pPr>
        <w:pStyle w:val="Heading1"/>
      </w:pPr>
      <w:r>
        <w:t>5. 因子模型</w:t>
      </w:r>
    </w:p>
    <w:p>
      <w:pPr>
        <w:pStyle w:val="Heading2"/>
      </w:pPr>
      <w:r>
        <w:t>5.1 因子定义</w:t>
      </w:r>
    </w:p>
    <w:tbl>
      <w:tblPr>
        <w:tblStyle w:val="TableGrid"/>
        <w:tblW w:type="dxa" w:w="9360"/>
        <w:jc w:val="left"/>
        <w:tblLayout w:type="fixed"/>
        <w:tblLook w:firstColumn="1" w:firstRow="1" w:lastColumn="0" w:lastRow="0" w:noHBand="0" w:noVBand="1" w:val="04A0"/>
        <w:tblInd w:w="120" w:type="dxa"/>
        <w:tblLayout w:type="fixed"/>
      </w:tblPr>
      <w:tblGrid>
        <w:gridCol w:w="2288"/>
        <w:gridCol w:w="3120"/>
        <w:gridCol w:w="1248"/>
        <w:gridCol w:w="2704"/>
      </w:tblGrid>
      <w:tr>
        <w:trPr>
          <w:tblHeader w:val="true"/>
        </w:trPr>
        <w:tc>
          <w:tcPr>
            <w:tcW w:type="dxa" w:w="2288"/>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维度</w:t>
            </w:r>
          </w:p>
        </w:tc>
        <w:tc>
          <w:tcPr>
            <w:tcW w:type="dxa" w:w="3120"/>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因子</w:t>
            </w:r>
          </w:p>
        </w:tc>
        <w:tc>
          <w:tcPr>
            <w:tcW w:type="dxa" w:w="1248"/>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方向</w:t>
            </w:r>
          </w:p>
        </w:tc>
        <w:tc>
          <w:tcPr>
            <w:tcW w:type="dxa" w:w="2704"/>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经济含义</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Value</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PE TTM</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盈利对应的估值水平</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Value</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PB LF</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净资产对应的估值水平</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Value</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PS TTM</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收入对应的估值水平</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Value</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EV/EBITDA</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企业价值相对经营利润</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Value</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Dividend Yield</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现金分红回报</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Quality</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ROE</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股东资本盈利能力</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Quality</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ROA</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总资产盈利效率</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Quality</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Gross Margin</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产品与商业模式盈利空间</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Quality</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Net Margin</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最终利润转化能力</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Quality</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Debt/Equity</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财务杠杆与偿债压力</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Growth</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Revenue YoY</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收入扩张速度</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Growth</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Profit YoY</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盈利扩张速度</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Growth</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FCF Yield</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自由现金流相对估值</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Momentum</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Return 1M</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短期价格趋势</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Momentum</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Return 3M</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中短期价格趋势</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Momentum</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Return 12M</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中期价格趋势</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Expectation</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SUE</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实际盈利相对预期的惊喜程度</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Expectation</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EPS Revision</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分析师盈利预期修正方向</w:t>
            </w:r>
          </w:p>
        </w:tc>
      </w:tr>
      <w:tr>
        <w:tc>
          <w:tcPr>
            <w:tcW w:type="dxa" w:w="228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Expectation</w:t>
            </w:r>
          </w:p>
        </w:tc>
        <w:tc>
          <w:tcPr>
            <w:tcW w:type="dxa" w:w="31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Rating Revision</w:t>
            </w:r>
          </w:p>
        </w:tc>
        <w:tc>
          <w:tcPr>
            <w:tcW w:type="dxa" w:w="1248"/>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w:t>
            </w:r>
          </w:p>
        </w:tc>
        <w:tc>
          <w:tcPr>
            <w:tcW w:type="dxa" w:w="27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分析师评级变化方向</w:t>
            </w:r>
          </w:p>
        </w:tc>
      </w:tr>
    </w:tbl>
    <w:p>
      <w:pPr>
        <w:spacing w:after="0"/>
      </w:pPr>
    </w:p>
    <w:p>
      <w:pPr>
        <w:pStyle w:val="Heading2"/>
      </w:pPr>
      <w:r>
        <w:t>5.2 预处理流程</w:t>
      </w:r>
    </w:p>
    <w:p>
      <w:r>
        <w:rPr>
          <w:rFonts w:ascii="Calibri" w:hAnsi="Calibri" w:eastAsia="Microsoft YaHei"/>
          <w:color w:val="102A43"/>
          <w:sz w:val="21"/>
        </w:rPr>
        <w:t>每个可用因子的处理顺序为：</w:t>
      </w:r>
    </w:p>
    <w:p>
      <w:pPr>
        <w:numPr>
          <w:ilvl w:val="0"/>
          <w:numId w:val="16"/>
        </w:numPr>
      </w:pPr>
      <w:r>
        <w:rPr>
          <w:rFonts w:ascii="Calibri" w:hAnsi="Calibri" w:eastAsia="Microsoft YaHei"/>
          <w:color w:val="102A43"/>
          <w:sz w:val="21"/>
        </w:rPr>
        <w:t>数值转换与有效性检查。</w:t>
      </w:r>
    </w:p>
    <w:p>
      <w:pPr>
        <w:numPr>
          <w:ilvl w:val="0"/>
          <w:numId w:val="16"/>
        </w:numPr>
      </w:pPr>
      <w:r>
        <w:rPr>
          <w:rFonts w:ascii="Calibri" w:hAnsi="Calibri" w:eastAsia="Microsoft YaHei"/>
          <w:color w:val="102A43"/>
          <w:sz w:val="21"/>
        </w:rPr>
        <w:t>缺失值优先按市场与行业均值填充，再按市场均值和全局均值补充。</w:t>
      </w:r>
    </w:p>
    <w:p>
      <w:pPr>
        <w:numPr>
          <w:ilvl w:val="0"/>
          <w:numId w:val="16"/>
        </w:numPr>
      </w:pPr>
      <w:r>
        <w:rPr>
          <w:rFonts w:ascii="Calibri" w:hAnsi="Calibri" w:eastAsia="Microsoft YaHei"/>
          <w:color w:val="102A43"/>
          <w:sz w:val="21"/>
        </w:rPr>
        <w:t>5%/95% 分位缩尾，降低极端值影响。</w:t>
      </w:r>
    </w:p>
    <w:p>
      <w:pPr>
        <w:numPr>
          <w:ilvl w:val="0"/>
          <w:numId w:val="16"/>
        </w:numPr>
      </w:pPr>
      <w:r>
        <w:rPr>
          <w:rFonts w:ascii="Calibri" w:hAnsi="Calibri" w:eastAsia="Microsoft YaHei"/>
          <w:color w:val="102A43"/>
          <w:sz w:val="21"/>
        </w:rPr>
        <w:t>在各市场内部进行 Z-Score 标准化。</w:t>
      </w:r>
    </w:p>
    <w:p>
      <w:pPr>
        <w:numPr>
          <w:ilvl w:val="0"/>
          <w:numId w:val="16"/>
        </w:numPr>
      </w:pPr>
      <w:r>
        <w:rPr>
          <w:rFonts w:ascii="Calibri" w:hAnsi="Calibri" w:eastAsia="Microsoft YaHei"/>
          <w:color w:val="102A43"/>
          <w:sz w:val="21"/>
        </w:rPr>
        <w:t>根据因子方向乘以 +1 或 -1，使得高分统一表示更优。</w:t>
      </w:r>
    </w:p>
    <w:p>
      <w:pPr>
        <w:numPr>
          <w:ilvl w:val="0"/>
          <w:numId w:val="16"/>
        </w:numPr>
      </w:pPr>
      <w:r>
        <w:rPr>
          <w:rFonts w:ascii="Calibri" w:hAnsi="Calibri" w:eastAsia="Microsoft YaHei"/>
          <w:color w:val="102A43"/>
          <w:sz w:val="21"/>
        </w:rPr>
        <w:t>可选行业中性化。</w:t>
      </w:r>
    </w:p>
    <w:p>
      <w:r>
        <w:rPr>
          <w:rFonts w:ascii="Calibri" w:hAnsi="Calibri" w:eastAsia="Microsoft YaHei"/>
          <w:color w:val="102A43"/>
          <w:sz w:val="21"/>
        </w:rPr>
        <w:t>标准化公式为：</w:t>
      </w:r>
    </w:p>
    <w:p>
      <w:r>
        <w:rPr>
          <w:rFonts w:ascii="Consolas" w:hAnsi="Consolas" w:eastAsia="Microsoft YaHei"/>
          <w:color w:val="1F4D78"/>
          <w:sz w:val="19"/>
          <w:shd w:fill="E8EEF5"/>
        </w:rPr>
        <w:t>z_i = (x_i - mean(x)) / std(x)</w:t>
      </w:r>
    </w:p>
    <w:p>
      <w:r>
        <w:rPr>
          <w:rFonts w:ascii="Calibri" w:hAnsi="Calibri" w:eastAsia="Microsoft YaHei"/>
          <w:color w:val="102A43"/>
          <w:sz w:val="21"/>
        </w:rPr>
        <w:t xml:space="preserve">对低值更优的估值与杠杆因子，最终得分为 </w:t>
      </w:r>
      <w:r>
        <w:rPr>
          <w:rFonts w:ascii="Consolas" w:hAnsi="Consolas" w:eastAsia="Microsoft YaHei"/>
          <w:color w:val="1F4D78"/>
          <w:sz w:val="19"/>
          <w:shd w:fill="E8EEF5"/>
        </w:rPr>
        <w:t>-z_i</w:t>
      </w:r>
      <w:r>
        <w:rPr>
          <w:rFonts w:ascii="Calibri" w:hAnsi="Calibri" w:eastAsia="Microsoft YaHei"/>
          <w:color w:val="102A43"/>
          <w:sz w:val="21"/>
        </w:rPr>
        <w:t>。</w:t>
      </w:r>
    </w:p>
    <w:p>
      <w:pPr>
        <w:pStyle w:val="Heading2"/>
      </w:pPr>
      <w:r>
        <w:t>5.3 为什么采用市场内标准化</w:t>
      </w:r>
    </w:p>
    <w:p>
      <w:r>
        <w:rPr>
          <w:rFonts w:ascii="Calibri" w:hAnsi="Calibri" w:eastAsia="Microsoft YaHei"/>
          <w:color w:val="102A43"/>
          <w:sz w:val="21"/>
        </w:rPr>
        <w:t>不同市场的估值中枢、会计口径、行业结构和货币环境不同。如果直接把 A 股 PE 与美股 PE 放在同一分布中做 Z-Score，模型可能把“市场差异”误认为“公司差异”。v3.3 先在市场内部缩尾和标准化，再进行综合排名。这并不能解决所有跨市场可比性问题，但比全样本混合标准化更合理。</w:t>
      </w:r>
    </w:p>
    <w:p>
      <w:pPr>
        <w:pStyle w:val="Heading1"/>
      </w:pPr>
      <w:r>
        <w:t>6. 评分与排名</w:t>
      </w:r>
    </w:p>
    <w:p>
      <w:pPr>
        <w:pStyle w:val="Heading2"/>
      </w:pPr>
      <w:r>
        <w:t>6.1 维度聚合</w:t>
      </w:r>
    </w:p>
    <w:p>
      <w:r>
        <w:rPr>
          <w:rFonts w:ascii="Calibri" w:hAnsi="Calibri" w:eastAsia="Microsoft YaHei"/>
          <w:color w:val="102A43"/>
          <w:sz w:val="21"/>
        </w:rPr>
        <w:t>维度得分是该维度下可用标准化因子的等权平均，再次进行横截面标准化。例如：</w:t>
      </w:r>
    </w:p>
    <w:p>
      <w:r>
        <w:rPr>
          <w:rFonts w:ascii="Consolas" w:hAnsi="Consolas" w:eastAsia="Microsoft YaHei"/>
          <w:color w:val="1F4D78"/>
          <w:sz w:val="19"/>
          <w:shd w:fill="E8EEF5"/>
        </w:rPr>
        <w:t>Value = mean(PE_z, PB_z, PS_z, EV_EBITDA_z, DividendYield_z)</w:t>
      </w:r>
    </w:p>
    <w:p>
      <w:r>
        <w:rPr>
          <w:rFonts w:ascii="Calibri" w:hAnsi="Calibri" w:eastAsia="Microsoft YaHei"/>
          <w:color w:val="102A43"/>
          <w:sz w:val="21"/>
        </w:rPr>
        <w:t>默认权重为：</w:t>
      </w:r>
    </w:p>
    <w:tbl>
      <w:tblPr>
        <w:tblStyle w:val="TableGrid"/>
        <w:tblW w:type="dxa" w:w="9360"/>
        <w:jc w:val="left"/>
        <w:tblLayout w:type="fixed"/>
        <w:tblLook w:firstColumn="1" w:firstRow="1" w:lastColumn="0" w:lastRow="0" w:noHBand="0" w:noVBand="1" w:val="04A0"/>
        <w:tblInd w:w="120" w:type="dxa"/>
        <w:tblLayout w:type="fixed"/>
      </w:tblPr>
      <w:tblGrid>
        <w:gridCol w:w="6056"/>
        <w:gridCol w:w="3304"/>
      </w:tblGrid>
      <w:tr>
        <w:trPr>
          <w:tblHeader w:val="true"/>
        </w:trPr>
        <w:tc>
          <w:tcPr>
            <w:tcW w:type="dxa" w:w="6056"/>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维度</w:t>
            </w:r>
          </w:p>
        </w:tc>
        <w:tc>
          <w:tcPr>
            <w:tcW w:type="dxa" w:w="3304"/>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权重</w:t>
            </w:r>
          </w:p>
        </w:tc>
      </w:tr>
      <w:tr>
        <w:tc>
          <w:tcPr>
            <w:tcW w:type="dxa" w:w="605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Value</w:t>
            </w:r>
          </w:p>
        </w:tc>
        <w:tc>
          <w:tcPr>
            <w:tcW w:type="dxa" w:w="33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25%</w:t>
            </w:r>
          </w:p>
        </w:tc>
      </w:tr>
      <w:tr>
        <w:tc>
          <w:tcPr>
            <w:tcW w:type="dxa" w:w="605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Quality</w:t>
            </w:r>
          </w:p>
        </w:tc>
        <w:tc>
          <w:tcPr>
            <w:tcW w:type="dxa" w:w="33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25%</w:t>
            </w:r>
          </w:p>
        </w:tc>
      </w:tr>
      <w:tr>
        <w:tc>
          <w:tcPr>
            <w:tcW w:type="dxa" w:w="605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Growth</w:t>
            </w:r>
          </w:p>
        </w:tc>
        <w:tc>
          <w:tcPr>
            <w:tcW w:type="dxa" w:w="33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15%</w:t>
            </w:r>
          </w:p>
        </w:tc>
      </w:tr>
      <w:tr>
        <w:tc>
          <w:tcPr>
            <w:tcW w:type="dxa" w:w="605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Momentum</w:t>
            </w:r>
          </w:p>
        </w:tc>
        <w:tc>
          <w:tcPr>
            <w:tcW w:type="dxa" w:w="33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15%</w:t>
            </w:r>
          </w:p>
        </w:tc>
      </w:tr>
      <w:tr>
        <w:tc>
          <w:tcPr>
            <w:tcW w:type="dxa" w:w="605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Expectation</w:t>
            </w:r>
          </w:p>
        </w:tc>
        <w:tc>
          <w:tcPr>
            <w:tcW w:type="dxa" w:w="330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20%</w:t>
            </w:r>
          </w:p>
        </w:tc>
      </w:tr>
    </w:tbl>
    <w:p>
      <w:pPr>
        <w:spacing w:after="0"/>
      </w:pPr>
    </w:p>
    <w:p>
      <w:pPr>
        <w:pStyle w:val="Heading2"/>
      </w:pPr>
      <w:r>
        <w:t>6.2 动态权重</w:t>
      </w:r>
    </w:p>
    <w:p>
      <w:r>
        <w:rPr>
          <w:rFonts w:ascii="Calibri" w:hAnsi="Calibri" w:eastAsia="Microsoft YaHei"/>
          <w:color w:val="102A43"/>
          <w:sz w:val="21"/>
        </w:rPr>
        <w:t>若预期维度不可用，剩余权重按比例重新归一化，而不是把缺失预期得分当作零惩罚所有股票。设活跃维度集合为 A，则：</w:t>
      </w:r>
    </w:p>
    <w:p>
      <w:r>
        <w:rPr>
          <w:rFonts w:ascii="Consolas" w:hAnsi="Consolas" w:eastAsia="Microsoft YaHei"/>
          <w:color w:val="1F4D78"/>
          <w:sz w:val="19"/>
          <w:shd w:fill="E8EEF5"/>
        </w:rPr>
        <w:t>normalized_weight_d = weight_d / sum(weight_j for j in A)</w:t>
      </w:r>
    </w:p>
    <w:p>
      <w:pPr>
        <w:pStyle w:val="Heading2"/>
      </w:pPr>
      <w:r>
        <w:t>6.3 综合评分</w:t>
      </w:r>
    </w:p>
    <w:p>
      <w:r>
        <w:rPr>
          <w:rFonts w:ascii="Calibri" w:hAnsi="Calibri" w:eastAsia="Microsoft YaHei"/>
          <w:color w:val="102A43"/>
          <w:sz w:val="21"/>
        </w:rPr>
        <w:t>原始综合分为各维度标准分的加权和：</w:t>
      </w:r>
    </w:p>
    <w:p>
      <w:r>
        <w:rPr>
          <w:rFonts w:ascii="Consolas" w:hAnsi="Consolas" w:eastAsia="Microsoft YaHei"/>
          <w:color w:val="1F4D78"/>
          <w:sz w:val="19"/>
          <w:shd w:fill="E8EEF5"/>
        </w:rPr>
        <w:t>raw_score = sum(normalized_weight_d * dimension_score_d)</w:t>
      </w:r>
    </w:p>
    <w:p>
      <w:r>
        <w:rPr>
          <w:rFonts w:ascii="Calibri" w:hAnsi="Calibri" w:eastAsia="Microsoft YaHei"/>
          <w:color w:val="102A43"/>
          <w:sz w:val="21"/>
        </w:rPr>
        <w:t>随后转换为 0 至 100 的百分位：</w:t>
      </w:r>
    </w:p>
    <w:p>
      <w:r>
        <w:rPr>
          <w:rFonts w:ascii="Consolas" w:hAnsi="Consolas" w:eastAsia="Microsoft YaHei"/>
          <w:color w:val="1F4D78"/>
          <w:sz w:val="19"/>
          <w:shd w:fill="E8EEF5"/>
        </w:rPr>
        <w:t>composite_score = percentile_rank(raw_score) * 100</w:t>
      </w:r>
    </w:p>
    <w:p>
      <w:r>
        <w:rPr>
          <w:rFonts w:ascii="Calibri" w:hAnsi="Calibri" w:eastAsia="Microsoft YaHei"/>
          <w:color w:val="102A43"/>
          <w:sz w:val="21"/>
        </w:rPr>
        <w:t>百分位便于解释“位于当前股票池的前多少比例”，但它不是预期收益率，也不应被解读为成功概率。</w:t>
      </w:r>
    </w:p>
    <w:p>
      <w:pPr>
        <w:pStyle w:val="Heading2"/>
      </w:pPr>
      <w:r>
        <w:t>6.4 行业内排名</w:t>
      </w:r>
    </w:p>
    <w:p>
      <w:r>
        <w:rPr>
          <w:rFonts w:ascii="Consolas" w:hAnsi="Consolas" w:eastAsia="Microsoft YaHei"/>
          <w:color w:val="1F4D78"/>
          <w:sz w:val="19"/>
          <w:shd w:fill="E8EEF5"/>
        </w:rPr>
        <w:t>industry_rank</w:t>
      </w:r>
      <w:r>
        <w:rPr>
          <w:rFonts w:ascii="Calibri" w:hAnsi="Calibri" w:eastAsia="Microsoft YaHei"/>
          <w:color w:val="102A43"/>
          <w:sz w:val="21"/>
        </w:rPr>
        <w:t xml:space="preserve"> 在市场与行业组合内部计算。这样可以同时查看全股票池的综合排序，以及一家公司在本地行业同业中的相对位置。当前实现仍使用统一权重，尚未达到真正的行业特定模型。</w:t>
      </w:r>
    </w:p>
    <w:p>
      <w:pPr>
        <w:pStyle w:val="Heading1"/>
      </w:pPr>
      <w:r>
        <w:t>7. Walk-forward 回测框架</w:t>
      </w:r>
    </w:p>
    <w:p>
      <w:pPr>
        <w:pStyle w:val="Heading2"/>
      </w:pPr>
      <w:r>
        <w:t>7.1 点时数据契约</w:t>
      </w:r>
    </w:p>
    <w:p>
      <w:r>
        <w:rPr>
          <w:rFonts w:ascii="Calibri" w:hAnsi="Calibri" w:eastAsia="Microsoft YaHei"/>
          <w:color w:val="102A43"/>
          <w:sz w:val="21"/>
        </w:rPr>
        <w:t>研究回测需要两类输入：</w:t>
      </w:r>
    </w:p>
    <w:p>
      <w:pPr>
        <w:numPr>
          <w:ilvl w:val="0"/>
          <w:numId w:val="10"/>
        </w:numPr>
      </w:pPr>
      <w:r>
        <w:rPr>
          <w:rFonts w:ascii="Calibri" w:hAnsi="Calibri" w:eastAsia="Microsoft YaHei"/>
          <w:color w:val="102A43"/>
          <w:sz w:val="21"/>
        </w:rPr>
        <w:t xml:space="preserve">调仓日可见的股票因子快照，包含 </w:t>
      </w:r>
      <w:r>
        <w:rPr>
          <w:rFonts w:ascii="Consolas" w:hAnsi="Consolas" w:eastAsia="Microsoft YaHei"/>
          <w:color w:val="1F4D78"/>
          <w:sz w:val="19"/>
          <w:shd w:fill="E8EEF5"/>
        </w:rPr>
        <w:t>period</w:t>
      </w:r>
      <w:r>
        <w:rPr>
          <w:rFonts w:ascii="Calibri" w:hAnsi="Calibri" w:eastAsia="Microsoft YaHei"/>
          <w:color w:val="102A43"/>
          <w:sz w:val="21"/>
        </w:rPr>
        <w:t>、股票标识、行业和因子。</w:t>
      </w:r>
    </w:p>
    <w:p>
      <w:pPr>
        <w:numPr>
          <w:ilvl w:val="0"/>
          <w:numId w:val="10"/>
        </w:numPr>
      </w:pPr>
      <w:r>
        <w:rPr>
          <w:rFonts w:ascii="Calibri" w:hAnsi="Calibri" w:eastAsia="Microsoft YaHei"/>
          <w:color w:val="102A43"/>
          <w:sz w:val="21"/>
        </w:rPr>
        <w:t>与每个调仓日对应的持有期价格窗口。</w:t>
      </w:r>
    </w:p>
    <w:p>
      <w:r>
        <w:rPr>
          <w:rFonts w:ascii="Calibri" w:hAnsi="Calibri" w:eastAsia="Microsoft YaHei"/>
          <w:color w:val="102A43"/>
          <w:sz w:val="21"/>
        </w:rPr>
        <w:t>每一期只使用当期快照评分，选出 Top-N，随后用下一调仓日前的价格计算持有期收益。</w:t>
      </w:r>
    </w:p>
    <w:p>
      <w:pPr>
        <w:pStyle w:val="Heading2"/>
      </w:pPr>
      <w:r>
        <w:t>7.2 组合、基准与成本</w:t>
      </w:r>
    </w:p>
    <w:p>
      <w:r>
        <w:rPr>
          <w:rFonts w:ascii="Calibri" w:hAnsi="Calibri" w:eastAsia="Microsoft YaHei"/>
          <w:color w:val="102A43"/>
          <w:sz w:val="21"/>
        </w:rPr>
        <w:t>组合采用等权持有。基准为当期可投资股票池的等权收益，不再使用随机基准。</w:t>
      </w:r>
    </w:p>
    <w:p>
      <w:r>
        <w:rPr>
          <w:rFonts w:ascii="Calibri" w:hAnsi="Calibri" w:eastAsia="Microsoft YaHei"/>
          <w:color w:val="102A43"/>
          <w:sz w:val="21"/>
        </w:rPr>
        <w:t>交易成本基于目标权重和上一期权重之间的绝对变化：</w:t>
      </w:r>
    </w:p>
    <w:p>
      <w:r>
        <w:rPr>
          <w:rFonts w:ascii="Consolas" w:hAnsi="Consolas" w:eastAsia="Microsoft YaHei"/>
          <w:color w:val="1F4D78"/>
          <w:sz w:val="19"/>
          <w:shd w:fill="E8EEF5"/>
        </w:rPr>
        <w:t>traded_notional = sum(abs(target_weight - previous_weight))</w:t>
      </w:r>
    </w:p>
    <w:p>
      <w:r>
        <w:rPr>
          <w:rFonts w:ascii="Consolas" w:hAnsi="Consolas" w:eastAsia="Microsoft YaHei"/>
          <w:color w:val="1F4D78"/>
          <w:sz w:val="19"/>
          <w:shd w:fill="E8EEF5"/>
        </w:rPr>
        <w:t>cost = traded_notional * one_way_transaction_cost</w:t>
      </w:r>
    </w:p>
    <w:p>
      <w:r>
        <w:rPr>
          <w:rFonts w:ascii="Calibri" w:hAnsi="Calibri" w:eastAsia="Microsoft YaHei"/>
          <w:color w:val="102A43"/>
          <w:sz w:val="21"/>
        </w:rPr>
        <w:t>该计算同时覆盖卖出和买入，不再额外错误乘以 100 或重复乘以双边系数。</w:t>
      </w:r>
    </w:p>
    <w:p>
      <w:pPr>
        <w:pStyle w:val="Heading2"/>
      </w:pPr>
      <w:r>
        <w:t>7.3 关键指标</w:t>
      </w:r>
    </w:p>
    <w:p>
      <w:r>
        <w:rPr>
          <w:rFonts w:ascii="Calibri" w:hAnsi="Calibri" w:eastAsia="Microsoft YaHei"/>
          <w:color w:val="102A43"/>
          <w:sz w:val="21"/>
        </w:rPr>
        <w:t>系统输出：</w:t>
      </w:r>
    </w:p>
    <w:p>
      <w:pPr>
        <w:numPr>
          <w:ilvl w:val="0"/>
          <w:numId w:val="10"/>
        </w:numPr>
      </w:pPr>
      <w:r>
        <w:rPr>
          <w:rFonts w:ascii="Calibri" w:hAnsi="Calibri" w:eastAsia="Microsoft YaHei"/>
          <w:color w:val="102A43"/>
          <w:sz w:val="21"/>
        </w:rPr>
        <w:t>总收益与年化收益。</w:t>
      </w:r>
    </w:p>
    <w:p>
      <w:pPr>
        <w:numPr>
          <w:ilvl w:val="0"/>
          <w:numId w:val="10"/>
        </w:numPr>
      </w:pPr>
      <w:r>
        <w:rPr>
          <w:rFonts w:ascii="Calibri" w:hAnsi="Calibri" w:eastAsia="Microsoft YaHei"/>
          <w:color w:val="102A43"/>
          <w:sz w:val="21"/>
        </w:rPr>
        <w:t>基准收益与年化基准收益。</w:t>
      </w:r>
    </w:p>
    <w:p>
      <w:pPr>
        <w:numPr>
          <w:ilvl w:val="0"/>
          <w:numId w:val="10"/>
        </w:numPr>
      </w:pPr>
      <w:r>
        <w:rPr>
          <w:rFonts w:ascii="Calibri" w:hAnsi="Calibri" w:eastAsia="Microsoft YaHei"/>
          <w:color w:val="102A43"/>
          <w:sz w:val="21"/>
        </w:rPr>
        <w:t>总超额与年化超额。</w:t>
      </w:r>
    </w:p>
    <w:p>
      <w:pPr>
        <w:numPr>
          <w:ilvl w:val="0"/>
          <w:numId w:val="10"/>
        </w:numPr>
      </w:pPr>
      <w:r>
        <w:rPr>
          <w:rFonts w:ascii="Calibri" w:hAnsi="Calibri" w:eastAsia="Microsoft YaHei"/>
          <w:color w:val="102A43"/>
          <w:sz w:val="21"/>
        </w:rPr>
        <w:t>超额收益口径 Sharpe。</w:t>
      </w:r>
    </w:p>
    <w:p>
      <w:pPr>
        <w:numPr>
          <w:ilvl w:val="0"/>
          <w:numId w:val="10"/>
        </w:numPr>
      </w:pPr>
      <w:r>
        <w:rPr>
          <w:rFonts w:ascii="Calibri" w:hAnsi="Calibri" w:eastAsia="Microsoft YaHei"/>
          <w:color w:val="102A43"/>
          <w:sz w:val="21"/>
        </w:rPr>
        <w:t>最大回撤与 Calmar。</w:t>
      </w:r>
    </w:p>
    <w:p>
      <w:pPr>
        <w:numPr>
          <w:ilvl w:val="0"/>
          <w:numId w:val="10"/>
        </w:numPr>
      </w:pPr>
      <w:r>
        <w:rPr>
          <w:rFonts w:ascii="Calibri" w:hAnsi="Calibri" w:eastAsia="Microsoft YaHei"/>
          <w:color w:val="102A43"/>
          <w:sz w:val="21"/>
        </w:rPr>
        <w:t>超额胜率。</w:t>
      </w:r>
    </w:p>
    <w:p>
      <w:pPr>
        <w:numPr>
          <w:ilvl w:val="0"/>
          <w:numId w:val="10"/>
        </w:numPr>
      </w:pPr>
      <w:r>
        <w:rPr>
          <w:rFonts w:ascii="Calibri" w:hAnsi="Calibri" w:eastAsia="Microsoft YaHei"/>
          <w:color w:val="102A43"/>
          <w:sz w:val="21"/>
        </w:rPr>
        <w:t>Rank IC 与 ICIR。</w:t>
      </w:r>
    </w:p>
    <w:p>
      <w:pPr>
        <w:numPr>
          <w:ilvl w:val="0"/>
          <w:numId w:val="10"/>
        </w:numPr>
      </w:pPr>
      <w:r>
        <w:rPr>
          <w:rFonts w:ascii="Calibri" w:hAnsi="Calibri" w:eastAsia="Microsoft YaHei"/>
          <w:color w:val="102A43"/>
          <w:sz w:val="21"/>
        </w:rPr>
        <w:t>平均换手、交易次数和累计交易成本。</w:t>
      </w:r>
    </w:p>
    <w:p>
      <w:r>
        <w:rPr>
          <w:rFonts w:ascii="Calibri" w:hAnsi="Calibri" w:eastAsia="Microsoft YaHei"/>
          <w:color w:val="102A43"/>
          <w:sz w:val="21"/>
        </w:rPr>
        <w:t>月度与季度回测使用不同的年化期数，不再统一假设 12 期。</w:t>
      </w:r>
    </w:p>
    <w:p>
      <w:pPr>
        <w:pStyle w:val="Heading2"/>
      </w:pPr>
      <w:r>
        <w:t>7.4 硬性失败门槛</w:t>
      </w:r>
    </w:p>
    <w:p>
      <w:r>
        <w:rPr>
          <w:rFonts w:ascii="Calibri" w:hAnsi="Calibri" w:eastAsia="Microsoft YaHei"/>
          <w:color w:val="102A43"/>
          <w:sz w:val="21"/>
        </w:rPr>
        <w:t>以下情况会抛出错误，而不是返回全零结果：</w:t>
      </w:r>
    </w:p>
    <w:p>
      <w:pPr>
        <w:numPr>
          <w:ilvl w:val="0"/>
          <w:numId w:val="10"/>
        </w:numPr>
      </w:pPr>
      <w:r>
        <w:rPr>
          <w:rFonts w:ascii="Calibri" w:hAnsi="Calibri" w:eastAsia="Microsoft YaHei"/>
          <w:color w:val="102A43"/>
          <w:sz w:val="21"/>
        </w:rPr>
        <w:t>没有点时快照。</w:t>
      </w:r>
    </w:p>
    <w:p>
      <w:pPr>
        <w:numPr>
          <w:ilvl w:val="0"/>
          <w:numId w:val="10"/>
        </w:numPr>
      </w:pPr>
      <w:r>
        <w:rPr>
          <w:rFonts w:ascii="Calibri" w:hAnsi="Calibri" w:eastAsia="Microsoft YaHei"/>
          <w:color w:val="102A43"/>
          <w:sz w:val="21"/>
        </w:rPr>
        <w:t>没有对应价格窗口。</w:t>
      </w:r>
    </w:p>
    <w:p>
      <w:pPr>
        <w:numPr>
          <w:ilvl w:val="0"/>
          <w:numId w:val="10"/>
        </w:numPr>
      </w:pPr>
      <w:r>
        <w:rPr>
          <w:rFonts w:ascii="Calibri" w:hAnsi="Calibri" w:eastAsia="Microsoft YaHei"/>
          <w:color w:val="102A43"/>
          <w:sz w:val="21"/>
        </w:rPr>
        <w:t>选股结果为空。</w:t>
      </w:r>
    </w:p>
    <w:p>
      <w:pPr>
        <w:numPr>
          <w:ilvl w:val="0"/>
          <w:numId w:val="10"/>
        </w:numPr>
      </w:pPr>
      <w:r>
        <w:rPr>
          <w:rFonts w:ascii="Calibri" w:hAnsi="Calibri" w:eastAsia="Microsoft YaHei"/>
          <w:color w:val="102A43"/>
          <w:sz w:val="21"/>
        </w:rPr>
        <w:t>持仓没有有效收益。</w:t>
      </w:r>
    </w:p>
    <w:p>
      <w:pPr>
        <w:numPr>
          <w:ilvl w:val="0"/>
          <w:numId w:val="10"/>
        </w:numPr>
      </w:pPr>
      <w:r>
        <w:rPr>
          <w:rFonts w:ascii="Calibri" w:hAnsi="Calibri" w:eastAsia="Microsoft YaHei"/>
          <w:color w:val="102A43"/>
          <w:sz w:val="21"/>
        </w:rPr>
        <w:t>NAV 出现 NaN 或无穷值。</w:t>
      </w:r>
    </w:p>
    <w:p>
      <w:pPr>
        <w:numPr>
          <w:ilvl w:val="0"/>
          <w:numId w:val="10"/>
        </w:numPr>
      </w:pPr>
      <w:r>
        <w:rPr>
          <w:rFonts w:ascii="Calibri" w:hAnsi="Calibri" w:eastAsia="Microsoft YaHei"/>
          <w:color w:val="102A43"/>
          <w:sz w:val="21"/>
        </w:rPr>
        <w:t>整个回测没有交易或持仓。</w:t>
      </w:r>
    </w:p>
    <w:p>
      <w:r>
        <w:rPr>
          <w:rFonts w:ascii="Calibri" w:hAnsi="Calibri" w:eastAsia="Microsoft YaHei"/>
          <w:color w:val="102A43"/>
          <w:sz w:val="21"/>
        </w:rPr>
        <w:t>这项改变非常重要，因为“失败但输出 0”比直接报错更危险，它会把数据管道问题伪装成策略表现。</w:t>
      </w:r>
    </w:p>
    <w:p>
      <w:pPr>
        <w:pStyle w:val="Heading1"/>
      </w:pPr>
      <w:r>
        <w:t>8. v3.2 审查发现与修复</w:t>
      </w:r>
    </w:p>
    <w:tbl>
      <w:tblPr>
        <w:tblStyle w:val="TableGrid"/>
        <w:tblW w:type="dxa" w:w="9360"/>
        <w:jc w:val="left"/>
        <w:tblLayout w:type="fixed"/>
        <w:tblLook w:firstColumn="1" w:firstRow="1" w:lastColumn="0" w:lastRow="0" w:noHBand="0" w:noVBand="1" w:val="04A0"/>
        <w:tblInd w:w="120" w:type="dxa"/>
        <w:tblLayout w:type="fixed"/>
      </w:tblPr>
      <w:tblGrid>
        <w:gridCol w:w="2820"/>
        <w:gridCol w:w="2307"/>
        <w:gridCol w:w="4233"/>
      </w:tblGrid>
      <w:tr>
        <w:trPr>
          <w:tblHeader w:val="true"/>
        </w:trPr>
        <w:tc>
          <w:tcPr>
            <w:tcW w:type="dxa" w:w="2820"/>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问题</w:t>
            </w:r>
          </w:p>
        </w:tc>
        <w:tc>
          <w:tcPr>
            <w:tcW w:type="dxa" w:w="2307"/>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影响</w:t>
            </w:r>
          </w:p>
        </w:tc>
        <w:tc>
          <w:tcPr>
            <w:tcW w:type="dxa" w:w="4233"/>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v3.3 处理</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app.py</w:t>
            </w:r>
            <w:r>
              <w:rPr>
                <w:rFonts w:ascii="Calibri" w:hAnsi="Calibri" w:eastAsia="Microsoft YaHei"/>
                <w:b w:val="0"/>
                <w:color w:val="102A43"/>
                <w:sz w:val="17"/>
              </w:rPr>
              <w:t xml:space="preserve"> 字符串未闭合</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入口无法编译</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重建为兼容包装器</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Streamlit 内嵌另一套模型</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三个入口结果可能不一致</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UI 调用核心模块</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 xml:space="preserve">Pandas </w:t>
            </w:r>
            <w:r>
              <w:rPr>
                <w:rFonts w:ascii="Calibri" w:hAnsi="Calibri" w:eastAsia="Microsoft YaHei"/>
                <w:b w:val="0"/>
                <w:color w:val="102A43"/>
                <w:sz w:val="17"/>
                <w:shd w:fill="E8EEF5"/>
              </w:rPr>
              <w:t>ME</w:t>
            </w:r>
            <w:r>
              <w:rPr>
                <w:rFonts w:ascii="Calibri" w:hAnsi="Calibri" w:eastAsia="Microsoft YaHei"/>
                <w:b w:val="0"/>
                <w:color w:val="102A43"/>
                <w:sz w:val="17"/>
              </w:rPr>
              <w:t xml:space="preserve"> 频率不兼容</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回测按钮直接崩溃</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 xml:space="preserve">使用 </w:t>
            </w:r>
            <w:r>
              <w:rPr>
                <w:rFonts w:ascii="Calibri" w:hAnsi="Calibri" w:eastAsia="Microsoft YaHei"/>
                <w:b w:val="0"/>
                <w:color w:val="102A43"/>
                <w:sz w:val="17"/>
                <w:shd w:fill="E8EEF5"/>
              </w:rPr>
              <w:t>MonthEnd</w:t>
            </w:r>
            <w:r>
              <w:rPr>
                <w:rFonts w:ascii="Calibri" w:hAnsi="Calibri" w:eastAsia="Microsoft YaHei"/>
                <w:b w:val="0"/>
                <w:color w:val="102A43"/>
                <w:sz w:val="17"/>
              </w:rPr>
              <w:t>/</w:t>
            </w:r>
            <w:r>
              <w:rPr>
                <w:rFonts w:ascii="Calibri" w:hAnsi="Calibri" w:eastAsia="Microsoft YaHei"/>
                <w:b w:val="0"/>
                <w:color w:val="102A43"/>
                <w:sz w:val="17"/>
                <w:shd w:fill="E8EEF5"/>
              </w:rPr>
              <w:t>QuarterEnd</w:t>
            </w:r>
            <w:r>
              <w:rPr>
                <w:rFonts w:ascii="Calibri" w:hAnsi="Calibri" w:eastAsia="Microsoft YaHei"/>
                <w:b w:val="0"/>
                <w:color w:val="102A43"/>
                <w:sz w:val="17"/>
              </w:rPr>
              <w:t xml:space="preserve"> offset</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shd w:fill="E8EEF5"/>
              </w:rPr>
              <w:t>composite_score</w:t>
            </w:r>
            <w:r>
              <w:rPr>
                <w:rFonts w:ascii="Calibri" w:hAnsi="Calibri" w:eastAsia="Microsoft YaHei"/>
                <w:b w:val="0"/>
                <w:color w:val="102A43"/>
                <w:sz w:val="17"/>
              </w:rPr>
              <w:t xml:space="preserve"> 重复选列</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行值成为 Series，CLI 报错</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使用显式维度列清单</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月初快照匹配月末调仓日</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每期无数据</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统一调仓日期与快照键</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回测导入旧模块路径</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异常被捕获后返回零</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使用包路径并移除静默吞错</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交易成本量纲错误</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成本被放大或重复计算</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权重差额口径统一计算</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基准收益随机生成</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超额收益没有经济含义</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使用当期股票池等权基准</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累计超额简单相加</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长期超额计算错误</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使用组合 NAV / 基准 NAV</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所有频率按月年化</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季度指标错误</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根据频率设置 12 或 4</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真实数据缺失时随机补预期</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输出身份不清</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研究模式跳过缺失维度</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Mock 可能进入真实缓存键</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后续读取误判来源</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 xml:space="preserve">缓存读取检查 </w:t>
            </w:r>
            <w:r>
              <w:rPr>
                <w:rFonts w:ascii="Calibri" w:hAnsi="Calibri" w:eastAsia="Microsoft YaHei"/>
                <w:b w:val="0"/>
                <w:color w:val="102A43"/>
                <w:sz w:val="17"/>
                <w:shd w:fill="E8EEF5"/>
              </w:rPr>
              <w:t>is_mock</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测试目录为空</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回归风险高</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新增 7 项测试与 CI</w:t>
            </w:r>
          </w:p>
        </w:tc>
      </w:tr>
      <w:tr>
        <w:tc>
          <w:tcPr>
            <w:tcW w:type="dxa" w:w="282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远程仓库内容不完整</w:t>
            </w:r>
          </w:p>
        </w:tc>
        <w:tc>
          <w:tcPr>
            <w:tcW w:type="dxa" w:w="2307"/>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面试官看不到真实工程量</w:t>
            </w:r>
          </w:p>
        </w:tc>
        <w:tc>
          <w:tcPr>
            <w:tcW w:type="dxa" w:w="4233"/>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纳入完整模块与文档</w:t>
            </w:r>
          </w:p>
        </w:tc>
      </w:tr>
    </w:tbl>
    <w:p>
      <w:pPr>
        <w:spacing w:after="0"/>
      </w:pPr>
    </w:p>
    <w:p>
      <w:pPr>
        <w:pStyle w:val="Heading1"/>
      </w:pPr>
      <w:r>
        <w:t>9. 验证结果</w:t>
      </w:r>
    </w:p>
    <w:p>
      <w:pPr>
        <w:pStyle w:val="Heading2"/>
      </w:pPr>
      <w:r>
        <w:t>9.1 自动测试</w:t>
      </w:r>
    </w:p>
    <w:p>
      <w:r>
        <w:rPr>
          <w:rFonts w:ascii="Calibri" w:hAnsi="Calibri" w:eastAsia="Microsoft YaHei"/>
          <w:color w:val="102A43"/>
          <w:sz w:val="21"/>
        </w:rPr>
        <w:t>在 2026-06-12 的本地验证中：</w:t>
      </w:r>
    </w:p>
    <w:p>
      <w:pPr>
        <w:numPr>
          <w:ilvl w:val="0"/>
          <w:numId w:val="10"/>
        </w:numPr>
      </w:pPr>
      <w:r>
        <w:rPr>
          <w:rFonts w:ascii="Consolas" w:hAnsi="Consolas" w:eastAsia="Microsoft YaHei"/>
          <w:color w:val="1F4D78"/>
          <w:sz w:val="19"/>
          <w:shd w:fill="E8EEF5"/>
        </w:rPr>
        <w:t>python -m compileall -q .</w:t>
      </w:r>
      <w:r>
        <w:rPr>
          <w:rFonts w:ascii="Calibri" w:hAnsi="Calibri" w:eastAsia="Microsoft YaHei"/>
          <w:color w:val="102A43"/>
          <w:sz w:val="21"/>
        </w:rPr>
        <w:t xml:space="preserve"> 通过。</w:t>
      </w:r>
    </w:p>
    <w:p>
      <w:pPr>
        <w:numPr>
          <w:ilvl w:val="0"/>
          <w:numId w:val="10"/>
        </w:numPr>
      </w:pPr>
      <w:r>
        <w:rPr>
          <w:rFonts w:ascii="Consolas" w:hAnsi="Consolas" w:eastAsia="Microsoft YaHei"/>
          <w:color w:val="1F4D78"/>
          <w:sz w:val="19"/>
          <w:shd w:fill="E8EEF5"/>
        </w:rPr>
        <w:t>pytest -q</w:t>
      </w:r>
      <w:r>
        <w:rPr>
          <w:rFonts w:ascii="Calibri" w:hAnsi="Calibri" w:eastAsia="Microsoft YaHei"/>
          <w:color w:val="102A43"/>
          <w:sz w:val="21"/>
        </w:rPr>
        <w:t xml:space="preserve"> 通过，7 项测试全部成功。</w:t>
      </w:r>
    </w:p>
    <w:p>
      <w:pPr>
        <w:numPr>
          <w:ilvl w:val="0"/>
          <w:numId w:val="10"/>
        </w:numPr>
      </w:pPr>
      <w:r>
        <w:rPr>
          <w:rFonts w:ascii="Calibri" w:hAnsi="Calibri" w:eastAsia="Microsoft YaHei"/>
          <w:color w:val="102A43"/>
          <w:sz w:val="21"/>
        </w:rPr>
        <w:t>测试覆盖模拟数据可复现性、数据来源标记、Top-N 列唯一性、不可用预期因子跳过、跨市场本地标准化、月度回测、季度年化和 CLI 产物。</w:t>
      </w:r>
    </w:p>
    <w:p>
      <w:pPr>
        <w:pStyle w:val="Heading2"/>
      </w:pPr>
      <w:r>
        <w:t>9.2 命令行端到端</w:t>
      </w:r>
    </w:p>
    <w:p>
      <w:r>
        <w:rPr>
          <w:rFonts w:ascii="Calibri" w:hAnsi="Calibri" w:eastAsia="Microsoft YaHei"/>
          <w:color w:val="102A43"/>
          <w:sz w:val="21"/>
        </w:rPr>
        <w:t>演示选股以 120 只合成股票运行，成功输出 Top 20、完整股票池和运行清单。</w:t>
      </w:r>
    </w:p>
    <w:p>
      <w:r>
        <w:rPr>
          <w:rFonts w:ascii="Calibri" w:hAnsi="Calibri" w:eastAsia="Microsoft YaHei"/>
          <w:color w:val="102A43"/>
          <w:sz w:val="21"/>
        </w:rPr>
        <w:t>演示回测参数：</w:t>
      </w:r>
    </w:p>
    <w:tbl>
      <w:tblPr>
        <w:tblStyle w:val="TableGrid"/>
        <w:tblW w:type="dxa" w:w="9360"/>
        <w:jc w:val="left"/>
        <w:tblLayout w:type="fixed"/>
        <w:tblLook w:firstColumn="1" w:firstRow="1" w:lastColumn="0" w:lastRow="0" w:noHBand="0" w:noVBand="1" w:val="04A0"/>
        <w:tblInd w:w="120" w:type="dxa"/>
        <w:tblLayout w:type="fixed"/>
      </w:tblPr>
      <w:tblGrid>
        <w:gridCol w:w="1936"/>
        <w:gridCol w:w="7424"/>
      </w:tblGrid>
      <w:tr>
        <w:trPr>
          <w:tblHeader w:val="true"/>
        </w:trPr>
        <w:tc>
          <w:tcPr>
            <w:tcW w:type="dxa" w:w="1936"/>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参数</w:t>
            </w:r>
          </w:p>
        </w:tc>
        <w:tc>
          <w:tcPr>
            <w:tcW w:type="dxa" w:w="7424"/>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值</w:t>
            </w:r>
          </w:p>
        </w:tc>
      </w:tr>
      <w:tr>
        <w:tc>
          <w:tcPr>
            <w:tcW w:type="dxa" w:w="193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区间</w:t>
            </w:r>
          </w:p>
        </w:tc>
        <w:tc>
          <w:tcPr>
            <w:tcW w:type="dxa" w:w="742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2022-01-01 至 2024-12-31</w:t>
            </w:r>
          </w:p>
        </w:tc>
      </w:tr>
      <w:tr>
        <w:tc>
          <w:tcPr>
            <w:tcW w:type="dxa" w:w="193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频率</w:t>
            </w:r>
          </w:p>
        </w:tc>
        <w:tc>
          <w:tcPr>
            <w:tcW w:type="dxa" w:w="742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月度</w:t>
            </w:r>
          </w:p>
        </w:tc>
      </w:tr>
      <w:tr>
        <w:tc>
          <w:tcPr>
            <w:tcW w:type="dxa" w:w="193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股票池</w:t>
            </w:r>
          </w:p>
        </w:tc>
        <w:tc>
          <w:tcPr>
            <w:tcW w:type="dxa" w:w="742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100</w:t>
            </w:r>
          </w:p>
        </w:tc>
      </w:tr>
      <w:tr>
        <w:tc>
          <w:tcPr>
            <w:tcW w:type="dxa" w:w="193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持仓数</w:t>
            </w:r>
          </w:p>
        </w:tc>
        <w:tc>
          <w:tcPr>
            <w:tcW w:type="dxa" w:w="742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20</w:t>
            </w:r>
          </w:p>
        </w:tc>
      </w:tr>
      <w:tr>
        <w:tc>
          <w:tcPr>
            <w:tcW w:type="dxa" w:w="193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单边成本</w:t>
            </w:r>
          </w:p>
        </w:tc>
        <w:tc>
          <w:tcPr>
            <w:tcW w:type="dxa" w:w="742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0.10%</w:t>
            </w:r>
          </w:p>
        </w:tc>
      </w:tr>
      <w:tr>
        <w:tc>
          <w:tcPr>
            <w:tcW w:type="dxa" w:w="193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有效期间</w:t>
            </w:r>
          </w:p>
        </w:tc>
        <w:tc>
          <w:tcPr>
            <w:tcW w:type="dxa" w:w="742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35</w:t>
            </w:r>
          </w:p>
        </w:tc>
      </w:tr>
      <w:tr>
        <w:tc>
          <w:tcPr>
            <w:tcW w:type="dxa" w:w="1936"/>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有交易期间</w:t>
            </w:r>
          </w:p>
        </w:tc>
        <w:tc>
          <w:tcPr>
            <w:tcW w:type="dxa" w:w="7424"/>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35</w:t>
            </w:r>
          </w:p>
        </w:tc>
      </w:tr>
    </w:tbl>
    <w:p>
      <w:pPr>
        <w:spacing w:after="0"/>
      </w:pPr>
    </w:p>
    <w:p>
      <w:r>
        <w:rPr>
          <w:rFonts w:ascii="Calibri" w:hAnsi="Calibri" w:eastAsia="Microsoft YaHei"/>
          <w:color w:val="102A43"/>
          <w:sz w:val="21"/>
        </w:rPr>
        <w:t>合成演示指标：</w:t>
      </w:r>
    </w:p>
    <w:tbl>
      <w:tblPr>
        <w:tblStyle w:val="TableGrid"/>
        <w:tblW w:type="dxa" w:w="9360"/>
        <w:jc w:val="left"/>
        <w:tblLayout w:type="fixed"/>
        <w:tblLook w:firstColumn="1" w:firstRow="1" w:lastColumn="0" w:lastRow="0" w:noHBand="0" w:noVBand="1" w:val="04A0"/>
        <w:tblInd w:w="120" w:type="dxa"/>
        <w:tblLayout w:type="fixed"/>
      </w:tblPr>
      <w:tblGrid>
        <w:gridCol w:w="4680"/>
        <w:gridCol w:w="4680"/>
      </w:tblGrid>
      <w:tr>
        <w:trPr>
          <w:tblHeader w:val="true"/>
        </w:trPr>
        <w:tc>
          <w:tcPr>
            <w:tcW w:type="dxa" w:w="4680"/>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指标</w:t>
            </w:r>
          </w:p>
        </w:tc>
        <w:tc>
          <w:tcPr>
            <w:tcW w:type="dxa" w:w="4680"/>
            <w:tcMar>
              <w:top w:w="80" w:type="dxa"/>
              <w:start w:w="120" w:type="dxa"/>
              <w:bottom w:w="80" w:type="dxa"/>
              <w:end w:w="120" w:type="dxa"/>
            </w:tcMar>
            <w:vAlign w:val="center"/>
            <w:shd w:fill="F2F4F7"/>
          </w:tcPr>
          <w:p>
            <w:pPr>
              <w:spacing w:before="0" w:after="0" w:line="252" w:lineRule="auto"/>
              <w:jc w:val="center"/>
            </w:pPr>
            <w:r>
              <w:rPr>
                <w:rFonts w:ascii="Calibri" w:hAnsi="Calibri" w:eastAsia="Microsoft YaHei"/>
                <w:b/>
                <w:color w:val="102A43"/>
                <w:sz w:val="17"/>
              </w:rPr>
            </w:r>
            <w:r>
              <w:rPr>
                <w:rFonts w:ascii="Calibri" w:hAnsi="Calibri" w:eastAsia="Microsoft YaHei"/>
                <w:b/>
                <w:color w:val="102A43"/>
                <w:sz w:val="17"/>
              </w:rPr>
              <w:t>结果</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总收益</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37.79%</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年化收益</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11.62%</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基准总收益</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17.44%</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年化超额</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5.63%</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Sharpe</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2.630</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最大回撤</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-3.75%</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平均 IC</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0.1424</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ICIR</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4.668</w:t>
            </w:r>
          </w:p>
        </w:tc>
      </w:tr>
      <w:tr>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平均换手</w:t>
            </w:r>
          </w:p>
        </w:tc>
        <w:tc>
          <w:tcPr>
            <w:tcW w:type="dxa" w:w="4680"/>
            <w:tcMar>
              <w:top w:w="80" w:type="dxa"/>
              <w:start w:w="120" w:type="dxa"/>
              <w:bottom w:w="80" w:type="dxa"/>
              <w:end w:w="120" w:type="dxa"/>
            </w:tcMar>
            <w:vAlign w:val="center"/>
          </w:tcPr>
          <w:p>
            <w:pPr>
              <w:spacing w:before="0" w:after="0" w:line="252" w:lineRule="auto"/>
            </w:pPr>
            <w:r>
              <w:rPr>
                <w:rFonts w:ascii="Calibri" w:hAnsi="Calibri" w:eastAsia="Microsoft YaHei"/>
                <w:b w:val="0"/>
                <w:color w:val="102A43"/>
                <w:sz w:val="17"/>
              </w:rPr>
            </w:r>
            <w:r>
              <w:rPr>
                <w:rFonts w:ascii="Calibri" w:hAnsi="Calibri" w:eastAsia="Microsoft YaHei"/>
                <w:b w:val="0"/>
                <w:color w:val="102A43"/>
                <w:sz w:val="17"/>
              </w:rPr>
              <w:t>0.440</w:t>
            </w:r>
          </w:p>
        </w:tc>
      </w:tr>
    </w:tbl>
    <w:p>
      <w:pPr>
        <w:spacing w:after="0"/>
      </w:pPr>
    </w:p>
    <w:p>
      <w:r>
        <w:drawing>
          <wp:inline xmlns:a="http://schemas.openxmlformats.org/drawingml/2006/main" xmlns:pic="http://schemas.openxmlformats.org/drawingml/2006/picture">
            <wp:extent cx="5623560" cy="2811780"/>
            <wp:docPr id="1" name="Picture 1" descr="Synthetic demo equity curve comparing the Mini-GRP portfolio with an equal-weight universe benchmark from 2022 through 2024."/>
            <wp:cNvGraphicFramePr>
              <a:graphicFrameLocks noChangeAspect="1"/>
            </wp:cNvGraphicFramePr>
            <a:graphic>
              <a:graphicData uri="http://schemas.openxmlformats.org/drawingml/2006/picture">
                <pic:pic>
                  <pic:nvPicPr>
                    <pic:cNvPr id="0" name="equity_curve_clean.png"/>
                    <pic:cNvPicPr/>
                  </pic:nvPicPr>
                  <pic:blipFill>
                    <a:blip r:embed="rId12"/>
                    <a:stretch>
                      <a:fillRect/>
                    </a:stretch>
                  </pic:blipFill>
                  <pic:spPr>
                    <a:xfrm>
                      <a:off x="0" y="0"/>
                      <a:ext cx="5623560" cy="2811780"/>
                    </a:xfrm>
                    <a:prstGeom prst="rect"/>
                  </pic:spPr>
                </pic:pic>
              </a:graphicData>
            </a:graphic>
          </wp:inline>
        </w:drawing>
      </w:r>
    </w:p>
    <w:p>
      <w:pPr>
        <w:spacing w:after="160"/>
        <w:jc w:val="center"/>
      </w:pPr>
      <w:r>
        <w:rPr>
          <w:rFonts w:ascii="Calibri" w:hAnsi="Calibri" w:eastAsia="Microsoft YaHei"/>
          <w:i/>
          <w:color w:val="5A6B78"/>
          <w:sz w:val="18"/>
        </w:rPr>
        <w:t>图 1  合成演示权益曲线，仅用于验证回测计算链路</w:t>
      </w:r>
    </w:p>
    <w:p>
      <w:r>
        <w:rPr>
          <w:rFonts w:ascii="Calibri" w:hAnsi="Calibri" w:eastAsia="Microsoft YaHei"/>
          <w:color w:val="102A43"/>
          <w:sz w:val="21"/>
        </w:rPr>
        <w:t>这些数值只证明回测计算链路能够产生非空、有限、可重复的结果。合成数据的收益生成机制与潜在因子信号存在人为关系，因此不能作为策略评级或投资依据。</w:t>
      </w:r>
    </w:p>
    <w:p>
      <w:pPr>
        <w:pStyle w:val="Heading2"/>
      </w:pPr>
      <w:r>
        <w:t>9.3 网页验证</w:t>
      </w:r>
    </w:p>
    <w:p>
      <w:r>
        <w:rPr>
          <w:rFonts w:ascii="Calibri" w:hAnsi="Calibri" w:eastAsia="Microsoft YaHei"/>
          <w:color w:val="102A43"/>
          <w:sz w:val="21"/>
        </w:rPr>
        <w:t>Streamlit 应用通过浏览器实际检查：</w:t>
      </w:r>
    </w:p>
    <w:p>
      <w:pPr>
        <w:numPr>
          <w:ilvl w:val="0"/>
          <w:numId w:val="10"/>
        </w:numPr>
      </w:pPr>
      <w:r>
        <w:rPr>
          <w:rFonts w:ascii="Calibri" w:hAnsi="Calibri" w:eastAsia="Microsoft YaHei"/>
          <w:color w:val="102A43"/>
          <w:sz w:val="21"/>
        </w:rPr>
        <w:t xml:space="preserve">默认页面正常加载并显示 </w:t>
      </w:r>
      <w:r>
        <w:rPr>
          <w:rFonts w:ascii="Consolas" w:hAnsi="Consolas" w:eastAsia="Microsoft YaHei"/>
          <w:color w:val="1F4D78"/>
          <w:sz w:val="19"/>
          <w:shd w:fill="E8EEF5"/>
        </w:rPr>
        <w:t>Synthetic demo</w:t>
      </w:r>
      <w:r>
        <w:rPr>
          <w:rFonts w:ascii="Calibri" w:hAnsi="Calibri" w:eastAsia="Microsoft YaHei"/>
          <w:color w:val="102A43"/>
          <w:sz w:val="21"/>
        </w:rPr>
        <w:t xml:space="preserve"> 标签。</w:t>
      </w:r>
    </w:p>
    <w:p>
      <w:pPr>
        <w:numPr>
          <w:ilvl w:val="0"/>
          <w:numId w:val="10"/>
        </w:numPr>
      </w:pPr>
      <w:r>
        <w:rPr>
          <w:rFonts w:ascii="Calibri" w:hAnsi="Calibri" w:eastAsia="Microsoft YaHei"/>
          <w:color w:val="102A43"/>
          <w:sz w:val="21"/>
        </w:rPr>
        <w:t>选股按钮成功生成 200 只股票、Top 20、数据来源和覆盖率。</w:t>
      </w:r>
    </w:p>
    <w:p>
      <w:pPr>
        <w:numPr>
          <w:ilvl w:val="0"/>
          <w:numId w:val="10"/>
        </w:numPr>
      </w:pPr>
      <w:r>
        <w:rPr>
          <w:rFonts w:ascii="Calibri" w:hAnsi="Calibri" w:eastAsia="Microsoft YaHei"/>
          <w:color w:val="102A43"/>
          <w:sz w:val="21"/>
        </w:rPr>
        <w:t>表格、CSV 下载、雷达图和行业分布图正常渲染。</w:t>
      </w:r>
    </w:p>
    <w:p>
      <w:pPr>
        <w:numPr>
          <w:ilvl w:val="0"/>
          <w:numId w:val="10"/>
        </w:numPr>
      </w:pPr>
      <w:r>
        <w:rPr>
          <w:rFonts w:ascii="Calibri" w:hAnsi="Calibri" w:eastAsia="Microsoft YaHei"/>
          <w:color w:val="102A43"/>
          <w:sz w:val="21"/>
        </w:rPr>
        <w:t>回测页成功显示年化收益、年化超额、最大回撤、平均 IC 和权益曲线。</w:t>
      </w:r>
    </w:p>
    <w:p>
      <w:pPr>
        <w:numPr>
          <w:ilvl w:val="0"/>
          <w:numId w:val="10"/>
        </w:numPr>
      </w:pPr>
      <w:r>
        <w:rPr>
          <w:rFonts w:ascii="Calibri" w:hAnsi="Calibri" w:eastAsia="Microsoft YaHei"/>
          <w:color w:val="102A43"/>
          <w:sz w:val="21"/>
        </w:rPr>
        <w:t>浏览器控制台未发现错误。</w:t>
      </w:r>
    </w:p>
    <w:p>
      <w:pPr>
        <w:pStyle w:val="Heading1"/>
      </w:pPr>
      <w:r>
        <w:t>10. 部署、产物与工程治理</w:t>
      </w:r>
    </w:p>
    <w:p>
      <w:pPr>
        <w:pStyle w:val="Heading2"/>
      </w:pPr>
      <w:r>
        <w:t>10.1 依赖分层</w:t>
      </w:r>
    </w:p>
    <w:p>
      <w:pPr>
        <w:numPr>
          <w:ilvl w:val="0"/>
          <w:numId w:val="10"/>
        </w:numPr>
      </w:pPr>
      <w:r>
        <w:rPr>
          <w:rFonts w:ascii="Consolas" w:hAnsi="Consolas" w:eastAsia="Microsoft YaHei"/>
          <w:color w:val="1F4D78"/>
          <w:sz w:val="19"/>
          <w:shd w:fill="E8EEF5"/>
        </w:rPr>
        <w:t>requirements.txt</w:t>
      </w:r>
      <w:r>
        <w:rPr>
          <w:rFonts w:ascii="Calibri" w:hAnsi="Calibri" w:eastAsia="Microsoft YaHei"/>
          <w:color w:val="102A43"/>
          <w:sz w:val="21"/>
        </w:rPr>
        <w:t>：网页、因子、演示和回测基础依赖。</w:t>
      </w:r>
    </w:p>
    <w:p>
      <w:pPr>
        <w:numPr>
          <w:ilvl w:val="0"/>
          <w:numId w:val="10"/>
        </w:numPr>
      </w:pPr>
      <w:r>
        <w:rPr>
          <w:rFonts w:ascii="Consolas" w:hAnsi="Consolas" w:eastAsia="Microsoft YaHei"/>
          <w:color w:val="1F4D78"/>
          <w:sz w:val="19"/>
          <w:shd w:fill="E8EEF5"/>
        </w:rPr>
        <w:t>requirements-dev.txt</w:t>
      </w:r>
      <w:r>
        <w:rPr>
          <w:rFonts w:ascii="Calibri" w:hAnsi="Calibri" w:eastAsia="Microsoft YaHei"/>
          <w:color w:val="102A43"/>
          <w:sz w:val="21"/>
        </w:rPr>
        <w:t>：测试和覆盖率。</w:t>
      </w:r>
    </w:p>
    <w:p>
      <w:pPr>
        <w:numPr>
          <w:ilvl w:val="0"/>
          <w:numId w:val="10"/>
        </w:numPr>
      </w:pPr>
      <w:r>
        <w:rPr>
          <w:rFonts w:ascii="Consolas" w:hAnsi="Consolas" w:eastAsia="Microsoft YaHei"/>
          <w:color w:val="1F4D78"/>
          <w:sz w:val="19"/>
          <w:shd w:fill="E8EEF5"/>
        </w:rPr>
        <w:t>requirements-research.txt</w:t>
      </w:r>
      <w:r>
        <w:rPr>
          <w:rFonts w:ascii="Calibri" w:hAnsi="Calibri" w:eastAsia="Microsoft YaHei"/>
          <w:color w:val="102A43"/>
          <w:sz w:val="21"/>
        </w:rPr>
        <w:t>：真实数据提供商适配器。</w:t>
      </w:r>
    </w:p>
    <w:p>
      <w:r>
        <w:rPr>
          <w:rFonts w:ascii="Calibri" w:hAnsi="Calibri" w:eastAsia="Microsoft YaHei"/>
          <w:color w:val="102A43"/>
          <w:sz w:val="21"/>
        </w:rPr>
        <w:t>这种拆分避免 Streamlit 演示部署被重型或不稳定的数据包拖累，也让真实研究能力成为显式选择。</w:t>
      </w:r>
    </w:p>
    <w:p>
      <w:pPr>
        <w:pStyle w:val="Heading2"/>
      </w:pPr>
      <w:r>
        <w:t>10.2 自动化</w:t>
      </w:r>
    </w:p>
    <w:p>
      <w:r>
        <w:rPr>
          <w:rFonts w:ascii="Calibri" w:hAnsi="Calibri" w:eastAsia="Microsoft YaHei"/>
          <w:color w:val="102A43"/>
          <w:sz w:val="21"/>
        </w:rPr>
        <w:t>GitHub Actions 在 push 和 pull request 时执行：</w:t>
      </w:r>
    </w:p>
    <w:p>
      <w:pPr>
        <w:numPr>
          <w:ilvl w:val="0"/>
          <w:numId w:val="17"/>
        </w:numPr>
      </w:pPr>
      <w:r>
        <w:rPr>
          <w:rFonts w:ascii="Calibri" w:hAnsi="Calibri" w:eastAsia="Microsoft YaHei"/>
          <w:color w:val="102A43"/>
          <w:sz w:val="21"/>
        </w:rPr>
        <w:t>安装开发依赖。</w:t>
      </w:r>
    </w:p>
    <w:p>
      <w:pPr>
        <w:numPr>
          <w:ilvl w:val="0"/>
          <w:numId w:val="17"/>
        </w:numPr>
      </w:pPr>
      <w:r>
        <w:rPr>
          <w:rFonts w:ascii="Calibri" w:hAnsi="Calibri" w:eastAsia="Microsoft YaHei"/>
          <w:color w:val="102A43"/>
          <w:sz w:val="21"/>
        </w:rPr>
        <w:t>编译全部 Python 文件。</w:t>
      </w:r>
    </w:p>
    <w:p>
      <w:pPr>
        <w:numPr>
          <w:ilvl w:val="0"/>
          <w:numId w:val="17"/>
        </w:numPr>
      </w:pPr>
      <w:r>
        <w:rPr>
          <w:rFonts w:ascii="Calibri" w:hAnsi="Calibri" w:eastAsia="Microsoft YaHei"/>
          <w:color w:val="102A43"/>
          <w:sz w:val="21"/>
        </w:rPr>
        <w:t>运行测试。</w:t>
      </w:r>
    </w:p>
    <w:p>
      <w:pPr>
        <w:numPr>
          <w:ilvl w:val="0"/>
          <w:numId w:val="17"/>
        </w:numPr>
      </w:pPr>
      <w:r>
        <w:rPr>
          <w:rFonts w:ascii="Calibri" w:hAnsi="Calibri" w:eastAsia="Microsoft YaHei"/>
          <w:color w:val="102A43"/>
          <w:sz w:val="21"/>
        </w:rPr>
        <w:t>运行演示选股烟雾测试。</w:t>
      </w:r>
    </w:p>
    <w:p>
      <w:pPr>
        <w:numPr>
          <w:ilvl w:val="0"/>
          <w:numId w:val="17"/>
        </w:numPr>
      </w:pPr>
      <w:r>
        <w:rPr>
          <w:rFonts w:ascii="Calibri" w:hAnsi="Calibri" w:eastAsia="Microsoft YaHei"/>
          <w:color w:val="102A43"/>
          <w:sz w:val="21"/>
        </w:rPr>
        <w:t>运行演示回测烟雾测试。</w:t>
      </w:r>
    </w:p>
    <w:p>
      <w:pPr>
        <w:pStyle w:val="Heading2"/>
      </w:pPr>
      <w:r>
        <w:t>10.3 输出契约</w:t>
      </w:r>
    </w:p>
    <w:p>
      <w:r>
        <w:rPr>
          <w:rFonts w:ascii="Calibri" w:hAnsi="Calibri" w:eastAsia="Microsoft YaHei"/>
          <w:color w:val="102A43"/>
          <w:sz w:val="21"/>
        </w:rPr>
        <w:t>选股输出完整股票池、Top Picks 和运行清单。回测输出逐期结果、权益序列、持仓、指标、清单和权益图。清单记录生成时间、数据模式、期间数、交易数和文件列表，便于后续复核。</w:t>
      </w:r>
    </w:p>
    <w:p>
      <w:pPr>
        <w:pStyle w:val="Heading2"/>
      </w:pPr>
      <w:r>
        <w:t>10.4 部署方式</w:t>
      </w:r>
    </w:p>
    <w:p>
      <w:r>
        <w:rPr>
          <w:rFonts w:ascii="Calibri" w:hAnsi="Calibri" w:eastAsia="Microsoft YaHei"/>
          <w:color w:val="102A43"/>
          <w:sz w:val="21"/>
        </w:rPr>
        <w:t>项目支持：</w:t>
      </w:r>
    </w:p>
    <w:p>
      <w:pPr>
        <w:numPr>
          <w:ilvl w:val="0"/>
          <w:numId w:val="10"/>
        </w:numPr>
      </w:pPr>
      <w:r>
        <w:rPr>
          <w:rFonts w:ascii="Calibri" w:hAnsi="Calibri" w:eastAsia="Microsoft YaHei"/>
          <w:color w:val="102A43"/>
          <w:sz w:val="21"/>
        </w:rPr>
        <w:t>本地 Python + Streamlit。</w:t>
      </w:r>
    </w:p>
    <w:p>
      <w:pPr>
        <w:numPr>
          <w:ilvl w:val="0"/>
          <w:numId w:val="10"/>
        </w:numPr>
      </w:pPr>
      <w:r>
        <w:rPr>
          <w:rFonts w:ascii="Calibri" w:hAnsi="Calibri" w:eastAsia="Microsoft YaHei"/>
          <w:color w:val="102A43"/>
          <w:sz w:val="21"/>
        </w:rPr>
        <w:t>Streamlit Community Cloud。</w:t>
      </w:r>
    </w:p>
    <w:p>
      <w:pPr>
        <w:numPr>
          <w:ilvl w:val="0"/>
          <w:numId w:val="10"/>
        </w:numPr>
      </w:pPr>
      <w:r>
        <w:rPr>
          <w:rFonts w:ascii="Calibri" w:hAnsi="Calibri" w:eastAsia="Microsoft YaHei"/>
          <w:color w:val="102A43"/>
          <w:sz w:val="21"/>
        </w:rPr>
        <w:t>Docker 容器。</w:t>
      </w:r>
    </w:p>
    <w:p>
      <w:r>
        <w:rPr>
          <w:rFonts w:ascii="Calibri" w:hAnsi="Calibri" w:eastAsia="Microsoft YaHei"/>
          <w:color w:val="102A43"/>
          <w:sz w:val="21"/>
        </w:rPr>
        <w:t>默认部署只安装基础依赖并进入合成演示模式。需要真实数据时，额外安装研究依赖并通过环境变量或 Streamlit Secrets 配置密钥。</w:t>
      </w:r>
    </w:p>
    <w:p>
      <w:pPr>
        <w:pStyle w:val="Heading1"/>
      </w:pPr>
      <w:r>
        <w:t>11. 当前限制与风险</w:t>
      </w:r>
    </w:p>
    <w:p>
      <w:pPr>
        <w:pStyle w:val="Heading2"/>
      </w:pPr>
      <w:r>
        <w:t>11.1 数据风险</w:t>
      </w:r>
    </w:p>
    <w:p>
      <w:pPr>
        <w:numPr>
          <w:ilvl w:val="0"/>
          <w:numId w:val="18"/>
        </w:numPr>
      </w:pPr>
      <w:r>
        <w:rPr>
          <w:rFonts w:ascii="Calibri" w:hAnsi="Calibri" w:eastAsia="Microsoft YaHei"/>
          <w:color w:val="102A43"/>
          <w:sz w:val="21"/>
        </w:rPr>
        <w:t>免费接口可能限流、改字段或暂时不可用。</w:t>
      </w:r>
    </w:p>
    <w:p>
      <w:pPr>
        <w:numPr>
          <w:ilvl w:val="0"/>
          <w:numId w:val="18"/>
        </w:numPr>
      </w:pPr>
      <w:r>
        <w:rPr>
          <w:rFonts w:ascii="Calibri" w:hAnsi="Calibri" w:eastAsia="Microsoft YaHei"/>
          <w:color w:val="102A43"/>
          <w:sz w:val="21"/>
        </w:rPr>
        <w:t>财务数据需要严格的公告日和可得日，而不是简单使用报告期。</w:t>
      </w:r>
    </w:p>
    <w:p>
      <w:pPr>
        <w:numPr>
          <w:ilvl w:val="0"/>
          <w:numId w:val="18"/>
        </w:numPr>
      </w:pPr>
      <w:r>
        <w:rPr>
          <w:rFonts w:ascii="Calibri" w:hAnsi="Calibri" w:eastAsia="Microsoft YaHei"/>
          <w:color w:val="102A43"/>
          <w:sz w:val="21"/>
        </w:rPr>
        <w:t>股票池需要历史成分和退市股票，避免幸存者偏差。</w:t>
      </w:r>
    </w:p>
    <w:p>
      <w:pPr>
        <w:numPr>
          <w:ilvl w:val="0"/>
          <w:numId w:val="18"/>
        </w:numPr>
      </w:pPr>
      <w:r>
        <w:rPr>
          <w:rFonts w:ascii="Calibri" w:hAnsi="Calibri" w:eastAsia="Microsoft YaHei"/>
          <w:color w:val="102A43"/>
          <w:sz w:val="21"/>
        </w:rPr>
        <w:t>价格需要复权、停牌、涨跌停和公司行动处理。</w:t>
      </w:r>
    </w:p>
    <w:p>
      <w:pPr>
        <w:numPr>
          <w:ilvl w:val="0"/>
          <w:numId w:val="18"/>
        </w:numPr>
      </w:pPr>
      <w:r>
        <w:rPr>
          <w:rFonts w:ascii="Calibri" w:hAnsi="Calibri" w:eastAsia="Microsoft YaHei"/>
          <w:color w:val="102A43"/>
          <w:sz w:val="21"/>
        </w:rPr>
        <w:t>分析师预期数据的覆盖与授权是预期差维度的核心约束。</w:t>
      </w:r>
    </w:p>
    <w:p>
      <w:pPr>
        <w:pStyle w:val="Heading2"/>
      </w:pPr>
      <w:r>
        <w:t>11.2 模型风险</w:t>
      </w:r>
    </w:p>
    <w:p>
      <w:pPr>
        <w:numPr>
          <w:ilvl w:val="0"/>
          <w:numId w:val="19"/>
        </w:numPr>
      </w:pPr>
      <w:r>
        <w:rPr>
          <w:rFonts w:ascii="Calibri" w:hAnsi="Calibri" w:eastAsia="Microsoft YaHei"/>
          <w:color w:val="102A43"/>
          <w:sz w:val="21"/>
        </w:rPr>
        <w:t>权重目前是研究假设，不是经过严格样本外优化的参数。</w:t>
      </w:r>
    </w:p>
    <w:p>
      <w:pPr>
        <w:numPr>
          <w:ilvl w:val="0"/>
          <w:numId w:val="19"/>
        </w:numPr>
      </w:pPr>
      <w:r>
        <w:rPr>
          <w:rFonts w:ascii="Calibri" w:hAnsi="Calibri" w:eastAsia="Microsoft YaHei"/>
          <w:color w:val="102A43"/>
          <w:sz w:val="21"/>
        </w:rPr>
        <w:t>行业内排名不等于行业专属因子模型。</w:t>
      </w:r>
    </w:p>
    <w:p>
      <w:pPr>
        <w:numPr>
          <w:ilvl w:val="0"/>
          <w:numId w:val="19"/>
        </w:numPr>
      </w:pPr>
      <w:r>
        <w:rPr>
          <w:rFonts w:ascii="Calibri" w:hAnsi="Calibri" w:eastAsia="Microsoft YaHei"/>
          <w:color w:val="102A43"/>
          <w:sz w:val="21"/>
        </w:rPr>
        <w:t>因子可能高度相关，等权聚合不能完全解决共线性。</w:t>
      </w:r>
    </w:p>
    <w:p>
      <w:pPr>
        <w:numPr>
          <w:ilvl w:val="0"/>
          <w:numId w:val="19"/>
        </w:numPr>
      </w:pPr>
      <w:r>
        <w:rPr>
          <w:rFonts w:ascii="Calibri" w:hAnsi="Calibri" w:eastAsia="Microsoft YaHei"/>
          <w:color w:val="102A43"/>
          <w:sz w:val="21"/>
        </w:rPr>
        <w:t>百分位评分只表达相对位置，不表达绝对收益。</w:t>
      </w:r>
    </w:p>
    <w:p>
      <w:pPr>
        <w:numPr>
          <w:ilvl w:val="0"/>
          <w:numId w:val="19"/>
        </w:numPr>
      </w:pPr>
      <w:r>
        <w:rPr>
          <w:rFonts w:ascii="Calibri" w:hAnsi="Calibri" w:eastAsia="Microsoft YaHei"/>
          <w:color w:val="102A43"/>
          <w:sz w:val="21"/>
        </w:rPr>
        <w:t>ML 模块容易在小样本金融数据中发生过拟合。</w:t>
      </w:r>
    </w:p>
    <w:p>
      <w:pPr>
        <w:pStyle w:val="Heading2"/>
      </w:pPr>
      <w:r>
        <w:t>11.3 回测风险</w:t>
      </w:r>
    </w:p>
    <w:p>
      <w:pPr>
        <w:numPr>
          <w:ilvl w:val="0"/>
          <w:numId w:val="20"/>
        </w:numPr>
      </w:pPr>
      <w:r>
        <w:rPr>
          <w:rFonts w:ascii="Calibri" w:hAnsi="Calibri" w:eastAsia="Microsoft YaHei"/>
          <w:color w:val="102A43"/>
          <w:sz w:val="21"/>
        </w:rPr>
        <w:t>合成演示不能用于判断可投资性。</w:t>
      </w:r>
    </w:p>
    <w:p>
      <w:pPr>
        <w:numPr>
          <w:ilvl w:val="0"/>
          <w:numId w:val="20"/>
        </w:numPr>
      </w:pPr>
      <w:r>
        <w:rPr>
          <w:rFonts w:ascii="Calibri" w:hAnsi="Calibri" w:eastAsia="Microsoft YaHei"/>
          <w:color w:val="102A43"/>
          <w:sz w:val="21"/>
        </w:rPr>
        <w:t>当前 CLI 不提供真实历史点时数据下载，研究回测必须由调用方提供快照和价格窗口。</w:t>
      </w:r>
    </w:p>
    <w:p>
      <w:pPr>
        <w:numPr>
          <w:ilvl w:val="0"/>
          <w:numId w:val="20"/>
        </w:numPr>
      </w:pPr>
      <w:r>
        <w:rPr>
          <w:rFonts w:ascii="Calibri" w:hAnsi="Calibri" w:eastAsia="Microsoft YaHei"/>
          <w:color w:val="102A43"/>
          <w:sz w:val="21"/>
        </w:rPr>
        <w:t>等权基准只是内部诊断基准，真实产品应使用可投资指数和一致的交易日历。</w:t>
      </w:r>
    </w:p>
    <w:p>
      <w:pPr>
        <w:numPr>
          <w:ilvl w:val="0"/>
          <w:numId w:val="20"/>
        </w:numPr>
      </w:pPr>
      <w:r>
        <w:rPr>
          <w:rFonts w:ascii="Calibri" w:hAnsi="Calibri" w:eastAsia="Microsoft YaHei"/>
          <w:color w:val="102A43"/>
          <w:sz w:val="21"/>
        </w:rPr>
        <w:t>成本模型尚未包含冲击成本、买卖价差、容量和成交限制。</w:t>
      </w:r>
    </w:p>
    <w:p>
      <w:pPr>
        <w:pStyle w:val="Heading2"/>
      </w:pPr>
      <w:r>
        <w:t>11.4 合规与表达风险</w:t>
      </w:r>
    </w:p>
    <w:p>
      <w:r>
        <w:rPr>
          <w:rFonts w:ascii="Calibri" w:hAnsi="Calibri" w:eastAsia="Microsoft YaHei"/>
          <w:color w:val="102A43"/>
          <w:sz w:val="21"/>
        </w:rPr>
        <w:t>旧报告中存在把设计目标写成已实现能力、把模拟回测写得接近历史验证、以及引用可能过时机构数据的问题。v3.3 报告采用以下表达纪律：</w:t>
      </w:r>
    </w:p>
    <w:p>
      <w:pPr>
        <w:numPr>
          <w:ilvl w:val="0"/>
          <w:numId w:val="10"/>
        </w:numPr>
      </w:pPr>
      <w:r>
        <w:rPr>
          <w:rFonts w:ascii="Calibri" w:hAnsi="Calibri" w:eastAsia="Microsoft YaHei"/>
          <w:color w:val="102A43"/>
          <w:sz w:val="21"/>
        </w:rPr>
        <w:t>合成结果始终标记为合成演示。</w:t>
      </w:r>
    </w:p>
    <w:p>
      <w:pPr>
        <w:numPr>
          <w:ilvl w:val="0"/>
          <w:numId w:val="10"/>
        </w:numPr>
      </w:pPr>
      <w:r>
        <w:rPr>
          <w:rFonts w:ascii="Calibri" w:hAnsi="Calibri" w:eastAsia="Microsoft YaHei"/>
          <w:color w:val="102A43"/>
          <w:sz w:val="21"/>
        </w:rPr>
        <w:t>“支持某市场”区分为接口预留、可获取当前快照和已完成历史验证。</w:t>
      </w:r>
    </w:p>
    <w:p>
      <w:pPr>
        <w:numPr>
          <w:ilvl w:val="0"/>
          <w:numId w:val="10"/>
        </w:numPr>
      </w:pPr>
      <w:r>
        <w:rPr>
          <w:rFonts w:ascii="Calibri" w:hAnsi="Calibri" w:eastAsia="Microsoft YaHei"/>
          <w:color w:val="102A43"/>
          <w:sz w:val="21"/>
        </w:rPr>
        <w:t>不使用未经核实的最新 AUM、组织架构或人员信息支撑项目价值。</w:t>
      </w:r>
    </w:p>
    <w:p>
      <w:pPr>
        <w:numPr>
          <w:ilvl w:val="0"/>
          <w:numId w:val="10"/>
        </w:numPr>
      </w:pPr>
      <w:r>
        <w:rPr>
          <w:rFonts w:ascii="Calibri" w:hAnsi="Calibri" w:eastAsia="Microsoft YaHei"/>
          <w:color w:val="102A43"/>
          <w:sz w:val="21"/>
        </w:rPr>
        <w:t>不把项目称为机构系统的完整复刻。</w:t>
      </w:r>
    </w:p>
    <w:p>
      <w:pPr>
        <w:pStyle w:val="Heading1"/>
      </w:pPr>
      <w:r>
        <w:t>12. 后续路线图</w:t>
      </w:r>
    </w:p>
    <w:p>
      <w:pPr>
        <w:pStyle w:val="Heading2"/>
      </w:pPr>
      <w:r>
        <w:t>P0：真实研究闭环</w:t>
      </w:r>
    </w:p>
    <w:p>
      <w:pPr>
        <w:numPr>
          <w:ilvl w:val="0"/>
          <w:numId w:val="21"/>
        </w:numPr>
      </w:pPr>
      <w:r>
        <w:rPr>
          <w:rFonts w:ascii="Calibri" w:hAnsi="Calibri" w:eastAsia="Microsoft YaHei"/>
          <w:color w:val="102A43"/>
          <w:sz w:val="21"/>
        </w:rPr>
        <w:t>建立点时数据仓库，记录公告日、数据可得日和版本。</w:t>
      </w:r>
    </w:p>
    <w:p>
      <w:pPr>
        <w:numPr>
          <w:ilvl w:val="0"/>
          <w:numId w:val="21"/>
        </w:numPr>
      </w:pPr>
      <w:r>
        <w:rPr>
          <w:rFonts w:ascii="Calibri" w:hAnsi="Calibri" w:eastAsia="Microsoft YaHei"/>
          <w:color w:val="102A43"/>
          <w:sz w:val="21"/>
        </w:rPr>
        <w:t>引入历史股票池、退市样本和公司行动调整。</w:t>
      </w:r>
    </w:p>
    <w:p>
      <w:pPr>
        <w:numPr>
          <w:ilvl w:val="0"/>
          <w:numId w:val="21"/>
        </w:numPr>
      </w:pPr>
      <w:r>
        <w:rPr>
          <w:rFonts w:ascii="Calibri" w:hAnsi="Calibri" w:eastAsia="Microsoft YaHei"/>
          <w:color w:val="102A43"/>
          <w:sz w:val="21"/>
        </w:rPr>
        <w:t>接入真实分析师预期历史，而不是当前快照。</w:t>
      </w:r>
    </w:p>
    <w:p>
      <w:pPr>
        <w:numPr>
          <w:ilvl w:val="0"/>
          <w:numId w:val="21"/>
        </w:numPr>
      </w:pPr>
      <w:r>
        <w:rPr>
          <w:rFonts w:ascii="Calibri" w:hAnsi="Calibri" w:eastAsia="Microsoft YaHei"/>
          <w:color w:val="102A43"/>
          <w:sz w:val="21"/>
        </w:rPr>
        <w:t>增加数据质量门槛：最小覆盖率、异常率、重复率和新鲜度。</w:t>
      </w:r>
    </w:p>
    <w:p>
      <w:pPr>
        <w:numPr>
          <w:ilvl w:val="0"/>
          <w:numId w:val="21"/>
        </w:numPr>
      </w:pPr>
      <w:r>
        <w:rPr>
          <w:rFonts w:ascii="Calibri" w:hAnsi="Calibri" w:eastAsia="Microsoft YaHei"/>
          <w:color w:val="102A43"/>
          <w:sz w:val="21"/>
        </w:rPr>
        <w:t>为真实研究回测增加独立集成测试。</w:t>
      </w:r>
    </w:p>
    <w:p>
      <w:pPr>
        <w:pStyle w:val="Heading2"/>
      </w:pPr>
      <w:r>
        <w:t>P1：组合与风险</w:t>
      </w:r>
    </w:p>
    <w:p>
      <w:pPr>
        <w:numPr>
          <w:ilvl w:val="0"/>
          <w:numId w:val="22"/>
        </w:numPr>
      </w:pPr>
      <w:r>
        <w:rPr>
          <w:rFonts w:ascii="Calibri" w:hAnsi="Calibri" w:eastAsia="Microsoft YaHei"/>
          <w:color w:val="102A43"/>
          <w:sz w:val="21"/>
        </w:rPr>
        <w:t>增加行业、单股、市场和风格暴露约束。</w:t>
      </w:r>
    </w:p>
    <w:p>
      <w:pPr>
        <w:numPr>
          <w:ilvl w:val="0"/>
          <w:numId w:val="22"/>
        </w:numPr>
      </w:pPr>
      <w:r>
        <w:rPr>
          <w:rFonts w:ascii="Calibri" w:hAnsi="Calibri" w:eastAsia="Microsoft YaHei"/>
          <w:color w:val="102A43"/>
          <w:sz w:val="21"/>
        </w:rPr>
        <w:t>从 Top-N 等权扩展到风险预算或优化权重。</w:t>
      </w:r>
    </w:p>
    <w:p>
      <w:pPr>
        <w:numPr>
          <w:ilvl w:val="0"/>
          <w:numId w:val="22"/>
        </w:numPr>
      </w:pPr>
      <w:r>
        <w:rPr>
          <w:rFonts w:ascii="Calibri" w:hAnsi="Calibri" w:eastAsia="Microsoft YaHei"/>
          <w:color w:val="102A43"/>
          <w:sz w:val="21"/>
        </w:rPr>
        <w:t>加入换手上限、流动性、涨跌停和容量约束。</w:t>
      </w:r>
    </w:p>
    <w:p>
      <w:pPr>
        <w:numPr>
          <w:ilvl w:val="0"/>
          <w:numId w:val="22"/>
        </w:numPr>
      </w:pPr>
      <w:r>
        <w:rPr>
          <w:rFonts w:ascii="Calibri" w:hAnsi="Calibri" w:eastAsia="Microsoft YaHei"/>
          <w:color w:val="102A43"/>
          <w:sz w:val="21"/>
        </w:rPr>
        <w:t>增加年度归因、行业归因、因子归因和交易成本归因。</w:t>
      </w:r>
    </w:p>
    <w:p>
      <w:pPr>
        <w:numPr>
          <w:ilvl w:val="0"/>
          <w:numId w:val="22"/>
        </w:numPr>
      </w:pPr>
      <w:r>
        <w:rPr>
          <w:rFonts w:ascii="Calibri" w:hAnsi="Calibri" w:eastAsia="Microsoft YaHei"/>
          <w:color w:val="102A43"/>
          <w:sz w:val="21"/>
        </w:rPr>
        <w:t>使用可投资指数作为市场基准。</w:t>
      </w:r>
    </w:p>
    <w:p>
      <w:pPr>
        <w:pStyle w:val="Heading2"/>
      </w:pPr>
      <w:r>
        <w:t>P2：模型研究</w:t>
      </w:r>
    </w:p>
    <w:p>
      <w:pPr>
        <w:numPr>
          <w:ilvl w:val="0"/>
          <w:numId w:val="23"/>
        </w:numPr>
      </w:pPr>
      <w:r>
        <w:rPr>
          <w:rFonts w:ascii="Calibri" w:hAnsi="Calibri" w:eastAsia="Microsoft YaHei"/>
          <w:color w:val="102A43"/>
          <w:sz w:val="21"/>
        </w:rPr>
        <w:t>对每个因子进行 Rank IC、分层收益、单调性和稳定性检验。</w:t>
      </w:r>
    </w:p>
    <w:p>
      <w:pPr>
        <w:numPr>
          <w:ilvl w:val="0"/>
          <w:numId w:val="23"/>
        </w:numPr>
      </w:pPr>
      <w:r>
        <w:rPr>
          <w:rFonts w:ascii="Calibri" w:hAnsi="Calibri" w:eastAsia="Microsoft YaHei"/>
          <w:color w:val="102A43"/>
          <w:sz w:val="21"/>
        </w:rPr>
        <w:t>使用 Purged Walk-forward CV 验证 ML Overlay。</w:t>
      </w:r>
    </w:p>
    <w:p>
      <w:pPr>
        <w:numPr>
          <w:ilvl w:val="0"/>
          <w:numId w:val="23"/>
        </w:numPr>
      </w:pPr>
      <w:r>
        <w:rPr>
          <w:rFonts w:ascii="Calibri" w:hAnsi="Calibri" w:eastAsia="Microsoft YaHei"/>
          <w:color w:val="102A43"/>
          <w:sz w:val="21"/>
        </w:rPr>
        <w:t>加入因子相关性、VIF、正交化或聚类降维。</w:t>
      </w:r>
    </w:p>
    <w:p>
      <w:pPr>
        <w:numPr>
          <w:ilvl w:val="0"/>
          <w:numId w:val="23"/>
        </w:numPr>
      </w:pPr>
      <w:r>
        <w:rPr>
          <w:rFonts w:ascii="Calibri" w:hAnsi="Calibri" w:eastAsia="Microsoft YaHei"/>
          <w:color w:val="102A43"/>
          <w:sz w:val="21"/>
        </w:rPr>
        <w:t>建立 Champion-Challenger 流程和模型版本登记。</w:t>
      </w:r>
    </w:p>
    <w:p>
      <w:pPr>
        <w:numPr>
          <w:ilvl w:val="0"/>
          <w:numId w:val="23"/>
        </w:numPr>
      </w:pPr>
      <w:r>
        <w:rPr>
          <w:rFonts w:ascii="Calibri" w:hAnsi="Calibri" w:eastAsia="Microsoft YaHei"/>
          <w:color w:val="102A43"/>
          <w:sz w:val="21"/>
        </w:rPr>
        <w:t>只有在样本外结果稳定后，才让 ML 进入默认路径。</w:t>
      </w:r>
    </w:p>
    <w:p>
      <w:pPr>
        <w:pStyle w:val="Heading2"/>
      </w:pPr>
      <w:r>
        <w:t>P3：产品化</w:t>
      </w:r>
    </w:p>
    <w:p>
      <w:pPr>
        <w:numPr>
          <w:ilvl w:val="0"/>
          <w:numId w:val="24"/>
        </w:numPr>
      </w:pPr>
      <w:r>
        <w:rPr>
          <w:rFonts w:ascii="Calibri" w:hAnsi="Calibri" w:eastAsia="Microsoft YaHei"/>
          <w:color w:val="102A43"/>
          <w:sz w:val="21"/>
        </w:rPr>
        <w:t>增加用户认证、任务队列和运行历史。</w:t>
      </w:r>
    </w:p>
    <w:p>
      <w:pPr>
        <w:numPr>
          <w:ilvl w:val="0"/>
          <w:numId w:val="24"/>
        </w:numPr>
      </w:pPr>
      <w:r>
        <w:rPr>
          <w:rFonts w:ascii="Calibri" w:hAnsi="Calibri" w:eastAsia="Microsoft YaHei"/>
          <w:color w:val="102A43"/>
          <w:sz w:val="21"/>
        </w:rPr>
        <w:t>将数据、模型、结果和报告拆成可追踪任务。</w:t>
      </w:r>
    </w:p>
    <w:p>
      <w:pPr>
        <w:numPr>
          <w:ilvl w:val="0"/>
          <w:numId w:val="24"/>
        </w:numPr>
      </w:pPr>
      <w:r>
        <w:rPr>
          <w:rFonts w:ascii="Calibri" w:hAnsi="Calibri" w:eastAsia="Microsoft YaHei"/>
          <w:color w:val="102A43"/>
          <w:sz w:val="21"/>
        </w:rPr>
        <w:t>增加监控、告警、数据血缘和审计日志。</w:t>
      </w:r>
    </w:p>
    <w:p>
      <w:pPr>
        <w:numPr>
          <w:ilvl w:val="0"/>
          <w:numId w:val="24"/>
        </w:numPr>
      </w:pPr>
      <w:r>
        <w:rPr>
          <w:rFonts w:ascii="Calibri" w:hAnsi="Calibri" w:eastAsia="Microsoft YaHei"/>
          <w:color w:val="102A43"/>
          <w:sz w:val="21"/>
        </w:rPr>
        <w:t>在纸面交易环境验证后，再考虑券商接口。</w:t>
      </w:r>
    </w:p>
    <w:p>
      <w:pPr>
        <w:pStyle w:val="Heading1"/>
      </w:pPr>
      <w:r>
        <w:t>13. 面试展示建议</w:t>
      </w:r>
    </w:p>
    <w:p>
      <w:r>
        <w:rPr>
          <w:rFonts w:ascii="Calibri" w:hAnsi="Calibri" w:eastAsia="Microsoft YaHei"/>
          <w:color w:val="102A43"/>
          <w:sz w:val="21"/>
        </w:rPr>
        <w:t>建议用 8 至 10 分钟完成演示：</w:t>
      </w:r>
    </w:p>
    <w:p>
      <w:pPr>
        <w:numPr>
          <w:ilvl w:val="0"/>
          <w:numId w:val="25"/>
        </w:numPr>
      </w:pPr>
      <w:r>
        <w:rPr>
          <w:rFonts w:ascii="Calibri" w:hAnsi="Calibri" w:eastAsia="Microsoft YaHei"/>
          <w:color w:val="102A43"/>
          <w:sz w:val="21"/>
        </w:rPr>
        <w:t>用 45 秒说明问题：如何把广泛股票池压缩为分析师可研究的候选集合。</w:t>
      </w:r>
    </w:p>
    <w:p>
      <w:pPr>
        <w:numPr>
          <w:ilvl w:val="0"/>
          <w:numId w:val="25"/>
        </w:numPr>
      </w:pPr>
      <w:r>
        <w:rPr>
          <w:rFonts w:ascii="Calibri" w:hAnsi="Calibri" w:eastAsia="Microsoft YaHei"/>
          <w:color w:val="102A43"/>
          <w:sz w:val="21"/>
        </w:rPr>
        <w:t>用 60 秒说明架构：数据、因子、评分、回测、界面。</w:t>
      </w:r>
    </w:p>
    <w:p>
      <w:pPr>
        <w:numPr>
          <w:ilvl w:val="0"/>
          <w:numId w:val="25"/>
        </w:numPr>
      </w:pPr>
      <w:r>
        <w:rPr>
          <w:rFonts w:ascii="Calibri" w:hAnsi="Calibri" w:eastAsia="Microsoft YaHei"/>
          <w:color w:val="102A43"/>
          <w:sz w:val="21"/>
        </w:rPr>
        <w:t>用 90 秒展示五维因子与动态权重。</w:t>
      </w:r>
    </w:p>
    <w:p>
      <w:pPr>
        <w:numPr>
          <w:ilvl w:val="0"/>
          <w:numId w:val="25"/>
        </w:numPr>
      </w:pPr>
      <w:r>
        <w:rPr>
          <w:rFonts w:ascii="Calibri" w:hAnsi="Calibri" w:eastAsia="Microsoft YaHei"/>
          <w:color w:val="102A43"/>
          <w:sz w:val="21"/>
        </w:rPr>
        <w:t>用 90 秒运行合成选股，解释数据来源标签和因子覆盖率。</w:t>
      </w:r>
    </w:p>
    <w:p>
      <w:pPr>
        <w:numPr>
          <w:ilvl w:val="0"/>
          <w:numId w:val="25"/>
        </w:numPr>
      </w:pPr>
      <w:r>
        <w:rPr>
          <w:rFonts w:ascii="Calibri" w:hAnsi="Calibri" w:eastAsia="Microsoft YaHei"/>
          <w:color w:val="102A43"/>
          <w:sz w:val="21"/>
        </w:rPr>
        <w:t>用 90 秒展示回测，但明确它是流程检查，不是业绩证明。</w:t>
      </w:r>
    </w:p>
    <w:p>
      <w:pPr>
        <w:numPr>
          <w:ilvl w:val="0"/>
          <w:numId w:val="25"/>
        </w:numPr>
      </w:pPr>
      <w:r>
        <w:rPr>
          <w:rFonts w:ascii="Calibri" w:hAnsi="Calibri" w:eastAsia="Microsoft YaHei"/>
          <w:color w:val="102A43"/>
          <w:sz w:val="21"/>
        </w:rPr>
        <w:t>用 90 秒讲最重要的工程改进：禁止静默 Mock、点时数据契约、成本和基准。</w:t>
      </w:r>
    </w:p>
    <w:p>
      <w:pPr>
        <w:numPr>
          <w:ilvl w:val="0"/>
          <w:numId w:val="25"/>
        </w:numPr>
      </w:pPr>
      <w:r>
        <w:rPr>
          <w:rFonts w:ascii="Calibri" w:hAnsi="Calibri" w:eastAsia="Microsoft YaHei"/>
          <w:color w:val="102A43"/>
          <w:sz w:val="21"/>
        </w:rPr>
        <w:t>用 60 秒讲下一步：真实历史预期、幸存者偏差、组合约束。</w:t>
      </w:r>
    </w:p>
    <w:p>
      <w:r>
        <w:rPr>
          <w:rFonts w:ascii="Calibri" w:hAnsi="Calibri" w:eastAsia="Microsoft YaHei"/>
          <w:color w:val="102A43"/>
          <w:sz w:val="21"/>
        </w:rPr>
        <w:t>最有价值的面试叙事不是“我做了一个很复杂的模型”，而是：</w:t>
      </w:r>
    </w:p>
    <w:p>
      <w:pPr>
        <w:pStyle w:val="Callout"/>
        <w:shd w:fill="F4F6F9"/>
      </w:pPr>
      <w:r>
        <w:rPr>
          <w:rFonts w:ascii="Calibri" w:hAnsi="Calibri" w:eastAsia="Microsoft YaHei"/>
          <w:color w:val="102A43"/>
          <w:sz w:val="21"/>
        </w:rPr>
        <w:t>我先把投资理念转成一个可解释原型，然后在迭代中发现，量化系统最危险的不是模型不够复杂，而是数据身份不清、失败被隐藏、回测假设不一致。因此我把最新版本的重点放在可审计性和可靠性上。</w:t>
      </w:r>
    </w:p>
    <w:p>
      <w:r>
        <w:rPr>
          <w:rFonts w:ascii="Calibri" w:hAnsi="Calibri" w:eastAsia="Microsoft YaHei"/>
          <w:color w:val="102A43"/>
          <w:sz w:val="21"/>
        </w:rPr>
        <w:t>这段叙事同时体现投资理解、工程判断、诚实边界和迭代能力。</w:t>
      </w:r>
    </w:p>
    <w:p>
      <w:pPr>
        <w:pStyle w:val="Heading1"/>
      </w:pPr>
      <w:r>
        <w:t>14. 结论</w:t>
      </w:r>
    </w:p>
    <w:p>
      <w:r>
        <w:rPr>
          <w:rFonts w:ascii="Calibri" w:hAnsi="Calibri" w:eastAsia="Microsoft YaHei"/>
          <w:color w:val="102A43"/>
          <w:sz w:val="21"/>
        </w:rPr>
        <w:t>Mini-GRP 已经从一个面试展示原型，发展为结构完整的个人量化研究项目。v3.3 的意义不在于因子数量继续增加，而在于项目终于形成一致的运行入口、明确的数据身份、可重复的回测、自动化验证和与实际实现一致的文档。</w:t>
      </w:r>
    </w:p>
    <w:p>
      <w:r>
        <w:rPr>
          <w:rFonts w:ascii="Calibri" w:hAnsi="Calibri" w:eastAsia="Microsoft YaHei"/>
          <w:color w:val="102A43"/>
          <w:sz w:val="21"/>
        </w:rPr>
        <w:t>它目前最适合承担三种角色：</w:t>
      </w:r>
    </w:p>
    <w:p>
      <w:pPr>
        <w:numPr>
          <w:ilvl w:val="0"/>
          <w:numId w:val="10"/>
        </w:numPr>
      </w:pPr>
      <w:r>
        <w:rPr>
          <w:rFonts w:ascii="Calibri" w:hAnsi="Calibri" w:eastAsia="Microsoft YaHei"/>
          <w:color w:val="102A43"/>
          <w:sz w:val="21"/>
        </w:rPr>
        <w:t>作为面试作品，展示从投资思想到工程实现的完整能力。</w:t>
      </w:r>
    </w:p>
    <w:p>
      <w:pPr>
        <w:numPr>
          <w:ilvl w:val="0"/>
          <w:numId w:val="10"/>
        </w:numPr>
      </w:pPr>
      <w:r>
        <w:rPr>
          <w:rFonts w:ascii="Calibri" w:hAnsi="Calibri" w:eastAsia="Microsoft YaHei"/>
          <w:color w:val="102A43"/>
          <w:sz w:val="21"/>
        </w:rPr>
        <w:t>作为研究脚手架，承接未来的真实点时数据与组合约束。</w:t>
      </w:r>
    </w:p>
    <w:p>
      <w:pPr>
        <w:numPr>
          <w:ilvl w:val="0"/>
          <w:numId w:val="10"/>
        </w:numPr>
      </w:pPr>
      <w:r>
        <w:rPr>
          <w:rFonts w:ascii="Calibri" w:hAnsi="Calibri" w:eastAsia="Microsoft YaHei"/>
          <w:color w:val="102A43"/>
          <w:sz w:val="21"/>
        </w:rPr>
        <w:t>作为学习项目，演示量化系统中数据、模型、回测、部署和治理之间的关系。</w:t>
      </w:r>
    </w:p>
    <w:p>
      <w:r>
        <w:rPr>
          <w:rFonts w:ascii="Calibri" w:hAnsi="Calibri" w:eastAsia="Microsoft YaHei"/>
          <w:color w:val="102A43"/>
          <w:sz w:val="21"/>
        </w:rPr>
        <w:t>下一阶段的关键不是增加更多算法，而是获得合规、可靠、历史可追溯的数据，并在严格样本外框架下证明因子与组合的稳定性。</w:t>
      </w:r>
    </w:p>
    <w:p>
      <w:pPr>
        <w:pStyle w:val="Heading1"/>
      </w:pPr>
      <w:r>
        <w:t>参考资料</w:t>
      </w:r>
    </w:p>
    <w:p>
      <w:pPr>
        <w:numPr>
          <w:ilvl w:val="0"/>
          <w:numId w:val="26"/>
        </w:numPr>
      </w:pPr>
      <w:r>
        <w:rPr>
          <w:rFonts w:ascii="Calibri" w:hAnsi="Calibri" w:eastAsia="Microsoft YaHei"/>
          <w:color w:val="102A43"/>
          <w:sz w:val="21"/>
        </w:rPr>
        <w:t>Principal 历史公开产品材料对 GRP 的描述：</w:t>
      </w:r>
      <w:hyperlink r:id="rId13">
        <w:r>
          <w:rPr>
            <w:color w:val="2E74B5"/>
            <w:u w:val="single"/>
          </w:rPr>
          <w:t>Principal LargeCap Value manager profile</w:t>
        </w:r>
      </w:hyperlink>
      <w:r>
        <w:rPr>
          <w:rFonts w:ascii="Calibri" w:hAnsi="Calibri" w:eastAsia="Microsoft YaHei"/>
          <w:color w:val="102A43"/>
          <w:sz w:val="21"/>
        </w:rPr>
        <w:t>。</w:t>
      </w:r>
    </w:p>
    <w:p>
      <w:pPr>
        <w:numPr>
          <w:ilvl w:val="0"/>
          <w:numId w:val="26"/>
        </w:numPr>
      </w:pPr>
      <w:r>
        <w:rPr>
          <w:rFonts w:ascii="Calibri" w:hAnsi="Calibri" w:eastAsia="Microsoft YaHei"/>
          <w:color w:val="102A43"/>
          <w:sz w:val="21"/>
        </w:rPr>
        <w:t>Principal 关于基本面变化与投资流程的公开材料：</w:t>
      </w:r>
      <w:hyperlink r:id="rId14">
        <w:r>
          <w:rPr>
            <w:color w:val="2E74B5"/>
            <w:u w:val="single"/>
          </w:rPr>
          <w:t>Principal Equities Sustainability Overview</w:t>
        </w:r>
      </w:hyperlink>
      <w:r>
        <w:rPr>
          <w:rFonts w:ascii="Calibri" w:hAnsi="Calibri" w:eastAsia="Microsoft YaHei"/>
          <w:color w:val="102A43"/>
          <w:sz w:val="21"/>
        </w:rPr>
        <w:t>。</w:t>
      </w:r>
    </w:p>
    <w:p>
      <w:pPr>
        <w:numPr>
          <w:ilvl w:val="0"/>
          <w:numId w:val="26"/>
        </w:numPr>
      </w:pPr>
      <w:r>
        <w:rPr>
          <w:rFonts w:ascii="Calibri" w:hAnsi="Calibri" w:eastAsia="Microsoft YaHei"/>
          <w:color w:val="102A43"/>
          <w:sz w:val="21"/>
        </w:rPr>
        <w:t>Mini-GRP GitHub 仓库：</w:t>
      </w:r>
      <w:hyperlink r:id="rId9">
        <w:r>
          <w:rPr>
            <w:color w:val="2E74B5"/>
            <w:u w:val="single"/>
          </w:rPr>
          <w:t>SuperMarioGotze27/mini-grp-v32</w:t>
        </w:r>
      </w:hyperlink>
      <w:r>
        <w:rPr>
          <w:rFonts w:ascii="Calibri" w:hAnsi="Calibri" w:eastAsia="Microsoft YaHei"/>
          <w:color w:val="102A43"/>
          <w:sz w:val="21"/>
        </w:rPr>
        <w:t>。</w:t>
      </w:r>
    </w:p>
    <w:p>
      <w:pPr>
        <w:numPr>
          <w:ilvl w:val="0"/>
          <w:numId w:val="26"/>
        </w:numPr>
      </w:pPr>
      <w:r>
        <w:rPr>
          <w:rFonts w:ascii="Calibri" w:hAnsi="Calibri" w:eastAsia="Microsoft YaHei"/>
          <w:color w:val="102A43"/>
          <w:sz w:val="21"/>
        </w:rPr>
        <w:t>项目原始材料：v3.2 Overview、Technical Report、Deployment Guide，以及《Mini_GRP_量化选股系统构建报告》。</w:t>
      </w:r>
    </w:p>
    <w:p>
      <w:pPr>
        <w:pBdr>
          <w:bottom w:val="single" w:sz="4" w:space="3" w:color="D9E2EC"/>
        </w:pBdr>
      </w:pPr>
    </w:p>
    <w:p>
      <w:r>
        <w:rPr>
          <w:rFonts w:ascii="Calibri" w:hAnsi="Calibri" w:eastAsia="Microsoft YaHei"/>
          <w:color w:val="102A43"/>
          <w:sz w:val="21"/>
        </w:rPr>
        <w:t>免责声明：本项目与本报告仅用于研究、教育与面试展示，不构成投资建议。合成数据结果不代表历史业绩，真实数据结果也需要在数据授权、点时一致性、交易成本和样本外检验完成后才能用于投资研究判断。</w:t>
      </w:r>
    </w:p>
    <w:sectPr w:rsidR="00FC693F" w:rsidRPr="0006063C" w:rsidSect="00034616">
      <w:headerReference w:type="default" r:id="rId10"/>
      <w:footerReference w:type="default" r:id="rId1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A6B78"/>
        <w:sz w:val="18"/>
      </w:rPr>
      <w:t xml:space="preserve">Page </w:t>
    </w:r>
    <w:r>
      <w:rPr>
        <w:rFonts w:ascii="Calibri" w:hAnsi="Calibri" w:eastAsia="Microsoft YaHei"/>
        <w:color w:val="5A6B78"/>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D9E2EC"/>
      </w:pBdr>
    </w:pPr>
    <w:r>
      <w:rPr>
        <w:rFonts w:ascii="Calibri" w:hAnsi="Calibri" w:eastAsia="Microsoft YaHei"/>
        <w:color w:val="5A6B78"/>
        <w:sz w:val="17"/>
      </w:rPr>
      <w:t>Mini-GRP v3.3 | Complete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lvlOverride w:ilvl="0">
      <w:startOverride w:val="1"/>
    </w:lvlOverride>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lvlOverride w:ilvl="0">
      <w:startOverride w:val="1"/>
    </w:lvlOverride>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 w:numId="15">
    <w:abstractNumId w:val="10"/>
    <w:lvlOverride w:ilvl="0">
      <w:startOverride w:val="1"/>
    </w:lvlOverride>
  </w:num>
  <w:num w:numId="16">
    <w:abstractNumId w:val="10"/>
    <w:lvlOverride w:ilvl="0">
      <w:startOverride w:val="1"/>
    </w:lvlOverride>
  </w:num>
  <w:num w:numId="17">
    <w:abstractNumId w:val="10"/>
    <w:lvlOverride w:ilvl="0">
      <w:startOverride w:val="1"/>
    </w:lvlOverride>
  </w:num>
  <w:num w:numId="18">
    <w:abstractNumId w:val="10"/>
    <w:lvlOverride w:ilvl="0">
      <w:startOverride w:val="1"/>
    </w:lvlOverride>
  </w:num>
  <w:num w:numId="19">
    <w:abstractNumId w:val="10"/>
    <w:lvlOverride w:ilvl="0">
      <w:startOverride w:val="1"/>
    </w:lvlOverride>
  </w:num>
  <w:num w:numId="20">
    <w:abstractNumId w:val="10"/>
    <w:lvlOverride w:ilvl="0">
      <w:startOverride w:val="1"/>
    </w:lvlOverride>
  </w:num>
  <w:num w:numId="21">
    <w:abstractNumId w:val="10"/>
    <w:lvlOverride w:ilvl="0">
      <w:startOverride w:val="1"/>
    </w:lvlOverride>
  </w:num>
  <w:num w:numId="22">
    <w:abstractNumId w:val="10"/>
    <w:lvlOverride w:ilvl="0">
      <w:startOverride w:val="1"/>
    </w:lvlOverride>
  </w:num>
  <w:num w:numId="23">
    <w:abstractNumId w:val="10"/>
    <w:lvlOverride w:ilvl="0">
      <w:startOverride w:val="1"/>
    </w:lvlOverride>
  </w:num>
  <w:num w:numId="24">
    <w:abstractNumId w:val="10"/>
    <w:lvlOverride w:ilvl="0">
      <w:startOverride w:val="1"/>
    </w:lvlOverride>
  </w:num>
  <w:num w:numId="25">
    <w:abstractNumId w:val="10"/>
    <w:lvlOverride w:ilvl="0">
      <w:startOverride w:val="1"/>
    </w:lvlOverride>
  </w:num>
  <w:num w:numId="26">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color w:val="102A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line="240" w:lineRule="auto"/>
      <w:ind w:left="259" w:right="259"/>
    </w:pPr>
    <w:rPr>
      <w:rFonts w:ascii="Consolas" w:hAnsi="Consolas"/>
      <w:sz w:val="18"/>
    </w:rPr>
  </w:style>
  <w:style w:type="paragraph" w:customStyle="1" w:styleId="Callout">
    <w:name w:val="Callout"/>
    <w:pPr>
      <w:spacing w:before="100" w:after="140"/>
      <w:ind w:left="317" w:right="173"/>
    </w:pPr>
    <w:rPr>
      <w:i/>
      <w:color w:val="1F4D7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SuperMarioGotze27/mini-grp-v32" TargetMode="External"/><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hyperlink" Target="https://www.principal.com/allweb/docs/ris/investments/profile/1/pj_520.pdf" TargetMode="External"/><Relationship Id="rId14" Type="http://schemas.openxmlformats.org/officeDocument/2006/relationships/hyperlink" Target="https://brandassets.principal.com/m/10d8b8c72b687529/original/Principal-Equities-Sustainability-Over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Mini-GRP v3.3 完整项目报告</dc:title>
  <dc:subject>量化选股研究框架的设计、迭代、审查与验证</dc:subject>
  <dc:creator>Mini-GRP Project</dc:creator>
  <cp:keywords>Mini-GRP, quant research, factor model, backtest, project report</cp:keywords>
  <dc:description>generated by python-docx</dc:description>
  <cp:lastModifiedBy/>
  <cp:revision>1</cp:revision>
  <dcterms:created xsi:type="dcterms:W3CDTF">2013-12-23T23:15:00Z</dcterms:created>
  <dcterms:modified xsi:type="dcterms:W3CDTF">2013-12-23T23:15:00Z</dcterms:modified>
  <cp:category/>
</cp:coreProperties>
</file>