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bvbdd1hwxkw" w:id="0"/>
      <w:bookmarkEnd w:id="0"/>
      <w:r w:rsidDel="00000000" w:rsidR="00000000" w:rsidRPr="00000000">
        <w:rPr>
          <w:rtl w:val="0"/>
        </w:rPr>
        <w:t xml:space="preserve">Responsibilities of Data Governance Committees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6ewp1fewdbin" w:id="1"/>
      <w:bookmarkEnd w:id="1"/>
      <w:r w:rsidDel="00000000" w:rsidR="00000000" w:rsidRPr="00000000">
        <w:rPr>
          <w:rtl w:val="0"/>
        </w:rPr>
        <w:t xml:space="preserve">Broad responsibilities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authority on data management within the city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nr3agb34zoy0" w:id="2"/>
      <w:bookmarkEnd w:id="2"/>
      <w:r w:rsidDel="00000000" w:rsidR="00000000" w:rsidRPr="00000000">
        <w:rPr>
          <w:rtl w:val="0"/>
        </w:rPr>
        <w:t xml:space="preserve">Engagement responsibilities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Foster buy-in to data program from key stakeholders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and explore potential partnerships that bolster efforts related to data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Actively encourage department and public participation by providing regular opportunities for feedback and collaboration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sv0zv82p53u3" w:id="3"/>
      <w:bookmarkEnd w:id="3"/>
      <w:r w:rsidDel="00000000" w:rsidR="00000000" w:rsidRPr="00000000">
        <w:rPr>
          <w:rtl w:val="0"/>
        </w:rPr>
        <w:t xml:space="preserve">Data responsibilities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Nominate and convene data coordinators from each department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Oversee the creation of a comprehensive data inventory with regular review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process and policy for increasing access to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standards for data publication and sharing formats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datasets for internal release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schedule for release of prioritized internal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Engage departments in creating a data dictionary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standards for collection of data and metadata within the city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standards for data quality and addressing data quality concerns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 and implement a process for guarding against the publishing of potentially sensitive, protected, privileged and/or confidential information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Engage the public on the development and implementation of data-collection and sharing standards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proper schedule and process for data retention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data warehousing solutions to enhance data sharing and access within the city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sufficient funding for implementation and support of the data program by identifying funding sources for potential expenses, such as new staff, new software, training, and server maintenance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 with the Chief Information Officer/Chief Data Officer to develop contract provisions to promote data policies in technology-related procurements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development of a risk reduction and resiliency plan for city data to prepare for potential disasters, in collaboration with appropriate city personnel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development and implementation of strong cybersecurity standards and practices, in collaboration with appropriate city personnel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eyo5f1x2mv77" w:id="4"/>
      <w:bookmarkEnd w:id="4"/>
      <w:r w:rsidDel="00000000" w:rsidR="00000000" w:rsidRPr="00000000">
        <w:rPr>
          <w:rtl w:val="0"/>
        </w:rPr>
        <w:t xml:space="preserve">Open data responsibilities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Oversee the city’s open data program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Prioritize data for external release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schedule for release of prioritized external data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process for publishing datasets publicly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licensing policy for publicly-released datasets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and allocate resources for outreach practices to encourage external use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767263" cy="48131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7263" cy="4813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