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</w:rPr>
        <w:drawing>
          <wp:inline distB="0" distT="0" distL="0" distR="0">
            <wp:extent cx="2281755" cy="538431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755" cy="538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Open Data Liaison Meeting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May 4, 10a to noon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Agenda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10a to 10:15</w:t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Welcome &amp; Introductions</w:t>
      </w: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Steven DeBerry; Norfolk CIO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10:15a to 10:30</w:t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Introduction to Open Data</w:t>
      </w: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Katya Abazajian; the Sunlight Foundation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10:30a to 10:45</w:t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Open Data in Norfolk</w:t>
      </w:r>
      <w:r w:rsidDel="00000000" w:rsidR="00000000" w:rsidRPr="00000000">
        <w:rPr>
          <w:sz w:val="20"/>
          <w:szCs w:val="20"/>
          <w:rtl w:val="0"/>
        </w:rPr>
        <w:t xml:space="preserve">              </w:t>
        <w:tab/>
        <w:t xml:space="preserve">Pamela Marino; ComTech Management Services Administrator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 Data Program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 Data WorkFlow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 Data Policy Review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10:45a to 11</w:t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Role of the Data Liaison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 xml:space="preserve">Fraser Picard; ComTech Assistant Director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11a to 11:15</w:t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Beginning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 Inventory 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Kyle Spencer; ComTech GIS Team Supervisor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and Submission Rules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of NEL Workers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11:15a to 11:30 </w:t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Meeting Wrap Up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 xml:space="preserve">Pamela Marino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Next steps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Next meeting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38100</wp:posOffset>
                </wp:positionV>
                <wp:extent cx="69088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8425" y="3780000"/>
                          <a:ext cx="691515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38100</wp:posOffset>
                </wp:positionV>
                <wp:extent cx="69088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8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FAQs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the duties of the Departmental Data Liaison?  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 as the “go-to” person for information about data your department keeps as well as the format in which the data is saved.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Attend the initial citywide data retreat: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Discuss the data that each department keeps and potential restrictions regarding releasing some data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Brainstorm ways to share data and ensure it is continually updated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Keep your supervisor/department head informed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Commit to attending other meetings or telephone conferences 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 was chosen to be a Departmental Data Liaison?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Staff members who are very familiar with the data that is saved by your department and understands the format in which the data is saved.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Staff members who are responsive and responsible and interested in helping the city do a better job of making data-driven decisions and engaging citizens. 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more information about the What Works Cities initiative, visit the ComTech webpage at </w:t>
      </w:r>
      <w:hyperlink r:id="rId8">
        <w:r w:rsidDel="00000000" w:rsidR="00000000" w:rsidRPr="00000000">
          <w:rPr>
            <w:b w:val="1"/>
            <w:color w:val="0563c1"/>
            <w:sz w:val="20"/>
            <w:szCs w:val="20"/>
            <w:u w:val="single"/>
            <w:rtl w:val="0"/>
          </w:rPr>
          <w:t xml:space="preserve">www.norfolk.gov/index.aspx?NID=1686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28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e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2e75b5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e4d78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://www.norfolk.gov/index.aspx?NID=16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