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super-patch-clinical-evidence-summary"/>
    <w:p>
      <w:pPr>
        <w:pStyle w:val="Heading1"/>
      </w:pPr>
      <w:r>
        <w:t xml:space="preserve">Super Patch Clinical Evidence Summary</w:t>
      </w:r>
    </w:p>
    <w:bookmarkStart w:id="20" w:name="for-healthcare-practitioner-discussions"/>
    <w:p>
      <w:pPr>
        <w:pStyle w:val="Heading2"/>
      </w:pPr>
      <w:r>
        <w:t xml:space="preserve">For Healthcare Practitioner Discussions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Super Patch products are backed by peer-reviewed clinical studies demonstrating efficacy across multiple wellness areas. This document provides healthcare practitioners with key clinical evidence to support treatment recommendations.</w:t>
      </w:r>
    </w:p>
    <w:p>
      <w:r>
        <w:pict>
          <v:rect style="width:0;height:1.5pt" o:hralign="center" o:hrstd="t" o:hr="t"/>
        </w:pict>
      </w:r>
    </w:p>
    <w:bookmarkEnd w:id="21"/>
    <w:bookmarkStart w:id="28" w:name="study-1-restore-pain-study-2025"/>
    <w:p>
      <w:pPr>
        <w:pStyle w:val="Heading2"/>
      </w:pPr>
      <w:r>
        <w:t xml:space="preserve">Study 1: RESTORE Pain Study (2025)</w:t>
      </w:r>
    </w:p>
    <w:bookmarkStart w:id="22" w:name="publication-details"/>
    <w:p>
      <w:pPr>
        <w:pStyle w:val="Heading3"/>
      </w:pPr>
      <w:r>
        <w:t xml:space="preserve">Publication Details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Journal:</w:t>
      </w:r>
      <w:r>
        <w:t xml:space="preserve"> </w:t>
      </w:r>
      <w:r>
        <w:t xml:space="preserve">Pain Therapeutics (Pain Ther) - Peer Reviewed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Type:</w:t>
      </w:r>
      <w:r>
        <w:t xml:space="preserve"> </w:t>
      </w:r>
      <w:r>
        <w:t xml:space="preserve">Randomized, Controlled, Double-Blind Study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Registration:</w:t>
      </w:r>
      <w:r>
        <w:t xml:space="preserve"> </w:t>
      </w:r>
      <w:r>
        <w:t xml:space="preserve">ClinicalTrials.gov NCT06505005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Authors:</w:t>
      </w:r>
      <w:r>
        <w:t xml:space="preserve"> </w:t>
      </w:r>
      <w:r>
        <w:t xml:space="preserve">Janet Fason, Peter Hurwitz, Jeffrey Gudin (University of Miami Miller School of Medicine)</w:t>
      </w:r>
    </w:p>
    <w:bookmarkEnd w:id="22"/>
    <w:bookmarkStart w:id="23" w:name="study-design"/>
    <w:p>
      <w:pPr>
        <w:pStyle w:val="Heading3"/>
      </w:pPr>
      <w:r>
        <w:t xml:space="preserve">Study Design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Participants:</w:t>
      </w:r>
      <w:r>
        <w:t xml:space="preserve"> </w:t>
      </w:r>
      <w:r>
        <w:t xml:space="preserve">118 adults (58 male, 60 female)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14 days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Groups:</w:t>
      </w:r>
      <w:r>
        <w:t xml:space="preserve"> </w:t>
      </w:r>
      <w:r>
        <w:t xml:space="preserve">Active VTT patch (n=64) vs. Placebo patch (n=54)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Conditions:</w:t>
      </w:r>
      <w:r>
        <w:t xml:space="preserve"> </w:t>
      </w:r>
      <w:r>
        <w:t xml:space="preserve">Myofascial/musculoskeletal pain, arthritis, neuropathy/radiculopathy</w:t>
      </w:r>
    </w:p>
    <w:bookmarkEnd w:id="23"/>
    <w:bookmarkStart w:id="24" w:name="key-findings"/>
    <w:p>
      <w:pPr>
        <w:pStyle w:val="Heading3"/>
      </w:pPr>
      <w:r>
        <w:t xml:space="preserve">Key Findings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 Severity</w:t>
            </w:r>
          </w:p>
        </w:tc>
        <w:tc>
          <w:tcPr/>
          <w:p>
            <w:pPr>
              <w:pStyle w:val="Compact"/>
            </w:pPr>
            <w:r>
              <w:t xml:space="preserve">Significantly greater improvement in active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 Interference</w:t>
            </w:r>
          </w:p>
        </w:tc>
        <w:tc>
          <w:tcPr/>
          <w:p>
            <w:pPr>
              <w:pStyle w:val="Compact"/>
            </w:pPr>
            <w:r>
              <w:t xml:space="preserve">Significantly greater reduction in active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Range of Motion</w:t>
            </w:r>
          </w:p>
        </w:tc>
        <w:tc>
          <w:tcPr/>
          <w:p>
            <w:pPr>
              <w:pStyle w:val="Compact"/>
            </w:pPr>
            <w:r>
              <w:t xml:space="preserve">Greater objective improvement at Day 7 and Day 14</w:t>
            </w:r>
          </w:p>
        </w:tc>
      </w:tr>
    </w:tbl>
    <w:bookmarkEnd w:id="24"/>
    <w:bookmarkStart w:id="25" w:name="assessment-tools"/>
    <w:p>
      <w:pPr>
        <w:pStyle w:val="Heading3"/>
      </w:pPr>
      <w:r>
        <w:t xml:space="preserve">Assessment Tools</w:t>
      </w:r>
    </w:p>
    <w:p>
      <w:pPr>
        <w:pStyle w:val="Compact"/>
        <w:numPr>
          <w:ilvl w:val="0"/>
          <w:numId w:val="1003"/>
        </w:numPr>
      </w:pPr>
      <w:r>
        <w:t xml:space="preserve">Brief Pain Inventory (BPI) - validated instrument</w:t>
      </w:r>
    </w:p>
    <w:p>
      <w:pPr>
        <w:pStyle w:val="Compact"/>
        <w:numPr>
          <w:ilvl w:val="0"/>
          <w:numId w:val="1003"/>
        </w:numPr>
      </w:pPr>
      <w:r>
        <w:t xml:space="preserve">Schober’s Test (lumbar spine flexibility)</w:t>
      </w:r>
    </w:p>
    <w:p>
      <w:pPr>
        <w:pStyle w:val="Compact"/>
        <w:numPr>
          <w:ilvl w:val="0"/>
          <w:numId w:val="1003"/>
        </w:numPr>
      </w:pPr>
      <w:r>
        <w:t xml:space="preserve">Goniometer measurements</w:t>
      </w:r>
    </w:p>
    <w:p>
      <w:pPr>
        <w:pStyle w:val="Compact"/>
        <w:numPr>
          <w:ilvl w:val="0"/>
          <w:numId w:val="1003"/>
        </w:numPr>
      </w:pPr>
      <w:r>
        <w:t xml:space="preserve">Bubble inclinometer measurements</w:t>
      </w:r>
    </w:p>
    <w:bookmarkEnd w:id="25"/>
    <w:bookmarkStart w:id="26" w:name="clinical-implications"/>
    <w:p>
      <w:pPr>
        <w:pStyle w:val="Heading3"/>
      </w:pPr>
      <w:r>
        <w:t xml:space="preserve">Clinical Implications</w:t>
      </w:r>
    </w:p>
    <w:p>
      <w:pPr>
        <w:pStyle w:val="BlockText"/>
      </w:pPr>
      <w:r>
        <w:t xml:space="preserve">“These findings suggest that this non-pharmacological, noninvasive, topical VTT haptic patch (FREEDOM Super Patch with VTT) can reduce pain severity and increase ROM/flexibility. Considering the multitude of serious adverse effects associated with standard pharmacological pain treatments, clinicians should consider this readily available, over-the-counter VTT patch as a potential first-line or adjunct therapy to treat pain.”</w:t>
      </w:r>
    </w:p>
    <w:bookmarkEnd w:id="26"/>
    <w:bookmarkStart w:id="27" w:name="product-freedom-patch"/>
    <w:p>
      <w:pPr>
        <w:pStyle w:val="Heading3"/>
      </w:pPr>
      <w:r>
        <w:t xml:space="preserve">Product:</w:t>
      </w:r>
      <w:r>
        <w:t xml:space="preserve"> </w:t>
      </w:r>
      <w:r>
        <w:rPr>
          <w:b/>
          <w:bCs/>
        </w:rPr>
        <w:t xml:space="preserve">FREEDOM Patch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study-2-harmoni-sleep-study"/>
    <w:p>
      <w:pPr>
        <w:pStyle w:val="Heading2"/>
      </w:pPr>
      <w:r>
        <w:t xml:space="preserve">Study 2: HARMONI Sleep Study</w:t>
      </w:r>
    </w:p>
    <w:bookmarkStart w:id="29" w:name="publication-details-1"/>
    <w:p>
      <w:pPr>
        <w:pStyle w:val="Heading3"/>
      </w:pPr>
      <w:r>
        <w:t xml:space="preserve">Publication Details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Study Name:</w:t>
      </w:r>
      <w:r>
        <w:t xml:space="preserve"> </w:t>
      </w:r>
      <w:r>
        <w:t xml:space="preserve">HARMONI Study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Type:</w:t>
      </w:r>
      <w:r>
        <w:t xml:space="preserve"> </w:t>
      </w:r>
      <w:r>
        <w:t xml:space="preserve">Prospective Clinical Trial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Product Tested:</w:t>
      </w:r>
      <w:r>
        <w:t xml:space="preserve"> </w:t>
      </w:r>
      <w:r>
        <w:t xml:space="preserve">REM Sleep Patch with VTT</w:t>
      </w:r>
    </w:p>
    <w:bookmarkEnd w:id="29"/>
    <w:bookmarkStart w:id="30" w:name="study-design-1"/>
    <w:p>
      <w:pPr>
        <w:pStyle w:val="Heading3"/>
      </w:pPr>
      <w:r>
        <w:t xml:space="preserve">Study Design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Participants:</w:t>
      </w:r>
      <w:r>
        <w:t xml:space="preserve"> </w:t>
      </w:r>
      <w:r>
        <w:t xml:space="preserve">113 adults (79 women, 34 men)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Average Age:</w:t>
      </w:r>
      <w:r>
        <w:t xml:space="preserve"> </w:t>
      </w:r>
      <w:r>
        <w:t xml:space="preserve">53 years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14 days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Inclusion Criteria:</w:t>
      </w:r>
      <w:r>
        <w:t xml:space="preserve"> </w:t>
      </w:r>
      <w:r>
        <w:t xml:space="preserve">Adults with difficulty falling or staying asleep</w:t>
      </w:r>
    </w:p>
    <w:bookmarkEnd w:id="30"/>
    <w:bookmarkStart w:id="31" w:name="key-findings-1"/>
    <w:p>
      <w:pPr>
        <w:pStyle w:val="Heading3"/>
      </w:pPr>
      <w:r>
        <w:t xml:space="preserve">Key Findings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 14 Days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Fall Asleep</w:t>
            </w:r>
          </w:p>
        </w:tc>
        <w:tc>
          <w:tcPr/>
          <w:p>
            <w:pPr>
              <w:pStyle w:val="Compact"/>
            </w:pPr>
            <w:r>
              <w:t xml:space="preserve">69 minutes</w:t>
            </w:r>
          </w:p>
        </w:tc>
        <w:tc>
          <w:tcPr/>
          <w:p>
            <w:pPr>
              <w:pStyle w:val="Compact"/>
            </w:pPr>
            <w:r>
              <w:t xml:space="preserve">37 minutes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46% faster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Sleep Duration</w:t>
            </w:r>
          </w:p>
        </w:tc>
        <w:tc>
          <w:tcPr/>
          <w:p>
            <w:pPr>
              <w:pStyle w:val="Compact"/>
            </w:pPr>
            <w:r>
              <w:t xml:space="preserve">5 hours</w:t>
            </w:r>
          </w:p>
        </w:tc>
        <w:tc>
          <w:tcPr/>
          <w:p>
            <w:pPr>
              <w:pStyle w:val="Compact"/>
            </w:pPr>
            <w:r>
              <w:t xml:space="preserve">6.5 hours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+1.5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Night Waking</w:t>
            </w:r>
          </w:p>
        </w:tc>
        <w:tc>
          <w:tcPr/>
          <w:p>
            <w:pPr>
              <w:pStyle w:val="Compact"/>
            </w:pPr>
            <w:r>
              <w:t xml:space="preserve">83% weekly</w:t>
            </w:r>
          </w:p>
        </w:tc>
        <w:tc>
          <w:tcPr/>
          <w:p>
            <w:pPr>
              <w:pStyle w:val="Compact"/>
            </w:pPr>
            <w:r>
              <w:t xml:space="preserve">22% weekly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74% reduction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Sleep Medication Use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80% stopped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80% reduction</w:t>
            </w:r>
          </w:p>
        </w:tc>
      </w:tr>
    </w:tbl>
    <w:bookmarkEnd w:id="31"/>
    <w:bookmarkStart w:id="32" w:name="secondary-benefits-reported"/>
    <w:p>
      <w:pPr>
        <w:pStyle w:val="Heading3"/>
      </w:pPr>
      <w:r>
        <w:t xml:space="preserve">Secondary Benefits Reported</w:t>
      </w:r>
    </w:p>
    <w:p>
      <w:pPr>
        <w:pStyle w:val="Compact"/>
        <w:numPr>
          <w:ilvl w:val="0"/>
          <w:numId w:val="1006"/>
        </w:numPr>
      </w:pPr>
      <w:r>
        <w:t xml:space="preserve">Reduced daytime fatigue</w:t>
      </w:r>
    </w:p>
    <w:p>
      <w:pPr>
        <w:pStyle w:val="Compact"/>
        <w:numPr>
          <w:ilvl w:val="0"/>
          <w:numId w:val="1006"/>
        </w:numPr>
      </w:pPr>
      <w:r>
        <w:t xml:space="preserve">Improved mood</w:t>
      </w:r>
    </w:p>
    <w:p>
      <w:pPr>
        <w:pStyle w:val="Compact"/>
        <w:numPr>
          <w:ilvl w:val="0"/>
          <w:numId w:val="1006"/>
        </w:numPr>
      </w:pPr>
      <w:r>
        <w:t xml:space="preserve">Better concentration</w:t>
      </w:r>
    </w:p>
    <w:p>
      <w:pPr>
        <w:pStyle w:val="Compact"/>
        <w:numPr>
          <w:ilvl w:val="0"/>
          <w:numId w:val="1006"/>
        </w:numPr>
      </w:pPr>
      <w:r>
        <w:t xml:space="preserve">Enhanced memory</w:t>
      </w:r>
    </w:p>
    <w:p>
      <w:pPr>
        <w:pStyle w:val="Compact"/>
        <w:numPr>
          <w:ilvl w:val="0"/>
          <w:numId w:val="1006"/>
        </w:numPr>
      </w:pPr>
      <w:r>
        <w:t xml:space="preserve">Improved ability to perform daily activities</w:t>
      </w:r>
    </w:p>
    <w:bookmarkEnd w:id="32"/>
    <w:bookmarkStart w:id="33" w:name="safety-profile"/>
    <w:p>
      <w:pPr>
        <w:pStyle w:val="Heading3"/>
      </w:pPr>
      <w:r>
        <w:t xml:space="preserve">Safety Profile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Adverse Events:</w:t>
      </w:r>
      <w:r>
        <w:t xml:space="preserve"> </w:t>
      </w:r>
      <w:r>
        <w:t xml:space="preserve">Only 5 out of 113 participants (4.4%)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Nature:</w:t>
      </w:r>
      <w:r>
        <w:t xml:space="preserve"> </w:t>
      </w:r>
      <w:r>
        <w:t xml:space="preserve">Minor (mild itching, vivid dreams)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serious adverse events reported</w:t>
      </w:r>
    </w:p>
    <w:bookmarkEnd w:id="33"/>
    <w:bookmarkStart w:id="34" w:name="patient-preference"/>
    <w:p>
      <w:pPr>
        <w:pStyle w:val="Heading3"/>
      </w:pPr>
      <w:r>
        <w:t xml:space="preserve">Patient Preference</w:t>
      </w:r>
    </w:p>
    <w:p>
      <w:pPr>
        <w:pStyle w:val="Compact"/>
        <w:numPr>
          <w:ilvl w:val="0"/>
          <w:numId w:val="1008"/>
        </w:numPr>
      </w:pPr>
      <w:r>
        <w:t xml:space="preserve">90% reported easy to use and convenient</w:t>
      </w:r>
    </w:p>
    <w:p>
      <w:pPr>
        <w:pStyle w:val="Compact"/>
        <w:numPr>
          <w:ilvl w:val="0"/>
          <w:numId w:val="1008"/>
        </w:numPr>
      </w:pPr>
      <w:r>
        <w:t xml:space="preserve">70% preferred patch over sleep medications</w:t>
      </w:r>
    </w:p>
    <w:bookmarkEnd w:id="34"/>
    <w:bookmarkStart w:id="35" w:name="product-rem-patch"/>
    <w:p>
      <w:pPr>
        <w:pStyle w:val="Heading3"/>
      </w:pPr>
      <w:r>
        <w:t xml:space="preserve">Product:</w:t>
      </w:r>
      <w:r>
        <w:t xml:space="preserve"> </w:t>
      </w:r>
      <w:r>
        <w:rPr>
          <w:b/>
          <w:bCs/>
        </w:rPr>
        <w:t xml:space="preserve">REM Patch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study-3-balance-stability-study-2022"/>
    <w:p>
      <w:pPr>
        <w:pStyle w:val="Heading2"/>
      </w:pPr>
      <w:r>
        <w:t xml:space="preserve">Study 3: Balance &amp; Stability Study (2022)</w:t>
      </w:r>
    </w:p>
    <w:bookmarkStart w:id="37" w:name="publication-details-2"/>
    <w:p>
      <w:pPr>
        <w:pStyle w:val="Heading3"/>
      </w:pPr>
      <w:r>
        <w:t xml:space="preserve">Publication Details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Journal:</w:t>
      </w:r>
      <w:r>
        <w:t xml:space="preserve"> </w:t>
      </w:r>
      <w:r>
        <w:t xml:space="preserve">International Journal of Research in Physical Medicine &amp; Rehabilitation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Type:</w:t>
      </w:r>
      <w:r>
        <w:t xml:space="preserve"> </w:t>
      </w:r>
      <w:r>
        <w:t xml:space="preserve">Controlled Comparative Study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Authors:</w:t>
      </w:r>
      <w:r>
        <w:t xml:space="preserve"> </w:t>
      </w:r>
      <w:r>
        <w:t xml:space="preserve">John Haddad (American University, Beirut), Baldeep S. Dhaliwal, Manny S. Dhaliwal, Peter Hurwitz</w:t>
      </w:r>
    </w:p>
    <w:bookmarkEnd w:id="37"/>
    <w:bookmarkStart w:id="38" w:name="study-design-2"/>
    <w:p>
      <w:pPr>
        <w:pStyle w:val="Heading3"/>
      </w:pPr>
      <w:r>
        <w:t xml:space="preserve">Study Design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Participants:</w:t>
      </w:r>
      <w:r>
        <w:t xml:space="preserve"> </w:t>
      </w:r>
      <w:r>
        <w:t xml:space="preserve">69 subjects (44 males, 25 females)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Method:</w:t>
      </w:r>
      <w:r>
        <w:t xml:space="preserve"> </w:t>
      </w:r>
      <w:r>
        <w:t xml:space="preserve">Sway Medical Balance Assessment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Comparison:</w:t>
      </w:r>
      <w:r>
        <w:t xml:space="preserve"> </w:t>
      </w:r>
      <w:r>
        <w:t xml:space="preserve">VTT-enhanced socks vs. regular socks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Statistical Analysis:</w:t>
      </w:r>
      <w:r>
        <w:t xml:space="preserve"> </w:t>
      </w:r>
      <w:r>
        <w:t xml:space="preserve">One-way ANOVA F test</w:t>
      </w:r>
    </w:p>
    <w:bookmarkEnd w:id="38"/>
    <w:bookmarkStart w:id="39" w:name="key-findings-2"/>
    <w:p>
      <w:pPr>
        <w:pStyle w:val="Heading3"/>
      </w:pPr>
      <w:r>
        <w:t xml:space="preserve">Key Findings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Balance Score Improvement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31% increase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Statistical Significance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 &lt; 0.05</w:t>
            </w:r>
          </w:p>
        </w:tc>
      </w:tr>
    </w:tbl>
    <w:bookmarkEnd w:id="39"/>
    <w:bookmarkStart w:id="40" w:name="mechanism"/>
    <w:p>
      <w:pPr>
        <w:pStyle w:val="Heading3"/>
      </w:pPr>
      <w:r>
        <w:t xml:space="preserve">Mechanism</w:t>
      </w:r>
    </w:p>
    <w:p>
      <w:pPr>
        <w:pStyle w:val="FirstParagraph"/>
      </w:pPr>
      <w:r>
        <w:t xml:space="preserve">VTT Enhanced products influence:</w:t>
      </w:r>
      <w:r>
        <w:t xml:space="preserve"> </w:t>
      </w:r>
      <w:r>
        <w:t xml:space="preserve">- Neuromuscular balance control centers</w:t>
      </w:r>
      <w:r>
        <w:t xml:space="preserve"> </w:t>
      </w:r>
      <w:r>
        <w:t xml:space="preserve">- Sensory processing areas</w:t>
      </w:r>
      <w:r>
        <w:t xml:space="preserve"> </w:t>
      </w:r>
      <w:r>
        <w:t xml:space="preserve">- Cognitive integration</w:t>
      </w:r>
      <w:r>
        <w:t xml:space="preserve"> </w:t>
      </w:r>
      <w:r>
        <w:t xml:space="preserve">- Musculoskeletal coordination</w:t>
      </w:r>
    </w:p>
    <w:bookmarkEnd w:id="40"/>
    <w:bookmarkStart w:id="41" w:name="clinical-applications"/>
    <w:p>
      <w:pPr>
        <w:pStyle w:val="Heading3"/>
      </w:pPr>
      <w:r>
        <w:t xml:space="preserve">Clinical Applications</w:t>
      </w:r>
    </w:p>
    <w:p>
      <w:pPr>
        <w:pStyle w:val="Compact"/>
        <w:numPr>
          <w:ilvl w:val="0"/>
          <w:numId w:val="1011"/>
        </w:numPr>
      </w:pPr>
      <w:r>
        <w:t xml:space="preserve">Fall prevention in elderly patients</w:t>
      </w:r>
    </w:p>
    <w:p>
      <w:pPr>
        <w:pStyle w:val="Compact"/>
        <w:numPr>
          <w:ilvl w:val="0"/>
          <w:numId w:val="1011"/>
        </w:numPr>
      </w:pPr>
      <w:r>
        <w:t xml:space="preserve">Balance rehabilitation</w:t>
      </w:r>
    </w:p>
    <w:p>
      <w:pPr>
        <w:pStyle w:val="Compact"/>
        <w:numPr>
          <w:ilvl w:val="0"/>
          <w:numId w:val="1011"/>
        </w:numPr>
      </w:pPr>
      <w:r>
        <w:t xml:space="preserve">Mobility improvement</w:t>
      </w:r>
    </w:p>
    <w:p>
      <w:pPr>
        <w:pStyle w:val="Compact"/>
        <w:numPr>
          <w:ilvl w:val="0"/>
          <w:numId w:val="1011"/>
        </w:numPr>
      </w:pPr>
      <w:r>
        <w:t xml:space="preserve">Activities of Daily Living (ADL) support</w:t>
      </w:r>
    </w:p>
    <w:bookmarkEnd w:id="41"/>
    <w:bookmarkStart w:id="42" w:name="product-liberty-patch"/>
    <w:p>
      <w:pPr>
        <w:pStyle w:val="Heading3"/>
      </w:pPr>
      <w:r>
        <w:t xml:space="preserve">Product:</w:t>
      </w:r>
      <w:r>
        <w:t xml:space="preserve"> </w:t>
      </w:r>
      <w:r>
        <w:rPr>
          <w:b/>
          <w:bCs/>
        </w:rPr>
        <w:t xml:space="preserve">LIBERTY Patch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Xa70d2a12ae8d8dd9ec008dec862fd8ce00eb7c6"/>
    <w:p>
      <w:pPr>
        <w:pStyle w:val="Heading2"/>
      </w:pPr>
      <w:r>
        <w:t xml:space="preserve">Vibrotactile Technology (VTT) - Mechanism of Action</w:t>
      </w:r>
    </w:p>
    <w:bookmarkStart w:id="44" w:name="scientific-foundation"/>
    <w:p>
      <w:pPr>
        <w:pStyle w:val="Heading3"/>
      </w:pPr>
      <w:r>
        <w:t xml:space="preserve">Scientific Foundation</w:t>
      </w:r>
    </w:p>
    <w:p>
      <w:pPr>
        <w:pStyle w:val="FirstParagraph"/>
      </w:pPr>
      <w:r>
        <w:t xml:space="preserve">VTT is based on Nobel Prize-winning research (2021) on mechanoreceptors and Piezo channels: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Mechanoreceptor Activation</w:t>
      </w:r>
    </w:p>
    <w:p>
      <w:pPr>
        <w:pStyle w:val="Compact"/>
        <w:numPr>
          <w:ilvl w:val="1"/>
          <w:numId w:val="1013"/>
        </w:numPr>
      </w:pPr>
      <w:r>
        <w:t xml:space="preserve">Specialized ridge patterns on patch surface</w:t>
      </w:r>
    </w:p>
    <w:p>
      <w:pPr>
        <w:pStyle w:val="Compact"/>
        <w:numPr>
          <w:ilvl w:val="1"/>
          <w:numId w:val="1013"/>
        </w:numPr>
      </w:pPr>
      <w:r>
        <w:t xml:space="preserve">Interact with skin’s mechanoreceptors (Meissner’s corpuscles, Merkel cells)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Piezo Channel Stimulation</w:t>
      </w:r>
    </w:p>
    <w:p>
      <w:pPr>
        <w:pStyle w:val="Compact"/>
        <w:numPr>
          <w:ilvl w:val="1"/>
          <w:numId w:val="1014"/>
        </w:numPr>
      </w:pPr>
      <w:r>
        <w:t xml:space="preserve">Piezo1 and Piezo2 ion channels respond to mechanical stimuli</w:t>
      </w:r>
    </w:p>
    <w:p>
      <w:pPr>
        <w:pStyle w:val="Compact"/>
        <w:numPr>
          <w:ilvl w:val="1"/>
          <w:numId w:val="1014"/>
        </w:numPr>
      </w:pPr>
      <w:r>
        <w:t xml:space="preserve">Modulate neural signaling pathways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Gate Control Theory Application</w:t>
      </w:r>
    </w:p>
    <w:p>
      <w:pPr>
        <w:pStyle w:val="Compact"/>
        <w:numPr>
          <w:ilvl w:val="1"/>
          <w:numId w:val="1015"/>
        </w:numPr>
      </w:pPr>
      <w:r>
        <w:t xml:space="preserve">A-beta nerve fiber activation</w:t>
      </w:r>
    </w:p>
    <w:p>
      <w:pPr>
        <w:pStyle w:val="Compact"/>
        <w:numPr>
          <w:ilvl w:val="1"/>
          <w:numId w:val="1015"/>
        </w:numPr>
      </w:pPr>
      <w:r>
        <w:t xml:space="preserve">Inhibition of pain signal transmission from A-delta and C-fibers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Neural Pathway Modulation</w:t>
      </w:r>
    </w:p>
    <w:p>
      <w:pPr>
        <w:pStyle w:val="Compact"/>
        <w:numPr>
          <w:ilvl w:val="1"/>
          <w:numId w:val="1016"/>
        </w:numPr>
      </w:pPr>
      <w:r>
        <w:t xml:space="preserve">Bidirectional communication with CNS</w:t>
      </w:r>
    </w:p>
    <w:p>
      <w:pPr>
        <w:pStyle w:val="Compact"/>
        <w:numPr>
          <w:ilvl w:val="1"/>
          <w:numId w:val="1016"/>
        </w:numPr>
      </w:pPr>
      <w:r>
        <w:t xml:space="preserve">Targeted activation of specific neural responses</w:t>
      </w:r>
    </w:p>
    <w:bookmarkEnd w:id="44"/>
    <w:bookmarkStart w:id="45" w:name="key-differentiators"/>
    <w:p>
      <w:pPr>
        <w:pStyle w:val="Heading3"/>
      </w:pPr>
      <w:r>
        <w:t xml:space="preserve">Key Differentiators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Traditional Patches</w:t>
            </w:r>
          </w:p>
        </w:tc>
        <w:tc>
          <w:tcPr/>
          <w:p>
            <w:pPr>
              <w:pStyle w:val="Compact"/>
            </w:pPr>
            <w:r>
              <w:t xml:space="preserve">VTT Patches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Drug Delivery</w:t>
            </w:r>
          </w:p>
        </w:tc>
        <w:tc>
          <w:tcPr/>
          <w:p>
            <w:pPr>
              <w:pStyle w:val="Compact"/>
            </w:pPr>
            <w:r>
              <w:t xml:space="preserve">Transdermal chemicals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Chemical absorption</w:t>
            </w:r>
          </w:p>
        </w:tc>
        <w:tc>
          <w:tcPr/>
          <w:p>
            <w:pPr>
              <w:pStyle w:val="Compact"/>
            </w:pPr>
            <w:r>
              <w:t xml:space="preserve">Neural stimulation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 Effects</w:t>
            </w:r>
          </w:p>
        </w:tc>
        <w:tc>
          <w:tcPr/>
          <w:p>
            <w:pPr>
              <w:pStyle w:val="Compact"/>
            </w:pPr>
            <w:r>
              <w:t xml:space="preserve">Possible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Risk</w:t>
            </w:r>
          </w:p>
        </w:tc>
        <w:tc>
          <w:tcPr/>
          <w:p>
            <w:pPr>
              <w:pStyle w:val="Compact"/>
            </w:pPr>
            <w:r>
              <w:t xml:space="preserve">Possible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Long-term Use</w:t>
            </w:r>
          </w:p>
        </w:tc>
        <w:tc>
          <w:tcPr/>
          <w:p>
            <w:pPr>
              <w:pStyle w:val="Compact"/>
            </w:pPr>
            <w:r>
              <w:t xml:space="preserve">May have concerns</w:t>
            </w:r>
          </w:p>
        </w:tc>
        <w:tc>
          <w:tcPr/>
          <w:p>
            <w:pPr>
              <w:pStyle w:val="Compact"/>
            </w:pPr>
            <w:r>
              <w:t xml:space="preserve">Safe for extended use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7" w:name="quick-reference-evidence-by-product"/>
    <w:p>
      <w:pPr>
        <w:pStyle w:val="Heading2"/>
      </w:pPr>
      <w:r>
        <w:t xml:space="preserve">Quick Reference: Evidence by Product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233"/>
        <w:gridCol w:w="1421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Study</w:t>
            </w:r>
          </w:p>
        </w:tc>
        <w:tc>
          <w:tcPr/>
          <w:p>
            <w:pPr>
              <w:pStyle w:val="Compact"/>
            </w:pPr>
            <w:r>
              <w:t xml:space="preserve">Key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Freedom</w:t>
            </w:r>
          </w:p>
        </w:tc>
        <w:tc>
          <w:tcPr/>
          <w:p>
            <w:pPr>
              <w:pStyle w:val="Compact"/>
            </w:pPr>
            <w:r>
              <w:t xml:space="preserve">Pain</w:t>
            </w:r>
          </w:p>
        </w:tc>
        <w:tc>
          <w:tcPr/>
          <w:p>
            <w:pPr>
              <w:pStyle w:val="Compact"/>
            </w:pPr>
            <w:r>
              <w:t xml:space="preserve">RESTORE RCT</w:t>
            </w:r>
          </w:p>
        </w:tc>
        <w:tc>
          <w:tcPr/>
          <w:p>
            <w:pPr>
              <w:pStyle w:val="Compact"/>
            </w:pPr>
            <w:r>
              <w:t xml:space="preserve">Significant pain reduction + ROM improvement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</w:t>
            </w:r>
          </w:p>
        </w:tc>
        <w:tc>
          <w:tcPr/>
          <w:p>
            <w:pPr>
              <w:pStyle w:val="Compact"/>
            </w:pPr>
            <w:r>
              <w:t xml:space="preserve">Sleep</w:t>
            </w:r>
          </w:p>
        </w:tc>
        <w:tc>
          <w:tcPr/>
          <w:p>
            <w:pPr>
              <w:pStyle w:val="Compact"/>
            </w:pPr>
            <w:r>
              <w:t xml:space="preserve">HARMONI</w:t>
            </w:r>
          </w:p>
        </w:tc>
        <w:tc>
          <w:tcPr/>
          <w:p>
            <w:pPr>
              <w:pStyle w:val="Compact"/>
            </w:pPr>
            <w:r>
              <w:t xml:space="preserve">46% faster sleep onset, 80% stopped meds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Liberty</w:t>
            </w:r>
          </w:p>
        </w:tc>
        <w:tc>
          <w:tcPr/>
          <w:p>
            <w:pPr>
              <w:pStyle w:val="Compact"/>
            </w:pPr>
            <w:r>
              <w:t xml:space="preserve">Balance</w:t>
            </w:r>
          </w:p>
        </w:tc>
        <w:tc>
          <w:tcPr/>
          <w:p>
            <w:pPr>
              <w:pStyle w:val="Compact"/>
            </w:pPr>
            <w:r>
              <w:t xml:space="preserve">Balance Study</w:t>
            </w:r>
          </w:p>
        </w:tc>
        <w:tc>
          <w:tcPr/>
          <w:p>
            <w:pPr>
              <w:pStyle w:val="Compact"/>
            </w:pPr>
            <w:r>
              <w:t xml:space="preserve">31% improvement in balance scores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Boost</w:t>
            </w:r>
          </w:p>
        </w:tc>
        <w:tc>
          <w:tcPr/>
          <w:p>
            <w:pPr>
              <w:pStyle w:val="Compact"/>
            </w:pPr>
            <w:r>
              <w:t xml:space="preserve">Energy</w:t>
            </w:r>
          </w:p>
        </w:tc>
        <w:tc>
          <w:tcPr/>
          <w:p>
            <w:pPr>
              <w:pStyle w:val="Compact"/>
            </w:pPr>
            <w:r>
              <w:t xml:space="preserve">VTT mechanism</w:t>
            </w:r>
          </w:p>
        </w:tc>
        <w:tc>
          <w:tcPr/>
          <w:p>
            <w:pPr>
              <w:pStyle w:val="Compact"/>
            </w:pPr>
            <w:r>
              <w:t xml:space="preserve">Supports natural energy pathways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Concentration</w:t>
            </w:r>
          </w:p>
        </w:tc>
        <w:tc>
          <w:tcPr/>
          <w:p>
            <w:pPr>
              <w:pStyle w:val="Compact"/>
            </w:pPr>
            <w:r>
              <w:t xml:space="preserve">VTT mechanism</w:t>
            </w:r>
          </w:p>
        </w:tc>
        <w:tc>
          <w:tcPr/>
          <w:p>
            <w:pPr>
              <w:pStyle w:val="Compact"/>
            </w:pPr>
            <w:r>
              <w:t xml:space="preserve">Neural pathway activation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Peace</w:t>
            </w:r>
          </w:p>
        </w:tc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VTT mechanism</w:t>
            </w:r>
          </w:p>
        </w:tc>
        <w:tc>
          <w:tcPr/>
          <w:p>
            <w:pPr>
              <w:pStyle w:val="Compact"/>
            </w:pPr>
            <w:r>
              <w:t xml:space="preserve">Calming neural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Victory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VTT mechanism</w:t>
            </w:r>
          </w:p>
        </w:tc>
        <w:tc>
          <w:tcPr/>
          <w:p>
            <w:pPr>
              <w:pStyle w:val="Compact"/>
            </w:pPr>
            <w:r>
              <w:t xml:space="preserve">Athletic performance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Defend</w:t>
            </w:r>
          </w:p>
        </w:tc>
        <w:tc>
          <w:tcPr/>
          <w:p>
            <w:pPr>
              <w:pStyle w:val="Compact"/>
            </w:pPr>
            <w:r>
              <w:t xml:space="preserve">Immune</w:t>
            </w:r>
          </w:p>
        </w:tc>
        <w:tc>
          <w:tcPr/>
          <w:p>
            <w:pPr>
              <w:pStyle w:val="Compact"/>
            </w:pPr>
            <w:r>
              <w:t xml:space="preserve">VTT mechanism</w:t>
            </w:r>
          </w:p>
        </w:tc>
        <w:tc>
          <w:tcPr/>
          <w:p>
            <w:pPr>
              <w:pStyle w:val="Compact"/>
            </w:pPr>
            <w:r>
              <w:t xml:space="preserve">Wellness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Ignite</w:t>
            </w:r>
          </w:p>
        </w:tc>
        <w:tc>
          <w:tcPr/>
          <w:p>
            <w:pPr>
              <w:pStyle w:val="Compact"/>
            </w:pPr>
            <w:r>
              <w:t xml:space="preserve">Metabolism</w:t>
            </w:r>
          </w:p>
        </w:tc>
        <w:tc>
          <w:tcPr/>
          <w:p>
            <w:pPr>
              <w:pStyle w:val="Compact"/>
            </w:pPr>
            <w:r>
              <w:t xml:space="preserve">VTT mechanism</w:t>
            </w:r>
          </w:p>
        </w:tc>
        <w:tc>
          <w:tcPr/>
          <w:p>
            <w:pPr>
              <w:pStyle w:val="Compact"/>
            </w:pPr>
            <w:r>
              <w:t xml:space="preserve">Metabolic pathway activation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Kick It</w:t>
            </w:r>
          </w:p>
        </w:tc>
        <w:tc>
          <w:tcPr/>
          <w:p>
            <w:pPr>
              <w:pStyle w:val="Compact"/>
            </w:pPr>
            <w:r>
              <w:t xml:space="preserve">Habits</w:t>
            </w:r>
          </w:p>
        </w:tc>
        <w:tc>
          <w:tcPr/>
          <w:p>
            <w:pPr>
              <w:pStyle w:val="Compact"/>
            </w:pPr>
            <w:r>
              <w:t xml:space="preserve">VTT mechanism</w:t>
            </w:r>
          </w:p>
        </w:tc>
        <w:tc>
          <w:tcPr/>
          <w:p>
            <w:pPr>
              <w:pStyle w:val="Compact"/>
            </w:pPr>
            <w:r>
              <w:t xml:space="preserve">Willpower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Joy</w:t>
            </w:r>
          </w:p>
        </w:tc>
        <w:tc>
          <w:tcPr/>
          <w:p>
            <w:pPr>
              <w:pStyle w:val="Compact"/>
            </w:pPr>
            <w:r>
              <w:t xml:space="preserve">Mood</w:t>
            </w:r>
          </w:p>
        </w:tc>
        <w:tc>
          <w:tcPr/>
          <w:p>
            <w:pPr>
              <w:pStyle w:val="Compact"/>
            </w:pPr>
            <w:r>
              <w:t xml:space="preserve">VTT mechanism</w:t>
            </w:r>
          </w:p>
        </w:tc>
        <w:tc>
          <w:tcPr/>
          <w:p>
            <w:pPr>
              <w:pStyle w:val="Compact"/>
            </w:pPr>
            <w:r>
              <w:t xml:space="preserve">Mood pathway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Lumi</w:t>
            </w:r>
          </w:p>
        </w:tc>
        <w:tc>
          <w:tcPr/>
          <w:p>
            <w:pPr>
              <w:pStyle w:val="Compact"/>
            </w:pPr>
            <w:r>
              <w:t xml:space="preserve">Skin</w:t>
            </w:r>
          </w:p>
        </w:tc>
        <w:tc>
          <w:tcPr/>
          <w:p>
            <w:pPr>
              <w:pStyle w:val="Compact"/>
            </w:pPr>
            <w:r>
              <w:t xml:space="preserve">VTT mechanism</w:t>
            </w:r>
          </w:p>
        </w:tc>
        <w:tc>
          <w:tcPr/>
          <w:p>
            <w:pPr>
              <w:pStyle w:val="Compact"/>
            </w:pPr>
            <w:r>
              <w:t xml:space="preserve">Beauty from within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Rocket</w:t>
            </w:r>
          </w:p>
        </w:tc>
        <w:tc>
          <w:tcPr/>
          <w:p>
            <w:pPr>
              <w:pStyle w:val="Compact"/>
            </w:pPr>
            <w:r>
              <w:t xml:space="preserve">Men’s Health</w:t>
            </w:r>
          </w:p>
        </w:tc>
        <w:tc>
          <w:tcPr/>
          <w:p>
            <w:pPr>
              <w:pStyle w:val="Compact"/>
            </w:pPr>
            <w:r>
              <w:t xml:space="preserve">VTT mechanism</w:t>
            </w:r>
          </w:p>
        </w:tc>
        <w:tc>
          <w:tcPr/>
          <w:p>
            <w:pPr>
              <w:pStyle w:val="Compact"/>
            </w:pPr>
            <w:r>
              <w:t xml:space="preserve">Vitality support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1" w:name="practitioner-talking-points"/>
    <w:p>
      <w:pPr>
        <w:pStyle w:val="Heading2"/>
      </w:pPr>
      <w:r>
        <w:t xml:space="preserve">Practitioner Talking Points</w:t>
      </w:r>
    </w:p>
    <w:bookmarkStart w:id="48" w:name="for-skeptical-colleagues"/>
    <w:p>
      <w:pPr>
        <w:pStyle w:val="Heading3"/>
      </w:pPr>
      <w:r>
        <w:t xml:space="preserve">For Skeptical Colleagues</w:t>
      </w:r>
    </w:p>
    <w:p>
      <w:pPr>
        <w:pStyle w:val="Compact"/>
        <w:numPr>
          <w:ilvl w:val="0"/>
          <w:numId w:val="1017"/>
        </w:numPr>
      </w:pPr>
      <w:r>
        <w:t xml:space="preserve">“The RESTORE study is a double-blind, placebo-controlled RCT published in Pain Therapeutics with ClinicalTrials.gov registration.”</w:t>
      </w:r>
    </w:p>
    <w:p>
      <w:pPr>
        <w:pStyle w:val="Compact"/>
        <w:numPr>
          <w:ilvl w:val="0"/>
          <w:numId w:val="1017"/>
        </w:numPr>
      </w:pPr>
      <w:r>
        <w:t xml:space="preserve">“The technology is based on Nobel Prize-winning mechanoreceptor research.”</w:t>
      </w:r>
    </w:p>
    <w:p>
      <w:pPr>
        <w:pStyle w:val="Compact"/>
        <w:numPr>
          <w:ilvl w:val="0"/>
          <w:numId w:val="1017"/>
        </w:numPr>
      </w:pPr>
      <w:r>
        <w:t xml:space="preserve">“Multiple peer-reviewed publications support VTT efficacy.”</w:t>
      </w:r>
    </w:p>
    <w:bookmarkEnd w:id="48"/>
    <w:bookmarkStart w:id="49" w:name="for-patient-recommendations"/>
    <w:p>
      <w:pPr>
        <w:pStyle w:val="Heading3"/>
      </w:pPr>
      <w:r>
        <w:t xml:space="preserve">For Patient Recommendations</w:t>
      </w:r>
    </w:p>
    <w:p>
      <w:pPr>
        <w:pStyle w:val="Compact"/>
        <w:numPr>
          <w:ilvl w:val="0"/>
          <w:numId w:val="1018"/>
        </w:numPr>
      </w:pPr>
      <w:r>
        <w:t xml:space="preserve">“This offers a drug-free option before escalating to pharmaceuticals.”</w:t>
      </w:r>
    </w:p>
    <w:p>
      <w:pPr>
        <w:pStyle w:val="Compact"/>
        <w:numPr>
          <w:ilvl w:val="0"/>
          <w:numId w:val="1018"/>
        </w:numPr>
      </w:pPr>
      <w:r>
        <w:t xml:space="preserve">“No contraindications with current medications.”</w:t>
      </w:r>
    </w:p>
    <w:p>
      <w:pPr>
        <w:pStyle w:val="Compact"/>
        <w:numPr>
          <w:ilvl w:val="0"/>
          <w:numId w:val="1018"/>
        </w:numPr>
      </w:pPr>
      <w:r>
        <w:t xml:space="preserve">“Minimal side effect profile compared to alternatives.”</w:t>
      </w:r>
    </w:p>
    <w:bookmarkEnd w:id="49"/>
    <w:bookmarkStart w:id="50" w:name="for-practice-integration"/>
    <w:p>
      <w:pPr>
        <w:pStyle w:val="Heading3"/>
      </w:pPr>
      <w:r>
        <w:t xml:space="preserve">For Practice Integration</w:t>
      </w:r>
    </w:p>
    <w:p>
      <w:pPr>
        <w:pStyle w:val="Compact"/>
        <w:numPr>
          <w:ilvl w:val="0"/>
          <w:numId w:val="1019"/>
        </w:numPr>
      </w:pPr>
      <w:r>
        <w:t xml:space="preserve">“Complements existing treatment protocols.”</w:t>
      </w:r>
    </w:p>
    <w:p>
      <w:pPr>
        <w:pStyle w:val="Compact"/>
        <w:numPr>
          <w:ilvl w:val="0"/>
          <w:numId w:val="1019"/>
        </w:numPr>
      </w:pPr>
      <w:r>
        <w:t xml:space="preserve">“Can be used alongside manual therapies, acupuncture, and other modalities.”</w:t>
      </w:r>
    </w:p>
    <w:p>
      <w:pPr>
        <w:pStyle w:val="Compact"/>
        <w:numPr>
          <w:ilvl w:val="0"/>
          <w:numId w:val="1019"/>
        </w:numPr>
      </w:pPr>
      <w:r>
        <w:t xml:space="preserve">“Provides patients with self-care options between visits.”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compiled for Super Patch Healthcare Practitioner Program</w:t>
      </w:r>
      <w:r>
        <w:t xml:space="preserve"> </w:t>
      </w:r>
      <w:r>
        <w:rPr>
          <w:i/>
          <w:iCs/>
        </w:rPr>
        <w:t xml:space="preserve">Clinical evidence current as of 2025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2026-01-05T16:55:46Z</dcterms:created>
  <dcterms:modified xsi:type="dcterms:W3CDTF">2026-01-05T16:55:46Z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