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0ff7f3cc9990fd2d56ce55e3b728798ec8009f"/>
    <w:p>
      <w:pPr>
        <w:pStyle w:val="Heading1"/>
      </w:pPr>
      <w:r>
        <w:t xml:space="preserve">Defend Patch - B2B Healthcare Practitioner Word Track</w:t>
      </w:r>
    </w:p>
    <w:p>
      <w:pPr>
        <w:pStyle w:val="FirstParagraph"/>
      </w:pPr>
      <w:r>
        <w:rPr>
          <w:i/>
          <w:iCs/>
        </w:rPr>
        <w:t xml:space="preserve">Drug-Free Immune &amp; Wellness Support for Your Practice</w:t>
      </w:r>
    </w:p>
    <w:p>
      <w:pPr>
        <w:pStyle w:val="BodyText"/>
      </w:pPr>
      <w:r>
        <w:rPr>
          <w:b/>
          <w:bCs/>
        </w:rPr>
        <w:t xml:space="preserve">Category:</w:t>
      </w:r>
      <w:r>
        <w:t xml:space="preserve"> </w:t>
      </w:r>
      <w:r>
        <w:t xml:space="preserve">Immune Support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42" w:name="Xfae62e24646bdcbea74baecb988c04bac057647"/>
    <w:p>
      <w:pPr>
        <w:pStyle w:val="Heading1"/>
      </w:pPr>
      <w:r>
        <w:t xml:space="preserve">Super Patch Defend: Healthcare Practitioner Sales Guide</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Defend</w:t>
      </w:r>
      <w:r>
        <w:t xml:space="preserve"> </w:t>
      </w:r>
      <w:r>
        <w:t xml:space="preserve">provides drug-free immune and wellness support using Vibrotactile Technology (VTT). For patients seeking to optimize their body’s natural defenses, Defend works through neural pathway support based on Nobel Prize-winning mechanoreceptor research (2021).</w:t>
      </w:r>
    </w:p>
    <w:bookmarkStart w:id="21" w:name="clinical-mechanism"/>
    <w:p>
      <w:pPr>
        <w:pStyle w:val="Heading3"/>
      </w:pPr>
      <w:r>
        <w:t xml:space="preserve">Clinical Mechanism</w:t>
      </w:r>
    </w:p>
    <w:p>
      <w:pPr>
        <w:pStyle w:val="FirstParagraph"/>
      </w:pPr>
      <w:r>
        <w:t xml:space="preserve">Defend utilizes specialized VTT ridge patterns that:</w:t>
      </w:r>
      <w:r>
        <w:t xml:space="preserve"> </w:t>
      </w:r>
      <w:r>
        <w:t xml:space="preserve">- Activate mechanoreceptors influencing wellness pathways</w:t>
      </w:r>
      <w:r>
        <w:t xml:space="preserve"> </w:t>
      </w:r>
      <w:r>
        <w:t xml:space="preserve">- Support neuro-immune communication networks</w:t>
      </w:r>
      <w:r>
        <w:t xml:space="preserve"> </w:t>
      </w:r>
      <w:r>
        <w:t xml:space="preserve">- Optimize the body’s natural defense mechanisms</w:t>
      </w:r>
      <w:r>
        <w:t xml:space="preserve"> </w:t>
      </w:r>
      <w:r>
        <w:t xml:space="preserve">- Provide continuous wellness support without supplements</w:t>
      </w:r>
    </w:p>
    <w:bookmarkEnd w:id="21"/>
    <w:bookmarkStart w:id="22" w:name="key-differentiators"/>
    <w:p>
      <w:pPr>
        <w:pStyle w:val="Heading3"/>
      </w:pPr>
      <w:r>
        <w:t xml:space="preserve">Key Differentiators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Immune Supplements</w:t>
            </w:r>
          </w:p>
        </w:tc>
        <w:tc>
          <w:tcPr/>
          <w:p>
            <w:pPr>
              <w:pStyle w:val="Compact"/>
            </w:pPr>
            <w:r>
              <w:t xml:space="preserve">VTT (Defend)</w:t>
            </w:r>
          </w:p>
        </w:tc>
      </w:tr>
      <w:tr>
        <w:tc>
          <w:tcPr/>
          <w:p>
            <w:pPr>
              <w:pStyle w:val="Compact"/>
            </w:pPr>
            <w:r>
              <w:t xml:space="preserve">Mechanism</w:t>
            </w:r>
          </w:p>
        </w:tc>
        <w:tc>
          <w:tcPr/>
          <w:p>
            <w:pPr>
              <w:pStyle w:val="Compact"/>
            </w:pPr>
            <w:r>
              <w:t xml:space="preserve">Nutrient delivery</w:t>
            </w:r>
          </w:p>
        </w:tc>
        <w:tc>
          <w:tcPr/>
          <w:p>
            <w:pPr>
              <w:pStyle w:val="Compact"/>
            </w:pPr>
            <w:r>
              <w:t xml:space="preserve">Neural optimization</w:t>
            </w:r>
          </w:p>
        </w:tc>
      </w:tr>
      <w:tr>
        <w:tc>
          <w:tcPr/>
          <w:p>
            <w:pPr>
              <w:pStyle w:val="Compact"/>
            </w:pPr>
            <w:r>
              <w:t xml:space="preserve">Interactions</w:t>
            </w:r>
          </w:p>
        </w:tc>
        <w:tc>
          <w:tcPr/>
          <w:p>
            <w:pPr>
              <w:pStyle w:val="Compact"/>
            </w:pPr>
            <w:r>
              <w:t xml:space="preserve">Possible</w:t>
            </w:r>
          </w:p>
        </w:tc>
        <w:tc>
          <w:tcPr/>
          <w:p>
            <w:pPr>
              <w:pStyle w:val="Compact"/>
            </w:pPr>
            <w:r>
              <w:t xml:space="preserve">None</w:t>
            </w:r>
          </w:p>
        </w:tc>
      </w:tr>
      <w:tr>
        <w:tc>
          <w:tcPr/>
          <w:p>
            <w:pPr>
              <w:pStyle w:val="Compact"/>
            </w:pPr>
            <w:r>
              <w:t xml:space="preserve">Dosing</w:t>
            </w:r>
          </w:p>
        </w:tc>
        <w:tc>
          <w:tcPr/>
          <w:p>
            <w:pPr>
              <w:pStyle w:val="Compact"/>
            </w:pPr>
            <w:r>
              <w:t xml:space="preserve">Daily intake</w:t>
            </w:r>
          </w:p>
        </w:tc>
        <w:tc>
          <w:tcPr/>
          <w:p>
            <w:pPr>
              <w:pStyle w:val="Compact"/>
            </w:pPr>
            <w:r>
              <w:t xml:space="preserve">Continuous support</w:t>
            </w:r>
          </w:p>
        </w:tc>
      </w:tr>
      <w:tr>
        <w:tc>
          <w:tcPr/>
          <w:p>
            <w:pPr>
              <w:pStyle w:val="Compact"/>
            </w:pPr>
            <w:r>
              <w:t xml:space="preserve">Quality Concerns</w:t>
            </w:r>
          </w:p>
        </w:tc>
        <w:tc>
          <w:tcPr/>
          <w:p>
            <w:pPr>
              <w:pStyle w:val="Compact"/>
            </w:pPr>
            <w:r>
              <w:t xml:space="preserve">Variable</w:t>
            </w:r>
          </w:p>
        </w:tc>
        <w:tc>
          <w:tcPr/>
          <w:p>
            <w:pPr>
              <w:pStyle w:val="Compact"/>
            </w:pPr>
            <w:r>
              <w:t xml:space="preserve">Consistent</w:t>
            </w:r>
          </w:p>
        </w:tc>
      </w:tr>
      <w:tr>
        <w:tc>
          <w:tcPr/>
          <w:p>
            <w:pPr>
              <w:pStyle w:val="Compact"/>
            </w:pPr>
            <w:r>
              <w:t xml:space="preserve">Contraindications</w:t>
            </w:r>
          </w:p>
        </w:tc>
        <w:tc>
          <w:tcPr/>
          <w:p>
            <w:pPr>
              <w:pStyle w:val="Compact"/>
            </w:pPr>
            <w:r>
              <w:t xml:space="preserve">Some</w:t>
            </w:r>
          </w:p>
        </w:tc>
        <w:tc>
          <w:tcPr/>
          <w:p>
            <w:pPr>
              <w:pStyle w:val="Compact"/>
            </w:pPr>
            <w:r>
              <w:t xml:space="preserve">None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Complementary Support:</w:t>
      </w:r>
      <w:r>
        <w:t xml:space="preserve"> </w:t>
      </w:r>
      <w:r>
        <w:t xml:space="preserve">Enhances immune-focused protocols</w:t>
      </w:r>
    </w:p>
    <w:p>
      <w:pPr>
        <w:pStyle w:val="Compact"/>
        <w:numPr>
          <w:ilvl w:val="0"/>
          <w:numId w:val="1001"/>
        </w:numPr>
      </w:pPr>
      <w:r>
        <w:rPr>
          <w:b/>
          <w:bCs/>
        </w:rPr>
        <w:t xml:space="preserve">No Interactions:</w:t>
      </w:r>
      <w:r>
        <w:t xml:space="preserve"> </w:t>
      </w:r>
      <w:r>
        <w:t xml:space="preserve">Safe alongside all treatments</w:t>
      </w:r>
    </w:p>
    <w:p>
      <w:pPr>
        <w:pStyle w:val="Compact"/>
        <w:numPr>
          <w:ilvl w:val="0"/>
          <w:numId w:val="1001"/>
        </w:numPr>
      </w:pPr>
      <w:r>
        <w:rPr>
          <w:b/>
          <w:bCs/>
        </w:rPr>
        <w:t xml:space="preserve">Wellness Maintenance:</w:t>
      </w:r>
      <w:r>
        <w:t xml:space="preserve"> </w:t>
      </w:r>
      <w:r>
        <w:t xml:space="preserve">Proactive patient self-care</w:t>
      </w:r>
    </w:p>
    <w:p>
      <w:pPr>
        <w:pStyle w:val="Compact"/>
        <w:numPr>
          <w:ilvl w:val="0"/>
          <w:numId w:val="1001"/>
        </w:numPr>
      </w:pPr>
      <w:r>
        <w:rPr>
          <w:b/>
          <w:bCs/>
        </w:rPr>
        <w:t xml:space="preserve">No Supplement Fatigue:</w:t>
      </w:r>
      <w:r>
        <w:t xml:space="preserve"> </w:t>
      </w:r>
      <w:r>
        <w:t xml:space="preserve">One patch vs. multiple pills</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Defend Fits</w:t>
            </w:r>
          </w:p>
        </w:tc>
      </w:tr>
      <w:tr>
        <w:tc>
          <w:tcPr/>
          <w:p>
            <w:pPr>
              <w:pStyle w:val="Compact"/>
            </w:pPr>
            <w:r>
              <w:rPr>
                <w:b/>
                <w:bCs/>
              </w:rPr>
              <w:t xml:space="preserve">Naturopaths</w:t>
            </w:r>
          </w:p>
        </w:tc>
        <w:tc>
          <w:tcPr/>
          <w:p>
            <w:pPr>
              <w:pStyle w:val="Compact"/>
            </w:pPr>
            <w:r>
              <w:t xml:space="preserve">Immune optimization focus</w:t>
            </w:r>
          </w:p>
        </w:tc>
      </w:tr>
      <w:tr>
        <w:tc>
          <w:tcPr/>
          <w:p>
            <w:pPr>
              <w:pStyle w:val="Compact"/>
            </w:pPr>
            <w:r>
              <w:rPr>
                <w:b/>
                <w:bCs/>
              </w:rPr>
              <w:t xml:space="preserve">Functional Medicine</w:t>
            </w:r>
          </w:p>
        </w:tc>
        <w:tc>
          <w:tcPr/>
          <w:p>
            <w:pPr>
              <w:pStyle w:val="Compact"/>
            </w:pPr>
            <w:r>
              <w:t xml:space="preserve">Wellness and prevention protocols</w:t>
            </w:r>
          </w:p>
        </w:tc>
      </w:tr>
      <w:tr>
        <w:tc>
          <w:tcPr/>
          <w:p>
            <w:pPr>
              <w:pStyle w:val="Compact"/>
            </w:pPr>
            <w:r>
              <w:rPr>
                <w:b/>
                <w:bCs/>
              </w:rPr>
              <w:t xml:space="preserve">Integrative Medicine</w:t>
            </w:r>
          </w:p>
        </w:tc>
        <w:tc>
          <w:tcPr/>
          <w:p>
            <w:pPr>
              <w:pStyle w:val="Compact"/>
            </w:pPr>
            <w:r>
              <w:t xml:space="preserve">Multi-modal immune support</w:t>
            </w:r>
          </w:p>
        </w:tc>
      </w:tr>
      <w:tr>
        <w:tc>
          <w:tcPr/>
          <w:p>
            <w:pPr>
              <w:pStyle w:val="Compact"/>
            </w:pPr>
            <w:r>
              <w:rPr>
                <w:b/>
                <w:bCs/>
              </w:rPr>
              <w:t xml:space="preserve">Acupuncturists</w:t>
            </w:r>
          </w:p>
        </w:tc>
        <w:tc>
          <w:tcPr/>
          <w:p>
            <w:pPr>
              <w:pStyle w:val="Compact"/>
            </w:pPr>
            <w:r>
              <w:t xml:space="preserve">Complements immune/wei qi work</w:t>
            </w:r>
          </w:p>
        </w:tc>
      </w:tr>
      <w:tr>
        <w:tc>
          <w:tcPr/>
          <w:p>
            <w:pPr>
              <w:pStyle w:val="Compact"/>
            </w:pPr>
            <w:r>
              <w:rPr>
                <w:b/>
                <w:bCs/>
              </w:rPr>
              <w:t xml:space="preserve">Chiropractors</w:t>
            </w:r>
          </w:p>
        </w:tc>
        <w:tc>
          <w:tcPr/>
          <w:p>
            <w:pPr>
              <w:pStyle w:val="Compact"/>
            </w:pPr>
            <w:r>
              <w:t xml:space="preserve">Nervous system affects immunity</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“Patients want immune support but are overwhelmed by supplements.”</w:t>
      </w:r>
    </w:p>
    <w:p>
      <w:pPr>
        <w:pStyle w:val="Compact"/>
        <w:numPr>
          <w:ilvl w:val="0"/>
          <w:numId w:val="1002"/>
        </w:numPr>
      </w:pPr>
      <w:r>
        <w:t xml:space="preserve">“I need options without drug interactions for medically complex patients.”</w:t>
      </w:r>
    </w:p>
    <w:p>
      <w:pPr>
        <w:pStyle w:val="Compact"/>
        <w:numPr>
          <w:ilvl w:val="0"/>
          <w:numId w:val="1002"/>
        </w:numPr>
      </w:pPr>
      <w:r>
        <w:t xml:space="preserve">“Wellness maintenance between visits is challenging.”</w:t>
      </w:r>
    </w:p>
    <w:p>
      <w:pPr>
        <w:pStyle w:val="Compact"/>
        <w:numPr>
          <w:ilvl w:val="0"/>
          <w:numId w:val="1002"/>
        </w:numPr>
      </w:pPr>
      <w:r>
        <w:t xml:space="preserve">“Patients don’t comply with complicated supplement regimens.”</w:t>
      </w:r>
    </w:p>
    <w:p>
      <w:pPr>
        <w:pStyle w:val="Compact"/>
        <w:numPr>
          <w:ilvl w:val="0"/>
          <w:numId w:val="1002"/>
        </w:numPr>
      </w:pPr>
      <w:r>
        <w:t xml:space="preserve">“I want drug-free immune support options.”</w:t>
      </w:r>
    </w:p>
    <w:p>
      <w:r>
        <w:pict>
          <v:rect style="width:0;height:1.5pt" o:hralign="center" o:hrstd="t" o:hr="t"/>
        </w:pict>
      </w:r>
    </w:p>
    <w:bookmarkEnd w:id="26"/>
    <w:bookmarkEnd w:id="27"/>
    <w:bookmarkStart w:id="30" w:name="opening-scripts"/>
    <w:p>
      <w:pPr>
        <w:pStyle w:val="Heading2"/>
      </w:pPr>
      <w:r>
        <w:t xml:space="preserve">3. OPENING SCRIPTS</w:t>
      </w:r>
    </w:p>
    <w:bookmarkStart w:id="28" w:name="cold-call"/>
    <w:p>
      <w:pPr>
        <w:pStyle w:val="Heading3"/>
      </w:pPr>
      <w:r>
        <w:t xml:space="preserve">1. Cold Call</w:t>
      </w:r>
    </w:p>
    <w:p>
      <w:pPr>
        <w:pStyle w:val="FirstParagraph"/>
      </w:pPr>
      <w:r>
        <w:t xml:space="preserve">“Good morning, this is [Your Name] from Super Patch. I’m reaching out because immune and wellness support is a growing focus for practitioners. Our Defend patch uses Vibrotactile Technology to support the body’s natural defenses – drug-free, no interactions with medications or supplements. Do you have patients looking for simple immune support options?”</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Simple Immune Support for Your Wellness Patients</w:t>
      </w:r>
    </w:p>
    <w:p>
      <w:pPr>
        <w:pStyle w:val="BodyText"/>
      </w:pPr>
      <w:r>
        <w:t xml:space="preserve">“Dr. [Name],</w:t>
      </w:r>
    </w:p>
    <w:p>
      <w:pPr>
        <w:pStyle w:val="BodyText"/>
      </w:pPr>
      <w:r>
        <w:t xml:space="preserve">Patients increasingly want immune optimization, but supplement regimens are complex and compliance is challenging. Many also have medication interactions to consider.</w:t>
      </w:r>
    </w:p>
    <w:p>
      <w:pPr>
        <w:pStyle w:val="BodyText"/>
      </w:pPr>
      <w:r>
        <w:t xml:space="preserve">Our Defend patch uses Vibrotactile Technology – neural pathway support for the body’s natural defenses. One patch, no pills, no interactions.</w:t>
      </w:r>
    </w:p>
    <w:p>
      <w:pPr>
        <w:pStyle w:val="BodyText"/>
      </w:pPr>
      <w:r>
        <w:t xml:space="preserve">Would you be open to discussing how this could simplify immune support for your patients?</w:t>
      </w:r>
    </w:p>
    <w:p>
      <w:pPr>
        <w:pStyle w:val="BodyText"/>
      </w:pPr>
      <w:r>
        <w:t xml:space="preserve">Best regards,</w:t>
      </w:r>
      <w:r>
        <w:t xml:space="preserve"> </w:t>
      </w:r>
      <w:r>
        <w:t xml:space="preserve">[Your Name]”</w:t>
      </w:r>
    </w:p>
    <w:p>
      <w:r>
        <w:pict>
          <v:rect style="width:0;height:1.5pt" o:hralign="center" o:hrstd="t" o:hr="t"/>
        </w:pict>
      </w:r>
    </w:p>
    <w:bookmarkEnd w:id="29"/>
    <w:bookmarkEnd w:id="30"/>
    <w:bookmarkStart w:id="31" w:name="discovery-questions"/>
    <w:p>
      <w:pPr>
        <w:pStyle w:val="Heading2"/>
      </w:pPr>
      <w:r>
        <w:t xml:space="preserve">4. DISCOVERY QUESTIONS</w:t>
      </w:r>
    </w:p>
    <w:p>
      <w:pPr>
        <w:pStyle w:val="Compact"/>
        <w:numPr>
          <w:ilvl w:val="0"/>
          <w:numId w:val="1003"/>
        </w:numPr>
      </w:pPr>
      <w:r>
        <w:t xml:space="preserve">“How important is immune support in your patient population?”</w:t>
      </w:r>
    </w:p>
    <w:p>
      <w:pPr>
        <w:pStyle w:val="Compact"/>
        <w:numPr>
          <w:ilvl w:val="0"/>
          <w:numId w:val="1003"/>
        </w:numPr>
      </w:pPr>
      <w:r>
        <w:t xml:space="preserve">“What challenges do you face with supplement compliance for immune protocols?”</w:t>
      </w:r>
    </w:p>
    <w:p>
      <w:pPr>
        <w:pStyle w:val="Compact"/>
        <w:numPr>
          <w:ilvl w:val="0"/>
          <w:numId w:val="1003"/>
        </w:numPr>
      </w:pPr>
      <w:r>
        <w:t xml:space="preserve">“Do medication interactions limit immune support options for some patients?”</w:t>
      </w:r>
    </w:p>
    <w:p>
      <w:pPr>
        <w:pStyle w:val="Compact"/>
        <w:numPr>
          <w:ilvl w:val="0"/>
          <w:numId w:val="1003"/>
        </w:numPr>
      </w:pPr>
      <w:r>
        <w:t xml:space="preserve">“Are patients asking for simpler ways to support their immune health?”</w:t>
      </w:r>
    </w:p>
    <w:p>
      <w:pPr>
        <w:pStyle w:val="Compact"/>
        <w:numPr>
          <w:ilvl w:val="0"/>
          <w:numId w:val="1003"/>
        </w:numPr>
      </w:pPr>
      <w:r>
        <w:t xml:space="preserve">“Would a drug-free, interaction-free immune support option fit your practice?”</w:t>
      </w:r>
    </w:p>
    <w:p>
      <w:r>
        <w:pict>
          <v:rect style="width:0;height:1.5pt" o:hralign="center" o:hrstd="t" o:hr="t"/>
        </w:pict>
      </w:r>
    </w:p>
    <w:bookmarkEnd w:id="31"/>
    <w:bookmarkStart w:id="32" w:name="product-presentation-2-minute"/>
    <w:p>
      <w:pPr>
        <w:pStyle w:val="Heading2"/>
      </w:pPr>
      <w:r>
        <w:t xml:space="preserve">5. PRODUCT PRESENTATION (2-Minute)</w:t>
      </w:r>
    </w:p>
    <w:p>
      <w:pPr>
        <w:pStyle w:val="FirstParagraph"/>
      </w:pPr>
      <w:r>
        <w:rPr>
          <w:b/>
          <w:bCs/>
        </w:rPr>
        <w:t xml:space="preserve">[PROBLEM]</w:t>
      </w:r>
      <w:r>
        <w:t xml:space="preserve"> </w:t>
      </w:r>
      <w:r>
        <w:t xml:space="preserve">“Immune support is a priority for patients, but implementation is challenging. Complex supplement regimens have poor compliance. Quality varies dramatically across brands. And for medically complex patients, interactions are a constant concern. Patients want protection but struggle with execution.”</w:t>
      </w:r>
    </w:p>
    <w:p>
      <w:pPr>
        <w:pStyle w:val="BodyText"/>
      </w:pPr>
      <w:r>
        <w:rPr>
          <w:b/>
          <w:bCs/>
        </w:rPr>
        <w:t xml:space="preserve">[SOLUTION]</w:t>
      </w:r>
      <w:r>
        <w:t xml:space="preserve"> </w:t>
      </w:r>
      <w:r>
        <w:t xml:space="preserve">“Defend uses Vibrotactile Technology to support the body’s natural defense systems through neural pathway optimization. Based on Nobel Prize-winning mechanoreceptor research, it provides continuous immune support without supplements, without interactions, and without compliance challenges.</w:t>
      </w:r>
    </w:p>
    <w:p>
      <w:pPr>
        <w:pStyle w:val="BodyText"/>
      </w:pPr>
      <w:r>
        <w:t xml:space="preserve">For your practice: a simple immune support option, works alongside any protocol, 25% practitioner margin. Would you like to make this available to your wellness-focused patients?”</w:t>
      </w:r>
    </w:p>
    <w:p>
      <w:r>
        <w:pict>
          <v:rect style="width:0;height:1.5pt" o:hralign="center" o:hrstd="t" o:hr="t"/>
        </w:pict>
      </w:r>
    </w:p>
    <w:bookmarkEnd w:id="32"/>
    <w:bookmarkStart w:id="36" w:name="objection-handling"/>
    <w:p>
      <w:pPr>
        <w:pStyle w:val="Heading2"/>
      </w:pPr>
      <w:r>
        <w:t xml:space="preserve">6. OBJECTION HANDLING</w:t>
      </w:r>
    </w:p>
    <w:bookmarkStart w:id="33" w:name="X052c4a8bcb2524e3311848b80221624632d77b1"/>
    <w:p>
      <w:pPr>
        <w:pStyle w:val="Heading3"/>
      </w:pPr>
      <w:r>
        <w:t xml:space="preserve">“Immune support requires proper nutrition and lifestyle.”</w:t>
      </w:r>
    </w:p>
    <w:p>
      <w:pPr>
        <w:pStyle w:val="FirstParagraph"/>
      </w:pPr>
      <w:r>
        <w:rPr>
          <w:b/>
          <w:bCs/>
        </w:rPr>
        <w:t xml:space="preserve">Response:</w:t>
      </w:r>
      <w:r>
        <w:t xml:space="preserve"> </w:t>
      </w:r>
      <w:r>
        <w:t xml:space="preserve">“Absolutely – and Defend complements those foundations. It’s not a replacement for good nutrition, sleep, and exercise; it’s an additional layer of support. For patients who are doing the fundamentals, Defend optimizes their body’s response. For those who struggle with compliance, it provides consistent support while you work on lifestyle factors.”</w:t>
      </w:r>
    </w:p>
    <w:bookmarkEnd w:id="33"/>
    <w:bookmarkStart w:id="34" w:name="X22b282aa8e5f2f33269fd3074f496eddb32d1f5"/>
    <w:p>
      <w:pPr>
        <w:pStyle w:val="Heading3"/>
      </w:pPr>
      <w:r>
        <w:t xml:space="preserve">“How can a patch support immunity without delivering nutrients?”</w:t>
      </w:r>
    </w:p>
    <w:p>
      <w:pPr>
        <w:pStyle w:val="FirstParagraph"/>
      </w:pPr>
      <w:r>
        <w:rPr>
          <w:b/>
          <w:bCs/>
        </w:rPr>
        <w:t xml:space="preserve">Response:</w:t>
      </w:r>
      <w:r>
        <w:t xml:space="preserve"> </w:t>
      </w:r>
      <w:r>
        <w:t xml:space="preserve">“VTT works through neural pathway optimization. The nervous system plays a critical role in immune regulation – neuro-immune communication is well-established in the literature. By supporting these neural pathways, Defend helps optimize the body’s coordinated immune response. It’s a different mechanism than nutrient delivery, but validated by mechanoreceptor research.”</w:t>
      </w:r>
    </w:p>
    <w:bookmarkEnd w:id="34"/>
    <w:bookmarkStart w:id="35" w:name="X3b2283e37d434e0db57e91f9609ff8b911b5ce4"/>
    <w:p>
      <w:pPr>
        <w:pStyle w:val="Heading3"/>
      </w:pPr>
      <w:r>
        <w:t xml:space="preserve">“I already have comprehensive immune protocols.”</w:t>
      </w:r>
    </w:p>
    <w:p>
      <w:pPr>
        <w:pStyle w:val="FirstParagraph"/>
      </w:pPr>
      <w:r>
        <w:rPr>
          <w:b/>
          <w:bCs/>
        </w:rPr>
        <w:t xml:space="preserve">Response:</w:t>
      </w:r>
      <w:r>
        <w:t xml:space="preserve"> </w:t>
      </w:r>
      <w:r>
        <w:t xml:space="preserve">“Defend can integrate with your existing protocols. It doesn’t replace what you’re doing; it adds another layer of support. And for patients who struggle with the complexity of your full protocol, it provides a simple baseline while you work toward full compliance.”</w:t>
      </w:r>
    </w:p>
    <w:p>
      <w:r>
        <w:pict>
          <v:rect style="width:0;height:1.5pt" o:hralign="center" o:hrstd="t" o:hr="t"/>
        </w:pict>
      </w:r>
    </w:p>
    <w:bookmarkEnd w:id="35"/>
    <w:bookmarkEnd w:id="36"/>
    <w:bookmarkStart w:id="39" w:name="closing-scripts"/>
    <w:p>
      <w:pPr>
        <w:pStyle w:val="Heading2"/>
      </w:pPr>
      <w:r>
        <w:t xml:space="preserve">7. CLOSING SCRIPTS</w:t>
      </w:r>
    </w:p>
    <w:bookmarkStart w:id="37" w:name="the-simplicity-close"/>
    <w:p>
      <w:pPr>
        <w:pStyle w:val="Heading3"/>
      </w:pPr>
      <w:r>
        <w:t xml:space="preserve">The Simplicity Close</w:t>
      </w:r>
    </w:p>
    <w:p>
      <w:pPr>
        <w:pStyle w:val="FirstParagraph"/>
      </w:pPr>
      <w:r>
        <w:t xml:space="preserve">“For patients overwhelmed by immune supplement regimens, Defend offers simple, consistent support. Would you like to add this to your wellness options at your 25% discount?”</w:t>
      </w:r>
    </w:p>
    <w:bookmarkEnd w:id="37"/>
    <w:bookmarkStart w:id="38" w:name="the-no-interaction-close"/>
    <w:p>
      <w:pPr>
        <w:pStyle w:val="Heading3"/>
      </w:pPr>
      <w:r>
        <w:t xml:space="preserve">The No-Interaction Close</w:t>
      </w:r>
    </w:p>
    <w:p>
      <w:pPr>
        <w:pStyle w:val="FirstParagraph"/>
      </w:pPr>
      <w:r>
        <w:t xml:space="preserve">“For medically complex patients where interactions limit options, Defend provides immune support without contraindications. Should I set up your practitioner account?”</w:t>
      </w:r>
    </w:p>
    <w:p>
      <w:r>
        <w:pict>
          <v:rect style="width:0;height:1.5pt" o:hralign="center" o:hrstd="t" o:hr="t"/>
        </w:pict>
      </w:r>
    </w:p>
    <w:bookmarkEnd w:id="38"/>
    <w:bookmarkEnd w:id="39"/>
    <w:bookmarkStart w:id="41" w:name="quick-reference-card"/>
    <w:p>
      <w:pPr>
        <w:pStyle w:val="Heading2"/>
      </w:pPr>
      <w:r>
        <w:t xml:space="preserve">8. QUICK REFERENCE CARD</w:t>
      </w:r>
    </w:p>
    <w:bookmarkStart w:id="40" w:name="defend-b2b-cheat-sheet"/>
    <w:p>
      <w:pPr>
        <w:pStyle w:val="Heading3"/>
      </w:pPr>
      <w:r>
        <w:t xml:space="preserve">DEFEND B2B CHEAT SHEET</w:t>
      </w:r>
    </w:p>
    <w:p>
      <w:pPr>
        <w:pStyle w:val="FirstParagraph"/>
      </w:pPr>
      <w:r>
        <w:rPr>
          <w:b/>
          <w:bCs/>
        </w:rPr>
        <w:t xml:space="preserve">KEY BENEFITS:</w:t>
      </w:r>
      <w:r>
        <w:t xml:space="preserve"> </w:t>
      </w:r>
      <w:r>
        <w:t xml:space="preserve">1. Drug-free immune and wellness support</w:t>
      </w:r>
      <w:r>
        <w:t xml:space="preserve"> </w:t>
      </w:r>
      <w:r>
        <w:t xml:space="preserve">2. No interactions with medications or supplements</w:t>
      </w:r>
      <w:r>
        <w:t xml:space="preserve"> </w:t>
      </w:r>
      <w:r>
        <w:t xml:space="preserve">3. Simple compliance – one patch vs. multiple pills</w:t>
      </w:r>
    </w:p>
    <w:p>
      <w:pPr>
        <w:pStyle w:val="BodyText"/>
      </w:pPr>
      <w:r>
        <w:rPr>
          <w:b/>
          <w:bCs/>
        </w:rPr>
        <w:t xml:space="preserve">BEST DISCOVERY QUESTION:</w:t>
      </w:r>
      <w:r>
        <w:t xml:space="preserve"> </w:t>
      </w:r>
      <w:r>
        <w:t xml:space="preserve">“What challenges do you face with supplement compliance for immune protocols?”</w:t>
      </w:r>
    </w:p>
    <w:p>
      <w:pPr>
        <w:pStyle w:val="BodyText"/>
      </w:pPr>
      <w:r>
        <w:rPr>
          <w:b/>
          <w:bCs/>
        </w:rPr>
        <w:t xml:space="preserve">TOP OBJECTION RESPONSE:</w:t>
      </w:r>
      <w:r>
        <w:t xml:space="preserve"> </w:t>
      </w:r>
      <w:r>
        <w:t xml:space="preserve">“Need nutrition and lifestyle”</w:t>
      </w:r>
      <w:r>
        <w:t xml:space="preserve"> </w:t>
      </w:r>
      <w:r>
        <w:t xml:space="preserve">→ Defend complements foundations; adds support layer</w:t>
      </w:r>
    </w:p>
    <w:p>
      <w:pPr>
        <w:pStyle w:val="BodyText"/>
      </w:pPr>
      <w:r>
        <w:rPr>
          <w:b/>
          <w:bCs/>
        </w:rPr>
        <w:t xml:space="preserve">BEST CLOSE:</w:t>
      </w:r>
      <w:r>
        <w:t xml:space="preserve"> </w:t>
      </w:r>
      <w:r>
        <w:t xml:space="preserve">“Simple immune support without supplement complexity.”</w:t>
      </w:r>
    </w:p>
    <w:p>
      <w:r>
        <w:pict>
          <v:rect style="width:0;height:1.5pt" o:hralign="center" o:hrstd="t" o:hr="t"/>
        </w:pict>
      </w:r>
    </w:p>
    <w:p>
      <w:pPr>
        <w:pStyle w:val="FirstParagraph"/>
      </w:pPr>
      <w:r>
        <w:rPr>
          <w:i/>
          <w:iCs/>
        </w:rPr>
        <w:t xml:space="preserve">B2B Sales Document - Super Patch Healthcare Practitioner Program</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