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f239ca734fbf297a9890c8fa36fdb65eae4fb0"/>
    <w:p>
      <w:pPr>
        <w:pStyle w:val="Heading1"/>
      </w:pPr>
      <w:r>
        <w:t xml:space="preserve">Focus Patch - B2B Healthcare Practitioner Word Track</w:t>
      </w:r>
    </w:p>
    <w:p>
      <w:pPr>
        <w:pStyle w:val="FirstParagraph"/>
      </w:pPr>
      <w:r>
        <w:rPr>
          <w:i/>
          <w:iCs/>
        </w:rPr>
        <w:t xml:space="preserve">Drug-Free Concentration Support for Your Practice</w:t>
      </w:r>
    </w:p>
    <w:p>
      <w:pPr>
        <w:pStyle w:val="BodyText"/>
      </w:pPr>
      <w:r>
        <w:rPr>
          <w:b/>
          <w:bCs/>
        </w:rPr>
        <w:t xml:space="preserve">Category:</w:t>
      </w:r>
      <w:r>
        <w:t xml:space="preserve"> </w:t>
      </w:r>
      <w:r>
        <w:t xml:space="preserve">Focus &amp; Attention |</w:t>
      </w:r>
      <w:r>
        <w:t xml:space="preserve"> </w:t>
      </w:r>
      <w:r>
        <w:rPr>
          <w:b/>
          <w:bCs/>
        </w:rPr>
        <w:t xml:space="preserve">Technology:</w:t>
      </w:r>
      <w:r>
        <w:t xml:space="preserve"> </w:t>
      </w:r>
      <w:r>
        <w:t xml:space="preserve">VTT (Vibrotactile Technology) |</w:t>
      </w:r>
      <w:r>
        <w:t xml:space="preserve"> </w:t>
      </w:r>
      <w:r>
        <w:rPr>
          <w:b/>
          <w:bCs/>
        </w:rPr>
        <w:t xml:space="preserve">Practitioner Discount:</w:t>
      </w:r>
      <w:r>
        <w:t xml:space="preserve"> </w:t>
      </w:r>
      <w:r>
        <w:t xml:space="preserve">25%</w:t>
      </w:r>
    </w:p>
    <w:p>
      <w:r>
        <w:pict>
          <v:rect style="width:0;height:1.5pt" o:hralign="center" o:hrstd="t" o:hr="t"/>
        </w:pict>
      </w:r>
    </w:p>
    <w:bookmarkEnd w:id="20"/>
    <w:bookmarkStart w:id="42" w:name="X59f5f6876461ed657cbd32b69838ef1781a119b"/>
    <w:p>
      <w:pPr>
        <w:pStyle w:val="Heading1"/>
      </w:pPr>
      <w:r>
        <w:t xml:space="preserve">Super Patch Focus: Healthcare Practitioner Sales Guide</w:t>
      </w:r>
    </w:p>
    <w:p>
      <w:r>
        <w:pict>
          <v:rect style="width:0;height:1.5pt" o:hralign="center" o:hrstd="t" o:hr="t"/>
        </w:pict>
      </w:r>
    </w:p>
    <w:bookmarkStart w:id="24" w:name="product-overview-clinical-focus"/>
    <w:p>
      <w:pPr>
        <w:pStyle w:val="Heading2"/>
      </w:pPr>
      <w:r>
        <w:t xml:space="preserve">1. PRODUCT OVERVIEW (Clinical Focus)</w:t>
      </w:r>
    </w:p>
    <w:p>
      <w:pPr>
        <w:pStyle w:val="FirstParagraph"/>
      </w:pPr>
      <w:r>
        <w:rPr>
          <w:b/>
          <w:bCs/>
        </w:rPr>
        <w:t xml:space="preserve">Focus</w:t>
      </w:r>
      <w:r>
        <w:t xml:space="preserve"> </w:t>
      </w:r>
      <w:r>
        <w:t xml:space="preserve">provides drug-free concentration and attention support using Vibrotactile Technology (VTT). Ideal for patients seeking cognitive support without stimulant medications, Focus works through neural pathway activation based on Nobel Prize-winning mechanoreceptor research (2021).</w:t>
      </w:r>
    </w:p>
    <w:bookmarkStart w:id="21" w:name="clinical-mechanism"/>
    <w:p>
      <w:pPr>
        <w:pStyle w:val="Heading3"/>
      </w:pPr>
      <w:r>
        <w:t xml:space="preserve">Clinical Mechanism</w:t>
      </w:r>
    </w:p>
    <w:p>
      <w:pPr>
        <w:pStyle w:val="FirstParagraph"/>
      </w:pPr>
      <w:r>
        <w:t xml:space="preserve">Focus utilizes specialized VTT ridge patterns that:</w:t>
      </w:r>
      <w:r>
        <w:t xml:space="preserve"> </w:t>
      </w:r>
      <w:r>
        <w:t xml:space="preserve">- Activate mechanoreceptors influencing cognitive pathways</w:t>
      </w:r>
      <w:r>
        <w:t xml:space="preserve"> </w:t>
      </w:r>
      <w:r>
        <w:t xml:space="preserve">- Support attention and concentration neural networks</w:t>
      </w:r>
      <w:r>
        <w:t xml:space="preserve"> </w:t>
      </w:r>
      <w:r>
        <w:t xml:space="preserve">- Enhance mental clarity without stimulant effects</w:t>
      </w:r>
      <w:r>
        <w:t xml:space="preserve"> </w:t>
      </w:r>
      <w:r>
        <w:t xml:space="preserve">- Provide sustained focus without dependency</w:t>
      </w:r>
    </w:p>
    <w:bookmarkEnd w:id="21"/>
    <w:bookmarkStart w:id="22" w:name="key-differentiators"/>
    <w:p>
      <w:pPr>
        <w:pStyle w:val="Heading3"/>
      </w:pPr>
      <w:r>
        <w:t xml:space="preserve">Key Differentiators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Stimulant Medications</w:t>
            </w:r>
          </w:p>
        </w:tc>
        <w:tc>
          <w:tcPr/>
          <w:p>
            <w:pPr>
              <w:pStyle w:val="Compact"/>
            </w:pPr>
            <w:r>
              <w:t xml:space="preserve">VTT (Focus)</w:t>
            </w:r>
          </w:p>
        </w:tc>
      </w:tr>
      <w:tr>
        <w:tc>
          <w:tcPr/>
          <w:p>
            <w:pPr>
              <w:pStyle w:val="Compact"/>
            </w:pPr>
            <w:r>
              <w:t xml:space="preserve">Mechanism</w:t>
            </w:r>
          </w:p>
        </w:tc>
        <w:tc>
          <w:tcPr/>
          <w:p>
            <w:pPr>
              <w:pStyle w:val="Compact"/>
            </w:pPr>
            <w:r>
              <w:t xml:space="preserve">Dopamine/norepinephrine</w:t>
            </w:r>
          </w:p>
        </w:tc>
        <w:tc>
          <w:tcPr/>
          <w:p>
            <w:pPr>
              <w:pStyle w:val="Compact"/>
            </w:pPr>
            <w:r>
              <w:t xml:space="preserve">Neural pathway activation</w:t>
            </w:r>
          </w:p>
        </w:tc>
      </w:tr>
      <w:tr>
        <w:tc>
          <w:tcPr/>
          <w:p>
            <w:pPr>
              <w:pStyle w:val="Compact"/>
            </w:pPr>
            <w:r>
              <w:t xml:space="preserve">Side Effects</w:t>
            </w:r>
          </w:p>
        </w:tc>
        <w:tc>
          <w:tcPr/>
          <w:p>
            <w:pPr>
              <w:pStyle w:val="Compact"/>
            </w:pPr>
            <w:r>
              <w:t xml:space="preserve">Common</w:t>
            </w:r>
          </w:p>
        </w:tc>
        <w:tc>
          <w:tcPr/>
          <w:p>
            <w:pPr>
              <w:pStyle w:val="Compact"/>
            </w:pPr>
            <w:r>
              <w:t xml:space="preserve">Minimal</w:t>
            </w:r>
          </w:p>
        </w:tc>
      </w:tr>
      <w:tr>
        <w:tc>
          <w:tcPr/>
          <w:p>
            <w:pPr>
              <w:pStyle w:val="Compact"/>
            </w:pPr>
            <w:r>
              <w:t xml:space="preserve">Dependency</w:t>
            </w:r>
          </w:p>
        </w:tc>
        <w:tc>
          <w:tcPr/>
          <w:p>
            <w:pPr>
              <w:pStyle w:val="Compact"/>
            </w:pPr>
            <w:r>
              <w:t xml:space="preserve">Risk</w:t>
            </w:r>
          </w:p>
        </w:tc>
        <w:tc>
          <w:tcPr/>
          <w:p>
            <w:pPr>
              <w:pStyle w:val="Compact"/>
            </w:pPr>
            <w:r>
              <w:t xml:space="preserve">None</w:t>
            </w:r>
          </w:p>
        </w:tc>
      </w:tr>
      <w:tr>
        <w:tc>
          <w:tcPr/>
          <w:p>
            <w:pPr>
              <w:pStyle w:val="Compact"/>
            </w:pPr>
            <w:r>
              <w:t xml:space="preserve">Prescription</w:t>
            </w:r>
          </w:p>
        </w:tc>
        <w:tc>
          <w:tcPr/>
          <w:p>
            <w:pPr>
              <w:pStyle w:val="Compact"/>
            </w:pPr>
            <w:r>
              <w:t xml:space="preserve">Required</w:t>
            </w:r>
          </w:p>
        </w:tc>
        <w:tc>
          <w:tcPr/>
          <w:p>
            <w:pPr>
              <w:pStyle w:val="Compact"/>
            </w:pPr>
            <w:r>
              <w:t xml:space="preserve">Not needed</w:t>
            </w:r>
          </w:p>
        </w:tc>
      </w:tr>
      <w:tr>
        <w:tc>
          <w:tcPr/>
          <w:p>
            <w:pPr>
              <w:pStyle w:val="Compact"/>
            </w:pPr>
            <w:r>
              <w:t xml:space="preserve">Contraindications</w:t>
            </w:r>
          </w:p>
        </w:tc>
        <w:tc>
          <w:tcPr/>
          <w:p>
            <w:pPr>
              <w:pStyle w:val="Compact"/>
            </w:pPr>
            <w:r>
              <w:t xml:space="preserve">Many</w:t>
            </w:r>
          </w:p>
        </w:tc>
        <w:tc>
          <w:tcPr/>
          <w:p>
            <w:pPr>
              <w:pStyle w:val="Compact"/>
            </w:pPr>
            <w:r>
              <w:t xml:space="preserve">None</w:t>
            </w:r>
          </w:p>
        </w:tc>
      </w:tr>
    </w:tbl>
    <w:bookmarkEnd w:id="22"/>
    <w:bookmarkStart w:id="23" w:name="practice-integration-benefits"/>
    <w:p>
      <w:pPr>
        <w:pStyle w:val="Heading3"/>
      </w:pPr>
      <w:r>
        <w:t xml:space="preserve">Practice Integration Benefits</w:t>
      </w:r>
    </w:p>
    <w:p>
      <w:pPr>
        <w:pStyle w:val="Compact"/>
        <w:numPr>
          <w:ilvl w:val="0"/>
          <w:numId w:val="1001"/>
        </w:numPr>
      </w:pPr>
      <w:r>
        <w:rPr>
          <w:b/>
          <w:bCs/>
        </w:rPr>
        <w:t xml:space="preserve">Non-Pharmaceutical Option:</w:t>
      </w:r>
      <w:r>
        <w:t xml:space="preserve"> </w:t>
      </w:r>
      <w:r>
        <w:t xml:space="preserve">For patients wanting drug-free support</w:t>
      </w:r>
    </w:p>
    <w:p>
      <w:pPr>
        <w:pStyle w:val="Compact"/>
        <w:numPr>
          <w:ilvl w:val="0"/>
          <w:numId w:val="1001"/>
        </w:numPr>
      </w:pPr>
      <w:r>
        <w:rPr>
          <w:b/>
          <w:bCs/>
        </w:rPr>
        <w:t xml:space="preserve">Complementary:</w:t>
      </w:r>
      <w:r>
        <w:t xml:space="preserve"> </w:t>
      </w:r>
      <w:r>
        <w:t xml:space="preserve">Can be used alongside existing treatments</w:t>
      </w:r>
    </w:p>
    <w:p>
      <w:pPr>
        <w:pStyle w:val="Compact"/>
        <w:numPr>
          <w:ilvl w:val="0"/>
          <w:numId w:val="1001"/>
        </w:numPr>
      </w:pPr>
      <w:r>
        <w:rPr>
          <w:b/>
          <w:bCs/>
        </w:rPr>
        <w:t xml:space="preserve">Safe Long-Term:</w:t>
      </w:r>
      <w:r>
        <w:t xml:space="preserve"> </w:t>
      </w:r>
      <w:r>
        <w:t xml:space="preserve">No tolerance or dependency development</w:t>
      </w:r>
    </w:p>
    <w:p>
      <w:pPr>
        <w:pStyle w:val="Compact"/>
        <w:numPr>
          <w:ilvl w:val="0"/>
          <w:numId w:val="1001"/>
        </w:numPr>
      </w:pPr>
      <w:r>
        <w:rPr>
          <w:b/>
          <w:bCs/>
        </w:rPr>
        <w:t xml:space="preserve">Broad Application:</w:t>
      </w:r>
      <w:r>
        <w:t xml:space="preserve"> </w:t>
      </w:r>
      <w:r>
        <w:t xml:space="preserve">Students, professionals, aging patients</w:t>
      </w:r>
    </w:p>
    <w:p>
      <w:r>
        <w:pict>
          <v:rect style="width:0;height:1.5pt" o:hralign="center" o:hrstd="t" o:hr="t"/>
        </w:pict>
      </w:r>
    </w:p>
    <w:bookmarkEnd w:id="23"/>
    <w:bookmarkEnd w:id="24"/>
    <w:bookmarkStart w:id="27" w:name="ideal-practitioner-profile"/>
    <w:p>
      <w:pPr>
        <w:pStyle w:val="Heading2"/>
      </w:pPr>
      <w:r>
        <w:t xml:space="preserve">2. IDEAL PRACTITIONER PROFILE</w:t>
      </w:r>
    </w:p>
    <w:bookmarkStart w:id="25" w:name="target-practitioners"/>
    <w:p>
      <w:pPr>
        <w:pStyle w:val="Heading3"/>
      </w:pPr>
      <w:r>
        <w:t xml:space="preserve">Target Practitioners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Practitioner Type</w:t>
            </w:r>
          </w:p>
        </w:tc>
        <w:tc>
          <w:tcPr/>
          <w:p>
            <w:pPr>
              <w:pStyle w:val="Compact"/>
            </w:pPr>
            <w:r>
              <w:t xml:space="preserve">Why Focus Fits</w:t>
            </w:r>
          </w:p>
        </w:tc>
      </w:tr>
      <w:tr>
        <w:tc>
          <w:tcPr/>
          <w:p>
            <w:pPr>
              <w:pStyle w:val="Compact"/>
            </w:pPr>
            <w:r>
              <w:rPr>
                <w:b/>
                <w:bCs/>
              </w:rPr>
              <w:t xml:space="preserve">Naturopaths</w:t>
            </w:r>
          </w:p>
        </w:tc>
        <w:tc>
          <w:tcPr/>
          <w:p>
            <w:pPr>
              <w:pStyle w:val="Compact"/>
            </w:pPr>
            <w:r>
              <w:t xml:space="preserve">Drug-free alternative to stimulant medications</w:t>
            </w:r>
          </w:p>
        </w:tc>
      </w:tr>
      <w:tr>
        <w:tc>
          <w:tcPr/>
          <w:p>
            <w:pPr>
              <w:pStyle w:val="Compact"/>
            </w:pPr>
            <w:r>
              <w:rPr>
                <w:b/>
                <w:bCs/>
              </w:rPr>
              <w:t xml:space="preserve">Functional Medicine</w:t>
            </w:r>
          </w:p>
        </w:tc>
        <w:tc>
          <w:tcPr/>
          <w:p>
            <w:pPr>
              <w:pStyle w:val="Compact"/>
            </w:pPr>
            <w:r>
              <w:t xml:space="preserve">Supports cognitive function naturally</w:t>
            </w:r>
          </w:p>
        </w:tc>
      </w:tr>
      <w:tr>
        <w:tc>
          <w:tcPr/>
          <w:p>
            <w:pPr>
              <w:pStyle w:val="Compact"/>
            </w:pPr>
            <w:r>
              <w:rPr>
                <w:b/>
                <w:bCs/>
              </w:rPr>
              <w:t xml:space="preserve">Integrative Medicine</w:t>
            </w:r>
          </w:p>
        </w:tc>
        <w:tc>
          <w:tcPr/>
          <w:p>
            <w:pPr>
              <w:pStyle w:val="Compact"/>
            </w:pPr>
            <w:r>
              <w:t xml:space="preserve">Multi-modal concentration support</w:t>
            </w:r>
          </w:p>
        </w:tc>
      </w:tr>
      <w:tr>
        <w:tc>
          <w:tcPr/>
          <w:p>
            <w:pPr>
              <w:pStyle w:val="Compact"/>
            </w:pPr>
            <w:r>
              <w:rPr>
                <w:b/>
                <w:bCs/>
              </w:rPr>
              <w:t xml:space="preserve">Acupuncturists</w:t>
            </w:r>
          </w:p>
        </w:tc>
        <w:tc>
          <w:tcPr/>
          <w:p>
            <w:pPr>
              <w:pStyle w:val="Compact"/>
            </w:pPr>
            <w:r>
              <w:t xml:space="preserve">Complements cognitive/mental clarity treatments</w:t>
            </w:r>
          </w:p>
        </w:tc>
      </w:tr>
      <w:tr>
        <w:tc>
          <w:tcPr/>
          <w:p>
            <w:pPr>
              <w:pStyle w:val="Compact"/>
            </w:pPr>
            <w:r>
              <w:rPr>
                <w:b/>
                <w:bCs/>
              </w:rPr>
              <w:t xml:space="preserve">Chiropractors</w:t>
            </w:r>
          </w:p>
        </w:tc>
        <w:tc>
          <w:tcPr/>
          <w:p>
            <w:pPr>
              <w:pStyle w:val="Compact"/>
            </w:pPr>
            <w:r>
              <w:t xml:space="preserve">Patients often report brain fog with pain</w:t>
            </w:r>
          </w:p>
        </w:tc>
      </w:tr>
    </w:tbl>
    <w:bookmarkEnd w:id="25"/>
    <w:bookmarkStart w:id="26" w:name="pain-points-practitioners-experience"/>
    <w:p>
      <w:pPr>
        <w:pStyle w:val="Heading3"/>
      </w:pPr>
      <w:r>
        <w:t xml:space="preserve">Pain Points Practitioners Experience</w:t>
      </w:r>
    </w:p>
    <w:p>
      <w:pPr>
        <w:pStyle w:val="Compact"/>
        <w:numPr>
          <w:ilvl w:val="0"/>
          <w:numId w:val="1002"/>
        </w:numPr>
      </w:pPr>
      <w:r>
        <w:t xml:space="preserve">“Patients want focus support but don’t want stimulant medications.”</w:t>
      </w:r>
    </w:p>
    <w:p>
      <w:pPr>
        <w:pStyle w:val="Compact"/>
        <w:numPr>
          <w:ilvl w:val="0"/>
          <w:numId w:val="1002"/>
        </w:numPr>
      </w:pPr>
      <w:r>
        <w:t xml:space="preserve">“Brain fog and concentration issues affect treatment compliance.”</w:t>
      </w:r>
    </w:p>
    <w:p>
      <w:pPr>
        <w:pStyle w:val="Compact"/>
        <w:numPr>
          <w:ilvl w:val="0"/>
          <w:numId w:val="1002"/>
        </w:numPr>
      </w:pPr>
      <w:r>
        <w:t xml:space="preserve">“Parents ask for alternatives for their children’s attention challenges.”</w:t>
      </w:r>
    </w:p>
    <w:p>
      <w:pPr>
        <w:pStyle w:val="Compact"/>
        <w:numPr>
          <w:ilvl w:val="0"/>
          <w:numId w:val="1002"/>
        </w:numPr>
      </w:pPr>
      <w:r>
        <w:t xml:space="preserve">“Cognitive decline patients need support without drug interactions.”</w:t>
      </w:r>
    </w:p>
    <w:p>
      <w:pPr>
        <w:pStyle w:val="Compact"/>
        <w:numPr>
          <w:ilvl w:val="0"/>
          <w:numId w:val="1002"/>
        </w:numPr>
      </w:pPr>
      <w:r>
        <w:t xml:space="preserve">“I need drug-free options for concentration concerns.”</w:t>
      </w:r>
    </w:p>
    <w:p>
      <w:r>
        <w:pict>
          <v:rect style="width:0;height:1.5pt" o:hralign="center" o:hrstd="t" o:hr="t"/>
        </w:pict>
      </w:r>
    </w:p>
    <w:bookmarkEnd w:id="26"/>
    <w:bookmarkEnd w:id="27"/>
    <w:bookmarkStart w:id="30" w:name="opening-scripts"/>
    <w:p>
      <w:pPr>
        <w:pStyle w:val="Heading2"/>
      </w:pPr>
      <w:r>
        <w:t xml:space="preserve">3. OPENING SCRIPTS</w:t>
      </w:r>
    </w:p>
    <w:bookmarkStart w:id="28" w:name="cold-call"/>
    <w:p>
      <w:pPr>
        <w:pStyle w:val="Heading3"/>
      </w:pPr>
      <w:r>
        <w:t xml:space="preserve">1. Cold Call</w:t>
      </w:r>
    </w:p>
    <w:p>
      <w:pPr>
        <w:pStyle w:val="FirstParagraph"/>
      </w:pPr>
      <w:r>
        <w:t xml:space="preserve">“Good morning, this is [Your Name] from Super Patch. I’m reaching out because many practitioners are looking for drug-free concentration support options. Our Focus patch uses Vibrotactile Technology – based on Nobel Prize-winning research – to support attention and mental clarity without stimulants. Do you have patients who need focus support but prefer avoiding medications?”</w:t>
      </w:r>
    </w:p>
    <w:bookmarkEnd w:id="28"/>
    <w:bookmarkStart w:id="29" w:name="email-introduction"/>
    <w:p>
      <w:pPr>
        <w:pStyle w:val="Heading3"/>
      </w:pPr>
      <w:r>
        <w:t xml:space="preserve">2. Email Introduction</w:t>
      </w:r>
    </w:p>
    <w:p>
      <w:pPr>
        <w:pStyle w:val="FirstParagraph"/>
      </w:pPr>
      <w:r>
        <w:rPr>
          <w:b/>
          <w:bCs/>
        </w:rPr>
        <w:t xml:space="preserve">Subject:</w:t>
      </w:r>
      <w:r>
        <w:t xml:space="preserve"> </w:t>
      </w:r>
      <w:r>
        <w:t xml:space="preserve">Drug-Free Concentration Support for Your Patients</w:t>
      </w:r>
    </w:p>
    <w:p>
      <w:pPr>
        <w:pStyle w:val="BodyText"/>
      </w:pPr>
      <w:r>
        <w:t xml:space="preserve">“Dr. [Name],</w:t>
      </w:r>
    </w:p>
    <w:p>
      <w:pPr>
        <w:pStyle w:val="BodyText"/>
      </w:pPr>
      <w:r>
        <w:t xml:space="preserve">Focus and attention challenges affect patients across all ages – students, professionals, and aging adults. Many want support but prefer avoiding stimulant medications due to side effects, dependency concerns, or contraindications.</w:t>
      </w:r>
    </w:p>
    <w:p>
      <w:pPr>
        <w:pStyle w:val="BodyText"/>
      </w:pPr>
      <w:r>
        <w:t xml:space="preserve">Our Focus patch uses Vibrotactile Technology – neural pathway activation rather than chemical stimulation. Drug-free, no dependency, no contraindications.</w:t>
      </w:r>
    </w:p>
    <w:p>
      <w:pPr>
        <w:pStyle w:val="BodyText"/>
      </w:pPr>
      <w:r>
        <w:t xml:space="preserve">Would you be open to discussing how this could help your patients?</w:t>
      </w:r>
    </w:p>
    <w:p>
      <w:pPr>
        <w:pStyle w:val="BodyText"/>
      </w:pPr>
      <w:r>
        <w:t xml:space="preserve">Best regards,</w:t>
      </w:r>
      <w:r>
        <w:t xml:space="preserve"> </w:t>
      </w:r>
      <w:r>
        <w:t xml:space="preserve">[Your Name]”</w:t>
      </w:r>
    </w:p>
    <w:p>
      <w:r>
        <w:pict>
          <v:rect style="width:0;height:1.5pt" o:hralign="center" o:hrstd="t" o:hr="t"/>
        </w:pict>
      </w:r>
    </w:p>
    <w:bookmarkEnd w:id="29"/>
    <w:bookmarkEnd w:id="30"/>
    <w:bookmarkStart w:id="31" w:name="discovery-questions"/>
    <w:p>
      <w:pPr>
        <w:pStyle w:val="Heading2"/>
      </w:pPr>
      <w:r>
        <w:t xml:space="preserve">4. DISCOVERY QUESTIONS</w:t>
      </w:r>
    </w:p>
    <w:p>
      <w:pPr>
        <w:pStyle w:val="Compact"/>
        <w:numPr>
          <w:ilvl w:val="0"/>
          <w:numId w:val="1003"/>
        </w:numPr>
      </w:pPr>
      <w:r>
        <w:t xml:space="preserve">“What percentage of your patients report focus or concentration challenges?”</w:t>
      </w:r>
    </w:p>
    <w:p>
      <w:pPr>
        <w:pStyle w:val="Compact"/>
        <w:numPr>
          <w:ilvl w:val="0"/>
          <w:numId w:val="1003"/>
        </w:numPr>
      </w:pPr>
      <w:r>
        <w:t xml:space="preserve">“What do you currently recommend for patients who want drug-free cognitive support?”</w:t>
      </w:r>
    </w:p>
    <w:p>
      <w:pPr>
        <w:pStyle w:val="Compact"/>
        <w:numPr>
          <w:ilvl w:val="0"/>
          <w:numId w:val="1003"/>
        </w:numPr>
      </w:pPr>
      <w:r>
        <w:t xml:space="preserve">“How do brain fog and concentration issues impact your treatment outcomes?”</w:t>
      </w:r>
    </w:p>
    <w:p>
      <w:pPr>
        <w:pStyle w:val="Compact"/>
        <w:numPr>
          <w:ilvl w:val="0"/>
          <w:numId w:val="1003"/>
        </w:numPr>
      </w:pPr>
      <w:r>
        <w:t xml:space="preserve">“Are parents asking about alternatives to stimulant medications for their children?”</w:t>
      </w:r>
    </w:p>
    <w:p>
      <w:pPr>
        <w:pStyle w:val="Compact"/>
        <w:numPr>
          <w:ilvl w:val="0"/>
          <w:numId w:val="1003"/>
        </w:numPr>
      </w:pPr>
      <w:r>
        <w:t xml:space="preserve">“Would a drug-free focus support option fill a gap in your practice?”</w:t>
      </w:r>
    </w:p>
    <w:p>
      <w:r>
        <w:pict>
          <v:rect style="width:0;height:1.5pt" o:hralign="center" o:hrstd="t" o:hr="t"/>
        </w:pict>
      </w:r>
    </w:p>
    <w:bookmarkEnd w:id="31"/>
    <w:bookmarkStart w:id="32" w:name="product-presentation-2-minute"/>
    <w:p>
      <w:pPr>
        <w:pStyle w:val="Heading2"/>
      </w:pPr>
      <w:r>
        <w:t xml:space="preserve">5. PRODUCT PRESENTATION (2-Minute)</w:t>
      </w:r>
    </w:p>
    <w:p>
      <w:pPr>
        <w:pStyle w:val="FirstParagraph"/>
      </w:pPr>
      <w:r>
        <w:rPr>
          <w:b/>
          <w:bCs/>
        </w:rPr>
        <w:t xml:space="preserve">[PROBLEM]</w:t>
      </w:r>
      <w:r>
        <w:t xml:space="preserve"> </w:t>
      </w:r>
      <w:r>
        <w:t xml:space="preserve">“Concentration and focus challenges are increasingly common – from students to aging adults. Stimulant medications work for some, but many patients can’t tolerate the side effects, don’t want the dependency risk, or have contraindications. And for practitioners, recommending</w:t>
      </w:r>
      <w:r>
        <w:t xml:space="preserve"> </w:t>
      </w:r>
      <w:r>
        <w:t xml:space="preserve">‘try harder to focus’</w:t>
      </w:r>
      <w:r>
        <w:t xml:space="preserve"> </w:t>
      </w:r>
      <w:r>
        <w:t xml:space="preserve">isn’t satisfying when patients genuinely struggle.”</w:t>
      </w:r>
    </w:p>
    <w:p>
      <w:pPr>
        <w:pStyle w:val="BodyText"/>
      </w:pPr>
      <w:r>
        <w:rPr>
          <w:b/>
          <w:bCs/>
        </w:rPr>
        <w:t xml:space="preserve">[SOLUTION]</w:t>
      </w:r>
      <w:r>
        <w:t xml:space="preserve"> </w:t>
      </w:r>
      <w:r>
        <w:t xml:space="preserve">“Focus uses Vibrotactile Technology to support concentration through neural pathway activation – not chemical stimulation. Based on Nobel Prize-winning mechanoreceptor research, it’s completely drug-free with no stimulant side effects, no dependency risk, and no contraindications.</w:t>
      </w:r>
    </w:p>
    <w:p>
      <w:pPr>
        <w:pStyle w:val="BodyText"/>
      </w:pPr>
      <w:r>
        <w:t xml:space="preserve">Patients report improved concentration and mental clarity, making it easier to function at work, school, or daily activities.</w:t>
      </w:r>
    </w:p>
    <w:p>
      <w:pPr>
        <w:pStyle w:val="BodyText"/>
      </w:pPr>
      <w:r>
        <w:t xml:space="preserve">For your practice: a drug-free option for focus challenges, 25% practitioner margin, and a way to support patients who’ve rejected pharmaceutical options. Would you like to trial this?”</w:t>
      </w:r>
    </w:p>
    <w:p>
      <w:r>
        <w:pict>
          <v:rect style="width:0;height:1.5pt" o:hralign="center" o:hrstd="t" o:hr="t"/>
        </w:pict>
      </w:r>
    </w:p>
    <w:bookmarkEnd w:id="32"/>
    <w:bookmarkStart w:id="36" w:name="objection-handling"/>
    <w:p>
      <w:pPr>
        <w:pStyle w:val="Heading2"/>
      </w:pPr>
      <w:r>
        <w:t xml:space="preserve">6. OBJECTION HANDLING</w:t>
      </w:r>
    </w:p>
    <w:bookmarkStart w:id="33" w:name="Xbee1d1312e5cee1b3dc34a39796bd985616ac9f"/>
    <w:p>
      <w:pPr>
        <w:pStyle w:val="Heading3"/>
      </w:pPr>
      <w:r>
        <w:t xml:space="preserve">“Focus issues usually indicate underlying conditions.”</w:t>
      </w:r>
    </w:p>
    <w:p>
      <w:pPr>
        <w:pStyle w:val="FirstParagraph"/>
      </w:pPr>
      <w:r>
        <w:rPr>
          <w:b/>
          <w:bCs/>
        </w:rPr>
        <w:t xml:space="preserve">Response:</w:t>
      </w:r>
      <w:r>
        <w:t xml:space="preserve"> </w:t>
      </w:r>
      <w:r>
        <w:t xml:space="preserve">“You’re right to look for root causes – and that’s your expertise. Focus is supportive, not diagnostic or curative. It helps patients function better while you investigate and address underlying issues. Better concentration also means better compliance with your treatment protocols.”</w:t>
      </w:r>
    </w:p>
    <w:bookmarkEnd w:id="33"/>
    <w:bookmarkStart w:id="34" w:name="X3315a4afbbd5eb0e54fd3db62f4131b999d2860"/>
    <w:p>
      <w:pPr>
        <w:pStyle w:val="Heading3"/>
      </w:pPr>
      <w:r>
        <w:t xml:space="preserve">“How can a patch improve focus without affecting brain chemistry?”</w:t>
      </w:r>
    </w:p>
    <w:p>
      <w:pPr>
        <w:pStyle w:val="FirstParagraph"/>
      </w:pPr>
      <w:r>
        <w:rPr>
          <w:b/>
          <w:bCs/>
        </w:rPr>
        <w:t xml:space="preserve">Response:</w:t>
      </w:r>
      <w:r>
        <w:t xml:space="preserve"> </w:t>
      </w:r>
      <w:r>
        <w:t xml:space="preserve">“VTT works through mechanoreceptor activation – the same neural pathways that Nobel Prize-winning research validated in 2021. Rather than altering neurotransmitter levels like stimulants do, it supports the neural networks involved in attention through sensory input modulation. It’s optimization, not pharmacological intervention.”</w:t>
      </w:r>
    </w:p>
    <w:bookmarkEnd w:id="34"/>
    <w:bookmarkStart w:id="35" w:name="Xb15356e3425aa3a13c08028ae0451e2d3db9534"/>
    <w:p>
      <w:pPr>
        <w:pStyle w:val="Heading3"/>
      </w:pPr>
      <w:r>
        <w:t xml:space="preserve">“Patients with attention issues need proper evaluation.”</w:t>
      </w:r>
    </w:p>
    <w:p>
      <w:pPr>
        <w:pStyle w:val="FirstParagraph"/>
      </w:pPr>
      <w:r>
        <w:rPr>
          <w:b/>
          <w:bCs/>
        </w:rPr>
        <w:t xml:space="preserve">Response:</w:t>
      </w:r>
      <w:r>
        <w:t xml:space="preserve"> </w:t>
      </w:r>
      <w:r>
        <w:t xml:space="preserve">“Absolutely agree. Focus isn’t a diagnostic tool or replacement for proper evaluation. It’s a supportive option for patients who’ve been evaluated and want drug-free support, or those whose focus challenges don’t warrant pharmaceutical intervention but still impact their daily function.”</w:t>
      </w:r>
    </w:p>
    <w:p>
      <w:r>
        <w:pict>
          <v:rect style="width:0;height:1.5pt" o:hralign="center" o:hrstd="t" o:hr="t"/>
        </w:pict>
      </w:r>
    </w:p>
    <w:bookmarkEnd w:id="35"/>
    <w:bookmarkEnd w:id="36"/>
    <w:bookmarkStart w:id="39" w:name="closing-scripts"/>
    <w:p>
      <w:pPr>
        <w:pStyle w:val="Heading2"/>
      </w:pPr>
      <w:r>
        <w:t xml:space="preserve">7. CLOSING SCRIPTS</w:t>
      </w:r>
    </w:p>
    <w:bookmarkStart w:id="37" w:name="the-drug-free-alternative-close"/>
    <w:p>
      <w:pPr>
        <w:pStyle w:val="Heading3"/>
      </w:pPr>
      <w:r>
        <w:t xml:space="preserve">The Drug-Free Alternative Close</w:t>
      </w:r>
    </w:p>
    <w:p>
      <w:pPr>
        <w:pStyle w:val="FirstParagraph"/>
      </w:pPr>
      <w:r>
        <w:t xml:space="preserve">“For patients who want focus support but prefer avoiding stimulant medications, Focus fills that gap. Would you like to trial it at your 25% practitioner discount?”</w:t>
      </w:r>
    </w:p>
    <w:bookmarkEnd w:id="37"/>
    <w:bookmarkStart w:id="38" w:name="the-broad-application-close"/>
    <w:p>
      <w:pPr>
        <w:pStyle w:val="Heading3"/>
      </w:pPr>
      <w:r>
        <w:t xml:space="preserve">The Broad Application Close</w:t>
      </w:r>
    </w:p>
    <w:p>
      <w:pPr>
        <w:pStyle w:val="FirstParagraph"/>
      </w:pPr>
      <w:r>
        <w:t xml:space="preserve">“Focus works for students, professionals, and aging adults – a broad patient base. Should I set up your practitioner account to have this available?”</w:t>
      </w:r>
    </w:p>
    <w:p>
      <w:r>
        <w:pict>
          <v:rect style="width:0;height:1.5pt" o:hralign="center" o:hrstd="t" o:hr="t"/>
        </w:pict>
      </w:r>
    </w:p>
    <w:bookmarkEnd w:id="38"/>
    <w:bookmarkEnd w:id="39"/>
    <w:bookmarkStart w:id="41" w:name="quick-reference-card"/>
    <w:p>
      <w:pPr>
        <w:pStyle w:val="Heading2"/>
      </w:pPr>
      <w:r>
        <w:t xml:space="preserve">8. QUICK REFERENCE CARD</w:t>
      </w:r>
    </w:p>
    <w:bookmarkStart w:id="40" w:name="focus-b2b-cheat-sheet"/>
    <w:p>
      <w:pPr>
        <w:pStyle w:val="Heading3"/>
      </w:pPr>
      <w:r>
        <w:t xml:space="preserve">FOCUS B2B CHEAT SHEET</w:t>
      </w:r>
    </w:p>
    <w:p>
      <w:pPr>
        <w:pStyle w:val="FirstParagraph"/>
      </w:pPr>
      <w:r>
        <w:rPr>
          <w:b/>
          <w:bCs/>
        </w:rPr>
        <w:t xml:space="preserve">KEY BENEFITS:</w:t>
      </w:r>
      <w:r>
        <w:t xml:space="preserve"> </w:t>
      </w:r>
      <w:r>
        <w:t xml:space="preserve">1. Drug-free concentration and attention support</w:t>
      </w:r>
      <w:r>
        <w:t xml:space="preserve"> </w:t>
      </w:r>
      <w:r>
        <w:t xml:space="preserve">2. No stimulant side effects, no dependency risk</w:t>
      </w:r>
      <w:r>
        <w:t xml:space="preserve"> </w:t>
      </w:r>
      <w:r>
        <w:t xml:space="preserve">3. Broad application: students, professionals, aging adults</w:t>
      </w:r>
    </w:p>
    <w:p>
      <w:pPr>
        <w:pStyle w:val="BodyText"/>
      </w:pPr>
      <w:r>
        <w:rPr>
          <w:b/>
          <w:bCs/>
        </w:rPr>
        <w:t xml:space="preserve">BEST DISCOVERY QUESTION:</w:t>
      </w:r>
      <w:r>
        <w:t xml:space="preserve"> </w:t>
      </w:r>
      <w:r>
        <w:t xml:space="preserve">“What do you recommend for patients who want drug-free cognitive support?”</w:t>
      </w:r>
    </w:p>
    <w:p>
      <w:pPr>
        <w:pStyle w:val="BodyText"/>
      </w:pPr>
      <w:r>
        <w:rPr>
          <w:b/>
          <w:bCs/>
        </w:rPr>
        <w:t xml:space="preserve">TOP OBJECTION RESPONSE:</w:t>
      </w:r>
      <w:r>
        <w:t xml:space="preserve"> </w:t>
      </w:r>
      <w:r>
        <w:t xml:space="preserve">“Focus issues need evaluation”</w:t>
      </w:r>
      <w:r>
        <w:t xml:space="preserve"> </w:t>
      </w:r>
      <w:r>
        <w:t xml:space="preserve">→ Focus is supportive; use alongside proper evaluation, not instead of it</w:t>
      </w:r>
    </w:p>
    <w:p>
      <w:pPr>
        <w:pStyle w:val="BodyText"/>
      </w:pPr>
      <w:r>
        <w:rPr>
          <w:b/>
          <w:bCs/>
        </w:rPr>
        <w:t xml:space="preserve">BEST CLOSE:</w:t>
      </w:r>
      <w:r>
        <w:t xml:space="preserve"> </w:t>
      </w:r>
      <w:r>
        <w:t xml:space="preserve">“Drug-free focus support for patients who prefer avoiding stimulant medications.”</w:t>
      </w:r>
    </w:p>
    <w:p>
      <w:r>
        <w:pict>
          <v:rect style="width:0;height:1.5pt" o:hralign="center" o:hrstd="t" o:hr="t"/>
        </w:pict>
      </w:r>
    </w:p>
    <w:p>
      <w:pPr>
        <w:pStyle w:val="FirstParagraph"/>
      </w:pPr>
      <w:r>
        <w:rPr>
          <w:i/>
          <w:iCs/>
        </w:rPr>
        <w:t xml:space="preserve">B2B Sales Document - Super Patch Healthcare Practitioner Program</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2026-01-05T16:55:41Z</dcterms:created>
  <dcterms:modified xsi:type="dcterms:W3CDTF">2026-01-05T16:55:41Z</dcterms:modified>
</cp:coreProperties>
</file>

<file path=docProps/custom.xml><?xml version="1.0" encoding="utf-8"?>
<Properties xmlns="http://schemas.openxmlformats.org/officeDocument/2006/custom-properties" xmlns:vt="http://schemas.openxmlformats.org/officeDocument/2006/docPropsVTypes"/>
</file>