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1666419e09375da7a99960bbb8f1f0470c4ef7"/>
    <w:p>
      <w:pPr>
        <w:pStyle w:val="Heading1"/>
      </w:pPr>
      <w:r>
        <w:t xml:space="preserve">Joy Patch - B2B Healthcare Practitioner Word Track</w:t>
      </w:r>
    </w:p>
    <w:p>
      <w:pPr>
        <w:pStyle w:val="FirstParagraph"/>
      </w:pPr>
      <w:r>
        <w:rPr>
          <w:i/>
          <w:iCs/>
        </w:rPr>
        <w:t xml:space="preserve">Drug-Free Mood Support for Your Practice</w:t>
      </w:r>
    </w:p>
    <w:p>
      <w:pPr>
        <w:pStyle w:val="BodyText"/>
      </w:pPr>
      <w:r>
        <w:rPr>
          <w:b/>
          <w:bCs/>
        </w:rPr>
        <w:t xml:space="preserve">Category:</w:t>
      </w:r>
      <w:r>
        <w:t xml:space="preserve"> </w:t>
      </w:r>
      <w:r>
        <w:t xml:space="preserve">Mood |</w:t>
      </w:r>
      <w:r>
        <w:t xml:space="preserve"> </w:t>
      </w:r>
      <w:r>
        <w:rPr>
          <w:b/>
          <w:bCs/>
        </w:rPr>
        <w:t xml:space="preserve">Technology:</w:t>
      </w:r>
      <w:r>
        <w:t xml:space="preserve"> </w:t>
      </w:r>
      <w:r>
        <w:t xml:space="preserve">VTT (Vibrotactile Technology) |</w:t>
      </w:r>
      <w:r>
        <w:t xml:space="preserve"> </w:t>
      </w:r>
      <w:r>
        <w:rPr>
          <w:b/>
          <w:bCs/>
        </w:rPr>
        <w:t xml:space="preserve">Practitioner Discount:</w:t>
      </w:r>
      <w:r>
        <w:t xml:space="preserve"> </w:t>
      </w:r>
      <w:r>
        <w:t xml:space="preserve">25%</w:t>
      </w:r>
    </w:p>
    <w:p>
      <w:r>
        <w:pict>
          <v:rect style="width:0;height:1.5pt" o:hralign="center" o:hrstd="t" o:hr="t"/>
        </w:pict>
      </w:r>
    </w:p>
    <w:bookmarkEnd w:id="20"/>
    <w:bookmarkStart w:id="43" w:name="Xbafdac0a500412bc7047b11bdbb10687e781d55"/>
    <w:p>
      <w:pPr>
        <w:pStyle w:val="Heading1"/>
      </w:pPr>
      <w:r>
        <w:t xml:space="preserve">Super Patch Joy: Healthcare Practitioner Sales Guide</w:t>
      </w:r>
    </w:p>
    <w:p>
      <w:r>
        <w:pict>
          <v:rect style="width:0;height:1.5pt" o:hralign="center" o:hrstd="t" o:hr="t"/>
        </w:pict>
      </w:r>
    </w:p>
    <w:bookmarkStart w:id="24" w:name="product-overview-clinical-focus"/>
    <w:p>
      <w:pPr>
        <w:pStyle w:val="Heading2"/>
      </w:pPr>
      <w:r>
        <w:t xml:space="preserve">1. PRODUCT OVERVIEW (Clinical Focus)</w:t>
      </w:r>
    </w:p>
    <w:p>
      <w:pPr>
        <w:pStyle w:val="FirstParagraph"/>
      </w:pPr>
      <w:r>
        <w:rPr>
          <w:b/>
          <w:bCs/>
        </w:rPr>
        <w:t xml:space="preserve">Joy</w:t>
      </w:r>
      <w:r>
        <w:t xml:space="preserve"> </w:t>
      </w:r>
      <w:r>
        <w:t xml:space="preserve">provides drug-free mood support using Vibrotactile Technology (VTT). For patients seeking emotional wellness support without antidepressants, Joy works through neural pathway modulation based on Nobel Prize-winning mechanoreceptor research (2021).</w:t>
      </w:r>
    </w:p>
    <w:bookmarkStart w:id="21" w:name="clinical-mechanism"/>
    <w:p>
      <w:pPr>
        <w:pStyle w:val="Heading3"/>
      </w:pPr>
      <w:r>
        <w:t xml:space="preserve">Clinical Mechanism</w:t>
      </w:r>
    </w:p>
    <w:p>
      <w:pPr>
        <w:pStyle w:val="FirstParagraph"/>
      </w:pPr>
      <w:r>
        <w:t xml:space="preserve">Joy utilizes specialized VTT ridge patterns that:</w:t>
      </w:r>
      <w:r>
        <w:t xml:space="preserve"> </w:t>
      </w:r>
      <w:r>
        <w:t xml:space="preserve">- Activate mechanoreceptors influencing mood pathways</w:t>
      </w:r>
      <w:r>
        <w:t xml:space="preserve"> </w:t>
      </w:r>
      <w:r>
        <w:t xml:space="preserve">- Support neural networks associated with emotional well-being</w:t>
      </w:r>
      <w:r>
        <w:t xml:space="preserve"> </w:t>
      </w:r>
      <w:r>
        <w:t xml:space="preserve">- Modulate signaling in mood-regulating circuits</w:t>
      </w:r>
      <w:r>
        <w:t xml:space="preserve"> </w:t>
      </w:r>
      <w:r>
        <w:t xml:space="preserve">- Promote positive emotional state without pharmaceuticals</w:t>
      </w:r>
    </w:p>
    <w:bookmarkEnd w:id="21"/>
    <w:bookmarkStart w:id="22" w:name="key-differentiators"/>
    <w:p>
      <w:pPr>
        <w:pStyle w:val="Heading3"/>
      </w:pPr>
      <w:r>
        <w:t xml:space="preserve">Key Differentiators</w:t>
      </w:r>
    </w:p>
    <w:tbl>
      <w:tblPr>
        <w:tblStyle w:val="Table"/>
        <w:tblW w:type="pct" w:w="5000"/>
        <w:tblLayout w:type="fixed"/>
        <w:tblLook w:firstRow="1" w:lastRow="0" w:firstColumn="0" w:lastColumn="0" w:noHBand="0" w:noVBand="0" w:val="0020"/>
      </w:tblPr>
      <w:tblGrid>
        <w:gridCol w:w="1926"/>
        <w:gridCol w:w="3638"/>
        <w:gridCol w:w="2354"/>
      </w:tblGrid>
      <w:tr>
        <w:trPr>
          <w:tblHeader w:val="on"/>
        </w:trPr>
        <w:tc>
          <w:tcPr/>
          <w:p>
            <w:pPr>
              <w:pStyle w:val="Compact"/>
            </w:pPr>
            <w:r>
              <w:t xml:space="preserve">Feature</w:t>
            </w:r>
          </w:p>
        </w:tc>
        <w:tc>
          <w:tcPr/>
          <w:p>
            <w:pPr>
              <w:pStyle w:val="Compact"/>
            </w:pPr>
            <w:r>
              <w:t xml:space="preserve">Antidepressants</w:t>
            </w:r>
          </w:p>
        </w:tc>
        <w:tc>
          <w:tcPr/>
          <w:p>
            <w:pPr>
              <w:pStyle w:val="Compact"/>
            </w:pPr>
            <w:r>
              <w:t xml:space="preserve">VTT (Joy)</w:t>
            </w:r>
          </w:p>
        </w:tc>
      </w:tr>
      <w:tr>
        <w:tc>
          <w:tcPr/>
          <w:p>
            <w:pPr>
              <w:pStyle w:val="Compact"/>
            </w:pPr>
            <w:r>
              <w:t xml:space="preserve">Mechanism</w:t>
            </w:r>
          </w:p>
        </w:tc>
        <w:tc>
          <w:tcPr/>
          <w:p>
            <w:pPr>
              <w:pStyle w:val="Compact"/>
            </w:pPr>
            <w:r>
              <w:t xml:space="preserve">Neurotransmitter modulation</w:t>
            </w:r>
          </w:p>
        </w:tc>
        <w:tc>
          <w:tcPr/>
          <w:p>
            <w:pPr>
              <w:pStyle w:val="Compact"/>
            </w:pPr>
            <w:r>
              <w:t xml:space="preserve">Neural pathway optimization</w:t>
            </w:r>
          </w:p>
        </w:tc>
      </w:tr>
      <w:tr>
        <w:tc>
          <w:tcPr/>
          <w:p>
            <w:pPr>
              <w:pStyle w:val="Compact"/>
            </w:pPr>
            <w:r>
              <w:t xml:space="preserve">Side Effects</w:t>
            </w:r>
          </w:p>
        </w:tc>
        <w:tc>
          <w:tcPr/>
          <w:p>
            <w:pPr>
              <w:pStyle w:val="Compact"/>
            </w:pPr>
            <w:r>
              <w:t xml:space="preserve">Common</w:t>
            </w:r>
          </w:p>
        </w:tc>
        <w:tc>
          <w:tcPr/>
          <w:p>
            <w:pPr>
              <w:pStyle w:val="Compact"/>
            </w:pPr>
            <w:r>
              <w:t xml:space="preserve">Minimal</w:t>
            </w:r>
          </w:p>
        </w:tc>
      </w:tr>
      <w:tr>
        <w:tc>
          <w:tcPr/>
          <w:p>
            <w:pPr>
              <w:pStyle w:val="Compact"/>
            </w:pPr>
            <w:r>
              <w:t xml:space="preserve">Onset</w:t>
            </w:r>
          </w:p>
        </w:tc>
        <w:tc>
          <w:tcPr/>
          <w:p>
            <w:pPr>
              <w:pStyle w:val="Compact"/>
            </w:pPr>
            <w:r>
              <w:t xml:space="preserve">Weeks</w:t>
            </w:r>
          </w:p>
        </w:tc>
        <w:tc>
          <w:tcPr/>
          <w:p>
            <w:pPr>
              <w:pStyle w:val="Compact"/>
            </w:pPr>
            <w:r>
              <w:t xml:space="preserve">Supportive from start</w:t>
            </w:r>
          </w:p>
        </w:tc>
      </w:tr>
      <w:tr>
        <w:tc>
          <w:tcPr/>
          <w:p>
            <w:pPr>
              <w:pStyle w:val="Compact"/>
            </w:pPr>
            <w:r>
              <w:t xml:space="preserve">Dependency</w:t>
            </w:r>
          </w:p>
        </w:tc>
        <w:tc>
          <w:tcPr/>
          <w:p>
            <w:pPr>
              <w:pStyle w:val="Compact"/>
            </w:pPr>
            <w:r>
              <w:t xml:space="preserve">Discontinuation effects</w:t>
            </w:r>
          </w:p>
        </w:tc>
        <w:tc>
          <w:tcPr/>
          <w:p>
            <w:pPr>
              <w:pStyle w:val="Compact"/>
            </w:pPr>
            <w:r>
              <w:t xml:space="preserve">None</w:t>
            </w:r>
          </w:p>
        </w:tc>
      </w:tr>
      <w:tr>
        <w:tc>
          <w:tcPr/>
          <w:p>
            <w:pPr>
              <w:pStyle w:val="Compact"/>
            </w:pPr>
            <w:r>
              <w:t xml:space="preserve">Contraindications</w:t>
            </w:r>
          </w:p>
        </w:tc>
        <w:tc>
          <w:tcPr/>
          <w:p>
            <w:pPr>
              <w:pStyle w:val="Compact"/>
            </w:pPr>
            <w:r>
              <w:t xml:space="preserve">Many</w:t>
            </w:r>
          </w:p>
        </w:tc>
        <w:tc>
          <w:tcPr/>
          <w:p>
            <w:pPr>
              <w:pStyle w:val="Compact"/>
            </w:pPr>
            <w:r>
              <w:t xml:space="preserve">None</w:t>
            </w:r>
          </w:p>
        </w:tc>
      </w:tr>
    </w:tbl>
    <w:bookmarkEnd w:id="22"/>
    <w:bookmarkStart w:id="23" w:name="practice-integration-benefits"/>
    <w:p>
      <w:pPr>
        <w:pStyle w:val="Heading3"/>
      </w:pPr>
      <w:r>
        <w:t xml:space="preserve">Practice Integration Benefits</w:t>
      </w:r>
    </w:p>
    <w:p>
      <w:pPr>
        <w:pStyle w:val="Compact"/>
        <w:numPr>
          <w:ilvl w:val="0"/>
          <w:numId w:val="1001"/>
        </w:numPr>
      </w:pPr>
      <w:r>
        <w:rPr>
          <w:b/>
          <w:bCs/>
        </w:rPr>
        <w:t xml:space="preserve">Supportive Care:</w:t>
      </w:r>
      <w:r>
        <w:t xml:space="preserve"> </w:t>
      </w:r>
      <w:r>
        <w:t xml:space="preserve">For subclinical mood support</w:t>
      </w:r>
    </w:p>
    <w:p>
      <w:pPr>
        <w:pStyle w:val="Compact"/>
        <w:numPr>
          <w:ilvl w:val="0"/>
          <w:numId w:val="1001"/>
        </w:numPr>
      </w:pPr>
      <w:r>
        <w:rPr>
          <w:b/>
          <w:bCs/>
        </w:rPr>
        <w:t xml:space="preserve">Complementary:</w:t>
      </w:r>
      <w:r>
        <w:t xml:space="preserve"> </w:t>
      </w:r>
      <w:r>
        <w:t xml:space="preserve">Works alongside comprehensive treatment</w:t>
      </w:r>
    </w:p>
    <w:p>
      <w:pPr>
        <w:pStyle w:val="Compact"/>
        <w:numPr>
          <w:ilvl w:val="0"/>
          <w:numId w:val="1001"/>
        </w:numPr>
      </w:pPr>
      <w:r>
        <w:rPr>
          <w:b/>
          <w:bCs/>
        </w:rPr>
        <w:t xml:space="preserve">No Discontinuation Effects:</w:t>
      </w:r>
      <w:r>
        <w:t xml:space="preserve"> </w:t>
      </w:r>
      <w:r>
        <w:t xml:space="preserve">Safe to start and stop</w:t>
      </w:r>
    </w:p>
    <w:p>
      <w:pPr>
        <w:pStyle w:val="Compact"/>
        <w:numPr>
          <w:ilvl w:val="0"/>
          <w:numId w:val="1001"/>
        </w:numPr>
      </w:pPr>
      <w:r>
        <w:rPr>
          <w:b/>
          <w:bCs/>
        </w:rPr>
        <w:t xml:space="preserve">Wellness Focus:</w:t>
      </w:r>
      <w:r>
        <w:t xml:space="preserve"> </w:t>
      </w:r>
      <w:r>
        <w:t xml:space="preserve">Proactive emotional well-being support</w:t>
      </w:r>
    </w:p>
    <w:p>
      <w:r>
        <w:pict>
          <v:rect style="width:0;height:1.5pt" o:hralign="center" o:hrstd="t" o:hr="t"/>
        </w:pict>
      </w:r>
    </w:p>
    <w:bookmarkEnd w:id="23"/>
    <w:bookmarkEnd w:id="24"/>
    <w:bookmarkStart w:id="27" w:name="ideal-practitioner-profile"/>
    <w:p>
      <w:pPr>
        <w:pStyle w:val="Heading2"/>
      </w:pPr>
      <w:r>
        <w:t xml:space="preserve">2. IDEAL PRACTITIONER PROFILE</w:t>
      </w:r>
    </w:p>
    <w:bookmarkStart w:id="25" w:name="target-practitioners"/>
    <w:p>
      <w:pPr>
        <w:pStyle w:val="Heading3"/>
      </w:pPr>
      <w:r>
        <w:t xml:space="preserve">Target Practitioners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Practitioner Type</w:t>
            </w:r>
          </w:p>
        </w:tc>
        <w:tc>
          <w:tcPr/>
          <w:p>
            <w:pPr>
              <w:pStyle w:val="Compact"/>
            </w:pPr>
            <w:r>
              <w:t xml:space="preserve">Why Joy Fits</w:t>
            </w:r>
          </w:p>
        </w:tc>
      </w:tr>
      <w:tr>
        <w:tc>
          <w:tcPr/>
          <w:p>
            <w:pPr>
              <w:pStyle w:val="Compact"/>
            </w:pPr>
            <w:r>
              <w:rPr>
                <w:b/>
                <w:bCs/>
              </w:rPr>
              <w:t xml:space="preserve">Naturopaths</w:t>
            </w:r>
          </w:p>
        </w:tc>
        <w:tc>
          <w:tcPr/>
          <w:p>
            <w:pPr>
              <w:pStyle w:val="Compact"/>
            </w:pPr>
            <w:r>
              <w:t xml:space="preserve">Drug-free mood support approach</w:t>
            </w:r>
          </w:p>
        </w:tc>
      </w:tr>
      <w:tr>
        <w:tc>
          <w:tcPr/>
          <w:p>
            <w:pPr>
              <w:pStyle w:val="Compact"/>
            </w:pPr>
            <w:r>
              <w:rPr>
                <w:b/>
                <w:bCs/>
              </w:rPr>
              <w:t xml:space="preserve">Functional Medicine</w:t>
            </w:r>
          </w:p>
        </w:tc>
        <w:tc>
          <w:tcPr/>
          <w:p>
            <w:pPr>
              <w:pStyle w:val="Compact"/>
            </w:pPr>
            <w:r>
              <w:t xml:space="preserve">Addresses mood without masking</w:t>
            </w:r>
          </w:p>
        </w:tc>
      </w:tr>
      <w:tr>
        <w:tc>
          <w:tcPr/>
          <w:p>
            <w:pPr>
              <w:pStyle w:val="Compact"/>
            </w:pPr>
            <w:r>
              <w:rPr>
                <w:b/>
                <w:bCs/>
              </w:rPr>
              <w:t xml:space="preserve">Integrative Medicine</w:t>
            </w:r>
          </w:p>
        </w:tc>
        <w:tc>
          <w:tcPr/>
          <w:p>
            <w:pPr>
              <w:pStyle w:val="Compact"/>
            </w:pPr>
            <w:r>
              <w:t xml:space="preserve">Multi-modal emotional wellness</w:t>
            </w:r>
          </w:p>
        </w:tc>
      </w:tr>
      <w:tr>
        <w:tc>
          <w:tcPr/>
          <w:p>
            <w:pPr>
              <w:pStyle w:val="Compact"/>
            </w:pPr>
            <w:r>
              <w:rPr>
                <w:b/>
                <w:bCs/>
              </w:rPr>
              <w:t xml:space="preserve">Acupuncturists</w:t>
            </w:r>
          </w:p>
        </w:tc>
        <w:tc>
          <w:tcPr/>
          <w:p>
            <w:pPr>
              <w:pStyle w:val="Compact"/>
            </w:pPr>
            <w:r>
              <w:t xml:space="preserve">Complements mood/spirit treatments</w:t>
            </w:r>
          </w:p>
        </w:tc>
      </w:tr>
      <w:tr>
        <w:tc>
          <w:tcPr/>
          <w:p>
            <w:pPr>
              <w:pStyle w:val="Compact"/>
            </w:pPr>
            <w:r>
              <w:rPr>
                <w:b/>
                <w:bCs/>
              </w:rPr>
              <w:t xml:space="preserve">Chiropractors</w:t>
            </w:r>
          </w:p>
        </w:tc>
        <w:tc>
          <w:tcPr/>
          <w:p>
            <w:pPr>
              <w:pStyle w:val="Compact"/>
            </w:pPr>
            <w:r>
              <w:t xml:space="preserve">Pain and mood often linked</w:t>
            </w:r>
          </w:p>
        </w:tc>
      </w:tr>
    </w:tbl>
    <w:bookmarkEnd w:id="25"/>
    <w:bookmarkStart w:id="26" w:name="pain-points-practitioners-experience"/>
    <w:p>
      <w:pPr>
        <w:pStyle w:val="Heading3"/>
      </w:pPr>
      <w:r>
        <w:t xml:space="preserve">Pain Points Practitioners Experience</w:t>
      </w:r>
    </w:p>
    <w:p>
      <w:pPr>
        <w:pStyle w:val="Compact"/>
        <w:numPr>
          <w:ilvl w:val="0"/>
          <w:numId w:val="1002"/>
        </w:numPr>
      </w:pPr>
      <w:r>
        <w:t xml:space="preserve">“Patients want mood support but don’t want antidepressants.”</w:t>
      </w:r>
    </w:p>
    <w:p>
      <w:pPr>
        <w:pStyle w:val="Compact"/>
        <w:numPr>
          <w:ilvl w:val="0"/>
          <w:numId w:val="1002"/>
        </w:numPr>
      </w:pPr>
      <w:r>
        <w:t xml:space="preserve">“Subclinical mood issues affect treatment compliance.”</w:t>
      </w:r>
    </w:p>
    <w:p>
      <w:pPr>
        <w:pStyle w:val="Compact"/>
        <w:numPr>
          <w:ilvl w:val="0"/>
          <w:numId w:val="1002"/>
        </w:numPr>
      </w:pPr>
      <w:r>
        <w:t xml:space="preserve">“I need options for patients who don’t meet medication criteria.”</w:t>
      </w:r>
    </w:p>
    <w:p>
      <w:pPr>
        <w:pStyle w:val="Compact"/>
        <w:numPr>
          <w:ilvl w:val="0"/>
          <w:numId w:val="1002"/>
        </w:numPr>
      </w:pPr>
      <w:r>
        <w:t xml:space="preserve">“Pharmaceutical mood support takes weeks and has side effects.”</w:t>
      </w:r>
    </w:p>
    <w:p>
      <w:pPr>
        <w:pStyle w:val="Compact"/>
        <w:numPr>
          <w:ilvl w:val="0"/>
          <w:numId w:val="1002"/>
        </w:numPr>
      </w:pPr>
      <w:r>
        <w:t xml:space="preserve">“I want drug-free options for emotional wellness support.”</w:t>
      </w:r>
    </w:p>
    <w:p>
      <w:r>
        <w:pict>
          <v:rect style="width:0;height:1.5pt" o:hralign="center" o:hrstd="t" o:hr="t"/>
        </w:pict>
      </w:r>
    </w:p>
    <w:bookmarkEnd w:id="26"/>
    <w:bookmarkEnd w:id="27"/>
    <w:bookmarkStart w:id="30" w:name="opening-scripts"/>
    <w:p>
      <w:pPr>
        <w:pStyle w:val="Heading2"/>
      </w:pPr>
      <w:r>
        <w:t xml:space="preserve">3. OPENING SCRIPTS</w:t>
      </w:r>
    </w:p>
    <w:bookmarkStart w:id="28" w:name="cold-call"/>
    <w:p>
      <w:pPr>
        <w:pStyle w:val="Heading3"/>
      </w:pPr>
      <w:r>
        <w:t xml:space="preserve">1. Cold Call</w:t>
      </w:r>
    </w:p>
    <w:p>
      <w:pPr>
        <w:pStyle w:val="FirstParagraph"/>
      </w:pPr>
      <w:r>
        <w:t xml:space="preserve">“Good morning, this is [Your Name] from Super Patch. I’m reaching out because mood affects every aspect of patient health – yet many patients don’t want or don’t qualify for pharmaceutical mood support. Our Joy patch uses Vibrotactile Technology to support emotional well-being – drug-free. Do you have patients who need mood support but prefer non-pharmaceutical options?”</w:t>
      </w:r>
    </w:p>
    <w:bookmarkEnd w:id="28"/>
    <w:bookmarkStart w:id="29" w:name="email-introduction"/>
    <w:p>
      <w:pPr>
        <w:pStyle w:val="Heading3"/>
      </w:pPr>
      <w:r>
        <w:t xml:space="preserve">2. Email Introduction</w:t>
      </w:r>
    </w:p>
    <w:p>
      <w:pPr>
        <w:pStyle w:val="FirstParagraph"/>
      </w:pPr>
      <w:r>
        <w:rPr>
          <w:b/>
          <w:bCs/>
        </w:rPr>
        <w:t xml:space="preserve">Subject:</w:t>
      </w:r>
      <w:r>
        <w:t xml:space="preserve"> </w:t>
      </w:r>
      <w:r>
        <w:t xml:space="preserve">Drug-Free Mood Support for Your Wellness Patients</w:t>
      </w:r>
    </w:p>
    <w:p>
      <w:pPr>
        <w:pStyle w:val="BodyText"/>
      </w:pPr>
      <w:r>
        <w:t xml:space="preserve">“Dr. [Name],</w:t>
      </w:r>
    </w:p>
    <w:p>
      <w:pPr>
        <w:pStyle w:val="BodyText"/>
      </w:pPr>
      <w:r>
        <w:t xml:space="preserve">Mood affects treatment compliance, pain perception, and overall health outcomes. But pharmaceutical options aren’t always appropriate, and many patients prefer drug-free approaches.</w:t>
      </w:r>
    </w:p>
    <w:p>
      <w:pPr>
        <w:pStyle w:val="BodyText"/>
      </w:pPr>
      <w:r>
        <w:t xml:space="preserve">Our Joy patch uses Vibrotactile Technology – neural pathway support for emotional well-being. Drug-free, no discontinuation effects, no contraindications.</w:t>
      </w:r>
    </w:p>
    <w:p>
      <w:pPr>
        <w:pStyle w:val="BodyText"/>
      </w:pPr>
      <w:r>
        <w:t xml:space="preserve">Would you be open to discussing how this could support your patients’ emotional wellness?</w:t>
      </w:r>
    </w:p>
    <w:p>
      <w:pPr>
        <w:pStyle w:val="BodyText"/>
      </w:pPr>
      <w:r>
        <w:t xml:space="preserve">Best regards,</w:t>
      </w:r>
      <w:r>
        <w:t xml:space="preserve"> </w:t>
      </w:r>
      <w:r>
        <w:t xml:space="preserve">[Your Name]”</w:t>
      </w:r>
    </w:p>
    <w:p>
      <w:r>
        <w:pict>
          <v:rect style="width:0;height:1.5pt" o:hralign="center" o:hrstd="t" o:hr="t"/>
        </w:pict>
      </w:r>
    </w:p>
    <w:bookmarkEnd w:id="29"/>
    <w:bookmarkEnd w:id="30"/>
    <w:bookmarkStart w:id="31" w:name="discovery-questions"/>
    <w:p>
      <w:pPr>
        <w:pStyle w:val="Heading2"/>
      </w:pPr>
      <w:r>
        <w:t xml:space="preserve">4. DISCOVERY QUESTIONS</w:t>
      </w:r>
    </w:p>
    <w:p>
      <w:pPr>
        <w:pStyle w:val="Compact"/>
        <w:numPr>
          <w:ilvl w:val="0"/>
          <w:numId w:val="1003"/>
        </w:numPr>
      </w:pPr>
      <w:r>
        <w:t xml:space="preserve">“What percentage of your patients present with mood concerns affecting their health?”</w:t>
      </w:r>
    </w:p>
    <w:p>
      <w:pPr>
        <w:pStyle w:val="Compact"/>
        <w:numPr>
          <w:ilvl w:val="0"/>
          <w:numId w:val="1003"/>
        </w:numPr>
      </w:pPr>
      <w:r>
        <w:t xml:space="preserve">“How does low mood or emotional stress impact your treatment outcomes?”</w:t>
      </w:r>
    </w:p>
    <w:p>
      <w:pPr>
        <w:pStyle w:val="Compact"/>
        <w:numPr>
          <w:ilvl w:val="0"/>
          <w:numId w:val="1003"/>
        </w:numPr>
      </w:pPr>
      <w:r>
        <w:t xml:space="preserve">“What do you currently recommend for patients who want drug-free mood support?”</w:t>
      </w:r>
    </w:p>
    <w:p>
      <w:pPr>
        <w:pStyle w:val="Compact"/>
        <w:numPr>
          <w:ilvl w:val="0"/>
          <w:numId w:val="1003"/>
        </w:numPr>
      </w:pPr>
      <w:r>
        <w:t xml:space="preserve">“Do you see patients with subclinical mood issues who don’t meet medication criteria?”</w:t>
      </w:r>
    </w:p>
    <w:p>
      <w:pPr>
        <w:pStyle w:val="Compact"/>
        <w:numPr>
          <w:ilvl w:val="0"/>
          <w:numId w:val="1003"/>
        </w:numPr>
      </w:pPr>
      <w:r>
        <w:t xml:space="preserve">“Would a drug-free mood support option fill a gap in your practice?”</w:t>
      </w:r>
    </w:p>
    <w:p>
      <w:r>
        <w:pict>
          <v:rect style="width:0;height:1.5pt" o:hralign="center" o:hrstd="t" o:hr="t"/>
        </w:pict>
      </w:r>
    </w:p>
    <w:bookmarkEnd w:id="31"/>
    <w:bookmarkStart w:id="32" w:name="product-presentation-2-minute"/>
    <w:p>
      <w:pPr>
        <w:pStyle w:val="Heading2"/>
      </w:pPr>
      <w:r>
        <w:t xml:space="preserve">5. PRODUCT PRESENTATION (2-Minute)</w:t>
      </w:r>
    </w:p>
    <w:p>
      <w:pPr>
        <w:pStyle w:val="FirstParagraph"/>
      </w:pPr>
      <w:r>
        <w:rPr>
          <w:b/>
          <w:bCs/>
        </w:rPr>
        <w:t xml:space="preserve">[PROBLEM]</w:t>
      </w:r>
      <w:r>
        <w:t xml:space="preserve"> </w:t>
      </w:r>
      <w:r>
        <w:t xml:space="preserve">“Mood is foundational to health – it affects pain perception, immune function, compliance, and quality of life. Yet the gap between</w:t>
      </w:r>
      <w:r>
        <w:t xml:space="preserve"> </w:t>
      </w:r>
      <w:r>
        <w:t xml:space="preserve">‘doing fine’</w:t>
      </w:r>
      <w:r>
        <w:t xml:space="preserve"> </w:t>
      </w:r>
      <w:r>
        <w:t xml:space="preserve">and</w:t>
      </w:r>
      <w:r>
        <w:t xml:space="preserve"> </w:t>
      </w:r>
      <w:r>
        <w:t xml:space="preserve">‘needs medication’</w:t>
      </w:r>
      <w:r>
        <w:t xml:space="preserve"> </w:t>
      </w:r>
      <w:r>
        <w:t xml:space="preserve">leaves many patients without support. They don’t meet criteria for antidepressants, don’t want pharmaceutical side effects, or simply prefer natural approaches. But</w:t>
      </w:r>
      <w:r>
        <w:t xml:space="preserve"> </w:t>
      </w:r>
      <w:r>
        <w:t xml:space="preserve">‘think positive’</w:t>
      </w:r>
      <w:r>
        <w:t xml:space="preserve"> </w:t>
      </w:r>
      <w:r>
        <w:t xml:space="preserve">isn’t adequate support.”</w:t>
      </w:r>
    </w:p>
    <w:p>
      <w:pPr>
        <w:pStyle w:val="BodyText"/>
      </w:pPr>
      <w:r>
        <w:rPr>
          <w:b/>
          <w:bCs/>
        </w:rPr>
        <w:t xml:space="preserve">[SOLUTION]</w:t>
      </w:r>
      <w:r>
        <w:t xml:space="preserve"> </w:t>
      </w:r>
      <w:r>
        <w:t xml:space="preserve">“Joy uses Vibrotactile Technology to support mood-related neural pathways. Based on Nobel Prize-winning mechanoreceptor research, it provides ongoing emotional wellness support without pharmaceuticals, without side effects, and without the weeks-long onset of traditional medications.</w:t>
      </w:r>
    </w:p>
    <w:p>
      <w:pPr>
        <w:pStyle w:val="BodyText"/>
      </w:pPr>
      <w:r>
        <w:t xml:space="preserve">For your practice: a drug-free option for emotional wellness support, better overall treatment outcomes, and 25% practitioner margin. Would you like to trial this with appropriate patients?”</w:t>
      </w:r>
    </w:p>
    <w:p>
      <w:r>
        <w:pict>
          <v:rect style="width:0;height:1.5pt" o:hralign="center" o:hrstd="t" o:hr="t"/>
        </w:pict>
      </w:r>
    </w:p>
    <w:bookmarkEnd w:id="32"/>
    <w:bookmarkStart w:id="37" w:name="objection-handling"/>
    <w:p>
      <w:pPr>
        <w:pStyle w:val="Heading2"/>
      </w:pPr>
      <w:r>
        <w:t xml:space="preserve">6. OBJECTION HANDLING</w:t>
      </w:r>
    </w:p>
    <w:bookmarkStart w:id="33" w:name="X03a624ff1b3f8645e207cf7be67c7403b714517"/>
    <w:p>
      <w:pPr>
        <w:pStyle w:val="Heading3"/>
      </w:pPr>
      <w:r>
        <w:t xml:space="preserve">“Depression and mood disorders need proper treatment.”</w:t>
      </w:r>
    </w:p>
    <w:p>
      <w:pPr>
        <w:pStyle w:val="FirstParagraph"/>
      </w:pPr>
      <w:r>
        <w:rPr>
          <w:b/>
          <w:bCs/>
        </w:rPr>
        <w:t xml:space="preserve">Response:</w:t>
      </w:r>
      <w:r>
        <w:t xml:space="preserve"> </w:t>
      </w:r>
      <w:r>
        <w:t xml:space="preserve">“Absolutely – clinical depression requires comprehensive care. Joy isn’t for clinical depression; it’s for subclinical mood support and emotional wellness optimization. For patients who don’t meet medication criteria but still struggle with low mood, Joy provides supportive care. For those in treatment, it can complement their program.”</w:t>
      </w:r>
    </w:p>
    <w:bookmarkEnd w:id="33"/>
    <w:bookmarkStart w:id="34" w:name="Xbd0a6e6a6c17faa6dfdb3f23c6ad26d4e8dab55"/>
    <w:p>
      <w:pPr>
        <w:pStyle w:val="Heading3"/>
      </w:pPr>
      <w:r>
        <w:t xml:space="preserve">“How can a patch affect mood without neurotransmitter action?”</w:t>
      </w:r>
    </w:p>
    <w:p>
      <w:pPr>
        <w:pStyle w:val="FirstParagraph"/>
      </w:pPr>
      <w:r>
        <w:rPr>
          <w:b/>
          <w:bCs/>
        </w:rPr>
        <w:t xml:space="preserve">Response:</w:t>
      </w:r>
      <w:r>
        <w:t xml:space="preserve"> </w:t>
      </w:r>
      <w:r>
        <w:t xml:space="preserve">“VTT works through mechanoreceptor activation affecting neural pathways – including those involved in mood regulation. The nervous system influences mood through multiple mechanisms beyond just neurotransmitter levels. By optimizing neural signaling, Joy supports emotional well-being through the body’s own systems.”</w:t>
      </w:r>
    </w:p>
    <w:bookmarkEnd w:id="34"/>
    <w:bookmarkStart w:id="35" w:name="X94633d4081497bbfb4bc874dd2c17d30b2e546d"/>
    <w:p>
      <w:pPr>
        <w:pStyle w:val="Heading3"/>
      </w:pPr>
      <w:r>
        <w:t xml:space="preserve">“Mood issues require addressing underlying causes.”</w:t>
      </w:r>
    </w:p>
    <w:p>
      <w:pPr>
        <w:pStyle w:val="FirstParagraph"/>
      </w:pPr>
      <w:r>
        <w:rPr>
          <w:b/>
          <w:bCs/>
        </w:rPr>
        <w:t xml:space="preserve">Response:</w:t>
      </w:r>
      <w:r>
        <w:t xml:space="preserve"> </w:t>
      </w:r>
      <w:r>
        <w:t xml:space="preserve">“You’re right to look for root causes – and Joy supports that process. When mood is supported, patients engage better with treatment, make better lifestyle choices, and can address underlying issues more effectively. It’s about providing stability while you work on foundational factors.”</w:t>
      </w:r>
    </w:p>
    <w:bookmarkEnd w:id="35"/>
    <w:bookmarkStart w:id="36" w:name="X289726b1fd026002fe06eb2ff363cb3ca9ccb83"/>
    <w:p>
      <w:pPr>
        <w:pStyle w:val="Heading3"/>
      </w:pPr>
      <w:r>
        <w:t xml:space="preserve">“I’m not comfortable recommending products for mood.”</w:t>
      </w:r>
    </w:p>
    <w:p>
      <w:pPr>
        <w:pStyle w:val="FirstParagraph"/>
      </w:pPr>
      <w:r>
        <w:rPr>
          <w:b/>
          <w:bCs/>
        </w:rPr>
        <w:t xml:space="preserve">Response:</w:t>
      </w:r>
      <w:r>
        <w:t xml:space="preserve"> </w:t>
      </w:r>
      <w:r>
        <w:t xml:space="preserve">“I understand the sensitivity. Joy isn’t positioned as treatment for mood disorders – it’s wellness support for emotional well-being, similar to how you might recommend exercise or meditation for mood. It’s a tool for patients who want proactive support, not a clinical intervention.”</w:t>
      </w:r>
    </w:p>
    <w:p>
      <w:r>
        <w:pict>
          <v:rect style="width:0;height:1.5pt" o:hralign="center" o:hrstd="t" o:hr="t"/>
        </w:pict>
      </w:r>
    </w:p>
    <w:bookmarkEnd w:id="36"/>
    <w:bookmarkEnd w:id="37"/>
    <w:bookmarkStart w:id="40" w:name="closing-scripts"/>
    <w:p>
      <w:pPr>
        <w:pStyle w:val="Heading2"/>
      </w:pPr>
      <w:r>
        <w:t xml:space="preserve">7. CLOSING SCRIPTS</w:t>
      </w:r>
    </w:p>
    <w:bookmarkStart w:id="38" w:name="the-wellness-support-close"/>
    <w:p>
      <w:pPr>
        <w:pStyle w:val="Heading3"/>
      </w:pPr>
      <w:r>
        <w:t xml:space="preserve">The Wellness Support Close</w:t>
      </w:r>
    </w:p>
    <w:p>
      <w:pPr>
        <w:pStyle w:val="FirstParagraph"/>
      </w:pPr>
      <w:r>
        <w:t xml:space="preserve">“For patients seeking emotional wellness support without pharmaceuticals, Joy fills that gap. Would you like to trial it at your 25% practitioner discount?”</w:t>
      </w:r>
    </w:p>
    <w:bookmarkEnd w:id="38"/>
    <w:bookmarkStart w:id="39" w:name="the-treatment-enhancement-close"/>
    <w:p>
      <w:pPr>
        <w:pStyle w:val="Heading3"/>
      </w:pPr>
      <w:r>
        <w:t xml:space="preserve">The Treatment Enhancement Close</w:t>
      </w:r>
    </w:p>
    <w:p>
      <w:pPr>
        <w:pStyle w:val="FirstParagraph"/>
      </w:pPr>
      <w:r>
        <w:t xml:space="preserve">“Better mood means better treatment compliance and outcomes across everything you do. Should I set up your practitioner account?”</w:t>
      </w:r>
    </w:p>
    <w:p>
      <w:r>
        <w:pict>
          <v:rect style="width:0;height:1.5pt" o:hralign="center" o:hrstd="t" o:hr="t"/>
        </w:pict>
      </w:r>
    </w:p>
    <w:bookmarkEnd w:id="39"/>
    <w:bookmarkEnd w:id="40"/>
    <w:bookmarkStart w:id="42" w:name="quick-reference-card"/>
    <w:p>
      <w:pPr>
        <w:pStyle w:val="Heading2"/>
      </w:pPr>
      <w:r>
        <w:t xml:space="preserve">8. QUICK REFERENCE CARD</w:t>
      </w:r>
    </w:p>
    <w:bookmarkStart w:id="41" w:name="joy-b2b-cheat-sheet"/>
    <w:p>
      <w:pPr>
        <w:pStyle w:val="Heading3"/>
      </w:pPr>
      <w:r>
        <w:t xml:space="preserve">JOY B2B CHEAT SHEET</w:t>
      </w:r>
    </w:p>
    <w:p>
      <w:pPr>
        <w:pStyle w:val="FirstParagraph"/>
      </w:pPr>
      <w:r>
        <w:rPr>
          <w:b/>
          <w:bCs/>
        </w:rPr>
        <w:t xml:space="preserve">KEY BENEFITS:</w:t>
      </w:r>
      <w:r>
        <w:t xml:space="preserve"> </w:t>
      </w:r>
      <w:r>
        <w:t xml:space="preserve">1. Drug-free mood and emotional wellness support</w:t>
      </w:r>
      <w:r>
        <w:t xml:space="preserve"> </w:t>
      </w:r>
      <w:r>
        <w:t xml:space="preserve">2. No side effects or discontinuation effects</w:t>
      </w:r>
      <w:r>
        <w:t xml:space="preserve"> </w:t>
      </w:r>
      <w:r>
        <w:t xml:space="preserve">3. Supportive care for subclinical mood support</w:t>
      </w:r>
    </w:p>
    <w:p>
      <w:pPr>
        <w:pStyle w:val="BodyText"/>
      </w:pPr>
      <w:r>
        <w:rPr>
          <w:b/>
          <w:bCs/>
        </w:rPr>
        <w:t xml:space="preserve">BEST DISCOVERY QUESTION:</w:t>
      </w:r>
      <w:r>
        <w:t xml:space="preserve"> </w:t>
      </w:r>
      <w:r>
        <w:t xml:space="preserve">“What do you recommend for patients who want drug-free mood support?”</w:t>
      </w:r>
    </w:p>
    <w:p>
      <w:pPr>
        <w:pStyle w:val="BodyText"/>
      </w:pPr>
      <w:r>
        <w:rPr>
          <w:b/>
          <w:bCs/>
        </w:rPr>
        <w:t xml:space="preserve">TOP OBJECTION RESPONSE:</w:t>
      </w:r>
      <w:r>
        <w:t xml:space="preserve"> </w:t>
      </w:r>
      <w:r>
        <w:t xml:space="preserve">“Mood disorders need treatment”</w:t>
      </w:r>
      <w:r>
        <w:t xml:space="preserve"> </w:t>
      </w:r>
      <w:r>
        <w:t xml:space="preserve">→ Joy is for subclinical support; complements, doesn’t replace clinical care</w:t>
      </w:r>
    </w:p>
    <w:p>
      <w:pPr>
        <w:pStyle w:val="BodyText"/>
      </w:pPr>
      <w:r>
        <w:rPr>
          <w:b/>
          <w:bCs/>
        </w:rPr>
        <w:t xml:space="preserve">BEST CLOSE:</w:t>
      </w:r>
      <w:r>
        <w:t xml:space="preserve"> </w:t>
      </w:r>
      <w:r>
        <w:t xml:space="preserve">“Emotional wellness support for patients who prefer drug-free approaches.”</w:t>
      </w:r>
    </w:p>
    <w:p>
      <w:r>
        <w:pict>
          <v:rect style="width:0;height:1.5pt" o:hralign="center" o:hrstd="t" o:hr="t"/>
        </w:pict>
      </w:r>
    </w:p>
    <w:p>
      <w:pPr>
        <w:pStyle w:val="FirstParagraph"/>
      </w:pPr>
      <w:r>
        <w:rPr>
          <w:i/>
          <w:iCs/>
        </w:rPr>
        <w:t xml:space="preserve">B2B Sales Document - Super Patch Healthcare Practitioner Program</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2026-01-05T16:55:41Z</dcterms:created>
  <dcterms:modified xsi:type="dcterms:W3CDTF">2026-01-05T16:55:41Z</dcterms:modified>
</cp:coreProperties>
</file>

<file path=docProps/custom.xml><?xml version="1.0" encoding="utf-8"?>
<Properties xmlns="http://schemas.openxmlformats.org/officeDocument/2006/custom-properties" xmlns:vt="http://schemas.openxmlformats.org/officeDocument/2006/docPropsVTypes"/>
</file>