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80cb4a3205ed32ff26e3ff78fd2799fb265b54f"/>
    <w:p>
      <w:pPr>
        <w:pStyle w:val="Heading1"/>
      </w:pPr>
      <w:r>
        <w:t xml:space="preserve">Kick It Patch - B2B Healthcare Practitioner Word Track</w:t>
      </w:r>
    </w:p>
    <w:p>
      <w:pPr>
        <w:pStyle w:val="FirstParagraph"/>
      </w:pPr>
      <w:r>
        <w:rPr>
          <w:i/>
          <w:iCs/>
        </w:rPr>
        <w:t xml:space="preserve">Drug-Free Willpower &amp; Habit Support for Your Practice</w:t>
      </w:r>
    </w:p>
    <w:p>
      <w:pPr>
        <w:pStyle w:val="BodyText"/>
      </w:pPr>
      <w:r>
        <w:rPr>
          <w:b/>
          <w:bCs/>
        </w:rPr>
        <w:t xml:space="preserve">Category:</w:t>
      </w:r>
      <w:r>
        <w:t xml:space="preserve"> </w:t>
      </w:r>
      <w:r>
        <w:t xml:space="preserve">Will Power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43" w:name="X8c325285821bd3fc205650d65fcd7c353363659"/>
    <w:p>
      <w:pPr>
        <w:pStyle w:val="Heading1"/>
      </w:pPr>
      <w:r>
        <w:t xml:space="preserve">Super Patch Kick It: Healthcare Practitioner Sales Guide</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Kick It</w:t>
      </w:r>
      <w:r>
        <w:t xml:space="preserve"> </w:t>
      </w:r>
      <w:r>
        <w:t xml:space="preserve">provides drug-free willpower and craving management support using Vibrotactile Technology (VTT). For patients working to break unhealthy habits – from smoking to sugar cravings – Kick It works through neural pathway modulation based on Nobel Prize-winning mechanoreceptor research (2021).</w:t>
      </w:r>
    </w:p>
    <w:bookmarkStart w:id="21" w:name="clinical-mechanism"/>
    <w:p>
      <w:pPr>
        <w:pStyle w:val="Heading3"/>
      </w:pPr>
      <w:r>
        <w:t xml:space="preserve">Clinical Mechanism</w:t>
      </w:r>
    </w:p>
    <w:p>
      <w:pPr>
        <w:pStyle w:val="FirstParagraph"/>
      </w:pPr>
      <w:r>
        <w:t xml:space="preserve">Kick It utilizes specialized VTT ridge patterns that:</w:t>
      </w:r>
      <w:r>
        <w:t xml:space="preserve"> </w:t>
      </w:r>
      <w:r>
        <w:t xml:space="preserve">- Activate mechanoreceptors influencing self-control pathways</w:t>
      </w:r>
      <w:r>
        <w:t xml:space="preserve"> </w:t>
      </w:r>
      <w:r>
        <w:t xml:space="preserve">- Support neural networks involved in impulse regulation</w:t>
      </w:r>
      <w:r>
        <w:t xml:space="preserve"> </w:t>
      </w:r>
      <w:r>
        <w:t xml:space="preserve">- Modulate craving response mechanisms</w:t>
      </w:r>
      <w:r>
        <w:t xml:space="preserve"> </w:t>
      </w:r>
      <w:r>
        <w:t xml:space="preserve">- Complement behavioral change efforts without pharmaceuticals</w:t>
      </w:r>
    </w:p>
    <w:bookmarkEnd w:id="21"/>
    <w:bookmarkStart w:id="22" w:name="key-differentiators"/>
    <w:p>
      <w:pPr>
        <w:pStyle w:val="Heading3"/>
      </w:pPr>
      <w:r>
        <w:t xml:space="preserve">Key Differentiators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Cessation Medications</w:t>
            </w:r>
          </w:p>
        </w:tc>
        <w:tc>
          <w:tcPr/>
          <w:p>
            <w:pPr>
              <w:pStyle w:val="Compact"/>
            </w:pPr>
            <w:r>
              <w:t xml:space="preserve">VTT (Kick It)</w:t>
            </w:r>
          </w:p>
        </w:tc>
      </w:tr>
      <w:tr>
        <w:tc>
          <w:tcPr/>
          <w:p>
            <w:pPr>
              <w:pStyle w:val="Compact"/>
            </w:pPr>
            <w:r>
              <w:t xml:space="preserve">Mechanism</w:t>
            </w:r>
          </w:p>
        </w:tc>
        <w:tc>
          <w:tcPr/>
          <w:p>
            <w:pPr>
              <w:pStyle w:val="Compact"/>
            </w:pPr>
            <w:r>
              <w:t xml:space="preserve">Nicotine/pharmacological</w:t>
            </w:r>
          </w:p>
        </w:tc>
        <w:tc>
          <w:tcPr/>
          <w:p>
            <w:pPr>
              <w:pStyle w:val="Compact"/>
            </w:pPr>
            <w:r>
              <w:t xml:space="preserve">Neural optimization</w:t>
            </w:r>
          </w:p>
        </w:tc>
      </w:tr>
      <w:tr>
        <w:tc>
          <w:tcPr/>
          <w:p>
            <w:pPr>
              <w:pStyle w:val="Compact"/>
            </w:pPr>
            <w:r>
              <w:t xml:space="preserve">Side Effects</w:t>
            </w:r>
          </w:p>
        </w:tc>
        <w:tc>
          <w:tcPr/>
          <w:p>
            <w:pPr>
              <w:pStyle w:val="Compact"/>
            </w:pPr>
            <w:r>
              <w:t xml:space="preserve">Common</w:t>
            </w:r>
          </w:p>
        </w:tc>
        <w:tc>
          <w:tcPr/>
          <w:p>
            <w:pPr>
              <w:pStyle w:val="Compact"/>
            </w:pPr>
            <w:r>
              <w:t xml:space="preserve">Minimal</w:t>
            </w:r>
          </w:p>
        </w:tc>
      </w:tr>
      <w:tr>
        <w:tc>
          <w:tcPr/>
          <w:p>
            <w:pPr>
              <w:pStyle w:val="Compact"/>
            </w:pPr>
            <w:r>
              <w:t xml:space="preserve">Dependency</w:t>
            </w:r>
          </w:p>
        </w:tc>
        <w:tc>
          <w:tcPr/>
          <w:p>
            <w:pPr>
              <w:pStyle w:val="Compact"/>
            </w:pPr>
            <w:r>
              <w:t xml:space="preserve">Some create</w:t>
            </w:r>
          </w:p>
        </w:tc>
        <w:tc>
          <w:tcPr/>
          <w:p>
            <w:pPr>
              <w:pStyle w:val="Compact"/>
            </w:pPr>
            <w:r>
              <w:t xml:space="preserve">None</w:t>
            </w:r>
          </w:p>
        </w:tc>
      </w:tr>
      <w:tr>
        <w:tc>
          <w:tcPr/>
          <w:p>
            <w:pPr>
              <w:pStyle w:val="Compact"/>
            </w:pPr>
            <w:r>
              <w:t xml:space="preserve">Scope</w:t>
            </w:r>
          </w:p>
        </w:tc>
        <w:tc>
          <w:tcPr/>
          <w:p>
            <w:pPr>
              <w:pStyle w:val="Compact"/>
            </w:pPr>
            <w:r>
              <w:t xml:space="preserve">Substance-specific</w:t>
            </w:r>
          </w:p>
        </w:tc>
        <w:tc>
          <w:tcPr/>
          <w:p>
            <w:pPr>
              <w:pStyle w:val="Compact"/>
            </w:pPr>
            <w:r>
              <w:t xml:space="preserve">Broad willpower support</w:t>
            </w:r>
          </w:p>
        </w:tc>
      </w:tr>
      <w:tr>
        <w:tc>
          <w:tcPr/>
          <w:p>
            <w:pPr>
              <w:pStyle w:val="Compact"/>
            </w:pPr>
            <w:r>
              <w:t xml:space="preserve">Contraindications</w:t>
            </w:r>
          </w:p>
        </w:tc>
        <w:tc>
          <w:tcPr/>
          <w:p>
            <w:pPr>
              <w:pStyle w:val="Compact"/>
            </w:pPr>
            <w:r>
              <w:t xml:space="preserve">Various</w:t>
            </w:r>
          </w:p>
        </w:tc>
        <w:tc>
          <w:tcPr/>
          <w:p>
            <w:pPr>
              <w:pStyle w:val="Compact"/>
            </w:pPr>
            <w:r>
              <w:t xml:space="preserve">None</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Complementary Support:</w:t>
      </w:r>
      <w:r>
        <w:t xml:space="preserve"> </w:t>
      </w:r>
      <w:r>
        <w:t xml:space="preserve">Enhances behavioral change programs</w:t>
      </w:r>
    </w:p>
    <w:p>
      <w:pPr>
        <w:pStyle w:val="Compact"/>
        <w:numPr>
          <w:ilvl w:val="0"/>
          <w:numId w:val="1001"/>
        </w:numPr>
      </w:pPr>
      <w:r>
        <w:rPr>
          <w:b/>
          <w:bCs/>
        </w:rPr>
        <w:t xml:space="preserve">Broad Application:</w:t>
      </w:r>
      <w:r>
        <w:t xml:space="preserve"> </w:t>
      </w:r>
      <w:r>
        <w:t xml:space="preserve">Any habit or craving pattern</w:t>
      </w:r>
    </w:p>
    <w:p>
      <w:pPr>
        <w:pStyle w:val="Compact"/>
        <w:numPr>
          <w:ilvl w:val="0"/>
          <w:numId w:val="1001"/>
        </w:numPr>
      </w:pPr>
      <w:r>
        <w:rPr>
          <w:b/>
          <w:bCs/>
        </w:rPr>
        <w:t xml:space="preserve">No Contraindications:</w:t>
      </w:r>
      <w:r>
        <w:t xml:space="preserve"> </w:t>
      </w:r>
      <w:r>
        <w:t xml:space="preserve">Safe alongside any treatment</w:t>
      </w:r>
    </w:p>
    <w:p>
      <w:pPr>
        <w:pStyle w:val="Compact"/>
        <w:numPr>
          <w:ilvl w:val="0"/>
          <w:numId w:val="1001"/>
        </w:numPr>
      </w:pPr>
      <w:r>
        <w:rPr>
          <w:b/>
          <w:bCs/>
        </w:rPr>
        <w:t xml:space="preserve">Long-Term Use:</w:t>
      </w:r>
      <w:r>
        <w:t xml:space="preserve"> </w:t>
      </w:r>
      <w:r>
        <w:t xml:space="preserve">Supports extended change processes</w:t>
      </w:r>
    </w:p>
    <w:p>
      <w:r>
        <w:pict>
          <v:rect style="width:0;height:1.5pt" o:hralign="center" o:hrstd="t" o:hr="t"/>
        </w:pict>
      </w:r>
    </w:p>
    <w:bookmarkEnd w:id="23"/>
    <w:bookmarkEnd w:id="24"/>
    <w:bookmarkStart w:id="27" w:name="ideal-practitioner-profile"/>
    <w:p>
      <w:pPr>
        <w:pStyle w:val="Heading2"/>
      </w:pPr>
      <w:r>
        <w:t xml:space="preserve">2. IDEAL PRACTITIONER PROFILE</w:t>
      </w:r>
    </w:p>
    <w:bookmarkStart w:id="25" w:name="target-practitioners"/>
    <w:p>
      <w:pPr>
        <w:pStyle w:val="Heading3"/>
      </w:pPr>
      <w:r>
        <w:t xml:space="preserve">Target Practitioners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Practitioner Type</w:t>
            </w:r>
          </w:p>
        </w:tc>
        <w:tc>
          <w:tcPr/>
          <w:p>
            <w:pPr>
              <w:pStyle w:val="Compact"/>
            </w:pPr>
            <w:r>
              <w:t xml:space="preserve">Why Kick It Fits</w:t>
            </w:r>
          </w:p>
        </w:tc>
      </w:tr>
      <w:tr>
        <w:tc>
          <w:tcPr/>
          <w:p>
            <w:pPr>
              <w:pStyle w:val="Compact"/>
            </w:pPr>
            <w:r>
              <w:rPr>
                <w:b/>
                <w:bCs/>
              </w:rPr>
              <w:t xml:space="preserve">Naturopaths</w:t>
            </w:r>
          </w:p>
        </w:tc>
        <w:tc>
          <w:tcPr/>
          <w:p>
            <w:pPr>
              <w:pStyle w:val="Compact"/>
            </w:pPr>
            <w:r>
              <w:t xml:space="preserve">Drug-free cessation and habit support</w:t>
            </w:r>
          </w:p>
        </w:tc>
      </w:tr>
      <w:tr>
        <w:tc>
          <w:tcPr/>
          <w:p>
            <w:pPr>
              <w:pStyle w:val="Compact"/>
            </w:pPr>
            <w:r>
              <w:rPr>
                <w:b/>
                <w:bCs/>
              </w:rPr>
              <w:t xml:space="preserve">Functional Medicine</w:t>
            </w:r>
          </w:p>
        </w:tc>
        <w:tc>
          <w:tcPr/>
          <w:p>
            <w:pPr>
              <w:pStyle w:val="Compact"/>
            </w:pPr>
            <w:r>
              <w:t xml:space="preserve">Behavioral change protocol support</w:t>
            </w:r>
          </w:p>
        </w:tc>
      </w:tr>
      <w:tr>
        <w:tc>
          <w:tcPr/>
          <w:p>
            <w:pPr>
              <w:pStyle w:val="Compact"/>
            </w:pPr>
            <w:r>
              <w:rPr>
                <w:b/>
                <w:bCs/>
              </w:rPr>
              <w:t xml:space="preserve">Integrative Medicine</w:t>
            </w:r>
          </w:p>
        </w:tc>
        <w:tc>
          <w:tcPr/>
          <w:p>
            <w:pPr>
              <w:pStyle w:val="Compact"/>
            </w:pPr>
            <w:r>
              <w:t xml:space="preserve">Multi-modal habit change</w:t>
            </w:r>
          </w:p>
        </w:tc>
      </w:tr>
      <w:tr>
        <w:tc>
          <w:tcPr/>
          <w:p>
            <w:pPr>
              <w:pStyle w:val="Compact"/>
            </w:pPr>
            <w:r>
              <w:rPr>
                <w:b/>
                <w:bCs/>
              </w:rPr>
              <w:t xml:space="preserve">Acupuncturists</w:t>
            </w:r>
          </w:p>
        </w:tc>
        <w:tc>
          <w:tcPr/>
          <w:p>
            <w:pPr>
              <w:pStyle w:val="Compact"/>
            </w:pPr>
            <w:r>
              <w:t xml:space="preserve">Complements addiction/craving treatments</w:t>
            </w:r>
          </w:p>
        </w:tc>
      </w:tr>
      <w:tr>
        <w:tc>
          <w:tcPr/>
          <w:p>
            <w:pPr>
              <w:pStyle w:val="Compact"/>
            </w:pPr>
            <w:r>
              <w:rPr>
                <w:b/>
                <w:bCs/>
              </w:rPr>
              <w:t xml:space="preserve">Chiropractors</w:t>
            </w:r>
          </w:p>
        </w:tc>
        <w:tc>
          <w:tcPr/>
          <w:p>
            <w:pPr>
              <w:pStyle w:val="Compact"/>
            </w:pPr>
            <w:r>
              <w:t xml:space="preserve">Lifestyle change is often part of treatment</w:t>
            </w:r>
          </w:p>
        </w:tc>
      </w:tr>
    </w:tbl>
    <w:bookmarkEnd w:id="25"/>
    <w:bookmarkStart w:id="26" w:name="pain-points-practitioners-experience"/>
    <w:p>
      <w:pPr>
        <w:pStyle w:val="Heading3"/>
      </w:pPr>
      <w:r>
        <w:t xml:space="preserve">Pain Points Practitioners Experience</w:t>
      </w:r>
    </w:p>
    <w:p>
      <w:pPr>
        <w:pStyle w:val="Compact"/>
        <w:numPr>
          <w:ilvl w:val="0"/>
          <w:numId w:val="1002"/>
        </w:numPr>
      </w:pPr>
      <w:r>
        <w:t xml:space="preserve">“Patients struggle with willpower for habit changes I recommend.”</w:t>
      </w:r>
    </w:p>
    <w:p>
      <w:pPr>
        <w:pStyle w:val="Compact"/>
        <w:numPr>
          <w:ilvl w:val="0"/>
          <w:numId w:val="1002"/>
        </w:numPr>
      </w:pPr>
      <w:r>
        <w:t xml:space="preserve">“Smoking cessation medications have concerning side effects.”</w:t>
      </w:r>
    </w:p>
    <w:p>
      <w:pPr>
        <w:pStyle w:val="Compact"/>
        <w:numPr>
          <w:ilvl w:val="0"/>
          <w:numId w:val="1002"/>
        </w:numPr>
      </w:pPr>
      <w:r>
        <w:t xml:space="preserve">“Dietary compliance fails due to cravings, not knowledge.”</w:t>
      </w:r>
    </w:p>
    <w:p>
      <w:pPr>
        <w:pStyle w:val="Compact"/>
        <w:numPr>
          <w:ilvl w:val="0"/>
          <w:numId w:val="1002"/>
        </w:numPr>
      </w:pPr>
      <w:r>
        <w:t xml:space="preserve">“I need drug-free options to support behavioral change.”</w:t>
      </w:r>
    </w:p>
    <w:p>
      <w:pPr>
        <w:pStyle w:val="Compact"/>
        <w:numPr>
          <w:ilvl w:val="0"/>
          <w:numId w:val="1002"/>
        </w:numPr>
      </w:pPr>
      <w:r>
        <w:t xml:space="preserve">“Habit change is critical but patients can’t sustain effort.”</w:t>
      </w:r>
    </w:p>
    <w:p>
      <w:r>
        <w:pict>
          <v:rect style="width:0;height:1.5pt" o:hralign="center" o:hrstd="t" o:hr="t"/>
        </w:pict>
      </w:r>
    </w:p>
    <w:bookmarkEnd w:id="26"/>
    <w:bookmarkEnd w:id="27"/>
    <w:bookmarkStart w:id="30" w:name="opening-scripts"/>
    <w:p>
      <w:pPr>
        <w:pStyle w:val="Heading2"/>
      </w:pPr>
      <w:r>
        <w:t xml:space="preserve">3. OPENING SCRIPTS</w:t>
      </w:r>
    </w:p>
    <w:bookmarkStart w:id="28" w:name="cold-call"/>
    <w:p>
      <w:pPr>
        <w:pStyle w:val="Heading3"/>
      </w:pPr>
      <w:r>
        <w:t xml:space="preserve">1. Cold Call</w:t>
      </w:r>
    </w:p>
    <w:p>
      <w:pPr>
        <w:pStyle w:val="FirstParagraph"/>
      </w:pPr>
      <w:r>
        <w:t xml:space="preserve">“Good morning, this is [Your Name] from Super Patch. I’m reaching out because behavioral change is often the hardest part of treatment – patients know what to do but can’t sustain the willpower. Our Kick It patch uses Vibrotactile Technology to support craving management and self-control – drug-free. Do you have patients who need willpower support for habit changes?”</w:t>
      </w:r>
    </w:p>
    <w:bookmarkEnd w:id="28"/>
    <w:bookmarkStart w:id="29" w:name="email-introduction"/>
    <w:p>
      <w:pPr>
        <w:pStyle w:val="Heading3"/>
      </w:pPr>
      <w:r>
        <w:t xml:space="preserve">2. Email Introduction</w:t>
      </w:r>
    </w:p>
    <w:p>
      <w:pPr>
        <w:pStyle w:val="FirstParagraph"/>
      </w:pPr>
      <w:r>
        <w:rPr>
          <w:b/>
          <w:bCs/>
        </w:rPr>
        <w:t xml:space="preserve">Subject:</w:t>
      </w:r>
      <w:r>
        <w:t xml:space="preserve"> </w:t>
      </w:r>
      <w:r>
        <w:t xml:space="preserve">Drug-Free Willpower Support for Behavior Change</w:t>
      </w:r>
    </w:p>
    <w:p>
      <w:pPr>
        <w:pStyle w:val="BodyText"/>
      </w:pPr>
      <w:r>
        <w:t xml:space="preserve">“Dr. [Name],</w:t>
      </w:r>
    </w:p>
    <w:p>
      <w:pPr>
        <w:pStyle w:val="BodyText"/>
      </w:pPr>
      <w:r>
        <w:t xml:space="preserve">Whether it’s smoking cessation, dietary compliance, or breaking other habits, willpower is often the limiting factor in patient outcomes. Pharmaceutical cessation aids have side effects, and</w:t>
      </w:r>
      <w:r>
        <w:t xml:space="preserve"> </w:t>
      </w:r>
      <w:r>
        <w:t xml:space="preserve">‘try harder’</w:t>
      </w:r>
      <w:r>
        <w:t xml:space="preserve"> </w:t>
      </w:r>
      <w:r>
        <w:t xml:space="preserve">isn’t effective advice.</w:t>
      </w:r>
    </w:p>
    <w:p>
      <w:pPr>
        <w:pStyle w:val="BodyText"/>
      </w:pPr>
      <w:r>
        <w:t xml:space="preserve">Our Kick It patch uses Vibrotactile Technology – neural pathway support for craving management and impulse control. Drug-free, no contraindications.</w:t>
      </w:r>
    </w:p>
    <w:p>
      <w:pPr>
        <w:pStyle w:val="BodyText"/>
      </w:pPr>
      <w:r>
        <w:t xml:space="preserve">Would you be open to discussing how this could support your patients’ behavioral change efforts?</w:t>
      </w:r>
    </w:p>
    <w:p>
      <w:pPr>
        <w:pStyle w:val="BodyText"/>
      </w:pPr>
      <w:r>
        <w:t xml:space="preserve">Best regards,</w:t>
      </w:r>
      <w:r>
        <w:t xml:space="preserve"> </w:t>
      </w:r>
      <w:r>
        <w:t xml:space="preserve">[Your Name]”</w:t>
      </w:r>
    </w:p>
    <w:p>
      <w:r>
        <w:pict>
          <v:rect style="width:0;height:1.5pt" o:hralign="center" o:hrstd="t" o:hr="t"/>
        </w:pict>
      </w:r>
    </w:p>
    <w:bookmarkEnd w:id="29"/>
    <w:bookmarkEnd w:id="30"/>
    <w:bookmarkStart w:id="31" w:name="discovery-questions"/>
    <w:p>
      <w:pPr>
        <w:pStyle w:val="Heading2"/>
      </w:pPr>
      <w:r>
        <w:t xml:space="preserve">4. DISCOVERY QUESTIONS</w:t>
      </w:r>
    </w:p>
    <w:p>
      <w:pPr>
        <w:pStyle w:val="Compact"/>
        <w:numPr>
          <w:ilvl w:val="0"/>
          <w:numId w:val="1003"/>
        </w:numPr>
      </w:pPr>
      <w:r>
        <w:t xml:space="preserve">“How often do patients struggle to follow through on behavioral changes you recommend?”</w:t>
      </w:r>
    </w:p>
    <w:p>
      <w:pPr>
        <w:pStyle w:val="Compact"/>
        <w:numPr>
          <w:ilvl w:val="0"/>
          <w:numId w:val="1003"/>
        </w:numPr>
      </w:pPr>
      <w:r>
        <w:t xml:space="preserve">“What’s your current approach for supporting smoking cessation or other habit changes?”</w:t>
      </w:r>
    </w:p>
    <w:p>
      <w:pPr>
        <w:pStyle w:val="Compact"/>
        <w:numPr>
          <w:ilvl w:val="0"/>
          <w:numId w:val="1003"/>
        </w:numPr>
      </w:pPr>
      <w:r>
        <w:t xml:space="preserve">“Do cravings and willpower challenges undermine dietary compliance in your patients?”</w:t>
      </w:r>
    </w:p>
    <w:p>
      <w:pPr>
        <w:pStyle w:val="Compact"/>
        <w:numPr>
          <w:ilvl w:val="0"/>
          <w:numId w:val="1003"/>
        </w:numPr>
      </w:pPr>
      <w:r>
        <w:t xml:space="preserve">“Are patients asking for drug-free options to support their habit-breaking efforts?”</w:t>
      </w:r>
    </w:p>
    <w:p>
      <w:pPr>
        <w:pStyle w:val="Compact"/>
        <w:numPr>
          <w:ilvl w:val="0"/>
          <w:numId w:val="1003"/>
        </w:numPr>
      </w:pPr>
      <w:r>
        <w:t xml:space="preserve">“Would a willpower support tool complement your behavioral change protocols?”</w:t>
      </w:r>
    </w:p>
    <w:p>
      <w:r>
        <w:pict>
          <v:rect style="width:0;height:1.5pt" o:hralign="center" o:hrstd="t" o:hr="t"/>
        </w:pict>
      </w:r>
    </w:p>
    <w:bookmarkEnd w:id="31"/>
    <w:bookmarkStart w:id="32" w:name="product-presentation-2-minute"/>
    <w:p>
      <w:pPr>
        <w:pStyle w:val="Heading2"/>
      </w:pPr>
      <w:r>
        <w:t xml:space="preserve">5. PRODUCT PRESENTATION (2-Minute)</w:t>
      </w:r>
    </w:p>
    <w:p>
      <w:pPr>
        <w:pStyle w:val="FirstParagraph"/>
      </w:pPr>
      <w:r>
        <w:rPr>
          <w:b/>
          <w:bCs/>
        </w:rPr>
        <w:t xml:space="preserve">[PROBLEM]</w:t>
      </w:r>
      <w:r>
        <w:t xml:space="preserve"> </w:t>
      </w:r>
      <w:r>
        <w:t xml:space="preserve">“Behavioral change is often the most critical – and most difficult – part of treatment. Patients know they should quit smoking, follow dietary recommendations, or break other unhealthy habits. But willpower fails. Cravings win. And pharmaceutical cessation aids, while helpful for some, carry side effects that make many patients avoid them or discontinue.”</w:t>
      </w:r>
    </w:p>
    <w:p>
      <w:pPr>
        <w:pStyle w:val="BodyText"/>
      </w:pPr>
      <w:r>
        <w:rPr>
          <w:b/>
          <w:bCs/>
        </w:rPr>
        <w:t xml:space="preserve">[SOLUTION]</w:t>
      </w:r>
      <w:r>
        <w:t xml:space="preserve"> </w:t>
      </w:r>
      <w:r>
        <w:t xml:space="preserve">“Kick It uses Vibrotactile Technology to support the neural pathways involved in self-control and craving management. Based on Nobel Prize-winning mechanoreceptor research, it provides continuous support for willpower without pharmaceuticals, without side effects, and with broad application across any habit change.</w:t>
      </w:r>
    </w:p>
    <w:p>
      <w:pPr>
        <w:pStyle w:val="BodyText"/>
      </w:pPr>
      <w:r>
        <w:t xml:space="preserve">For your practice: a drug-free tool to support behavioral compliance, 25% practitioner margin, and better patient outcomes on the changes that matter most. Would you like to trial this with patients working on habit changes?”</w:t>
      </w:r>
    </w:p>
    <w:p>
      <w:r>
        <w:pict>
          <v:rect style="width:0;height:1.5pt" o:hralign="center" o:hrstd="t" o:hr="t"/>
        </w:pict>
      </w:r>
    </w:p>
    <w:bookmarkEnd w:id="32"/>
    <w:bookmarkStart w:id="37" w:name="objection-handling"/>
    <w:p>
      <w:pPr>
        <w:pStyle w:val="Heading2"/>
      </w:pPr>
      <w:r>
        <w:t xml:space="preserve">6. OBJECTION HANDLING</w:t>
      </w:r>
    </w:p>
    <w:bookmarkStart w:id="33" w:name="X653a676e75799bef234f06669501443b765d55b"/>
    <w:p>
      <w:pPr>
        <w:pStyle w:val="Heading3"/>
      </w:pPr>
      <w:r>
        <w:t xml:space="preserve">“Habit change requires counseling and behavioral support.”</w:t>
      </w:r>
    </w:p>
    <w:p>
      <w:pPr>
        <w:pStyle w:val="FirstParagraph"/>
      </w:pPr>
      <w:r>
        <w:rPr>
          <w:b/>
          <w:bCs/>
        </w:rPr>
        <w:t xml:space="preserve">Response:</w:t>
      </w:r>
      <w:r>
        <w:t xml:space="preserve"> </w:t>
      </w:r>
      <w:r>
        <w:t xml:space="preserve">“Absolutely – and Kick It complements those interventions. It’s not a replacement for comprehensive cessation programs or behavioral therapy. It’s additional support that helps patients follow through on the changes you’re guiding. When willpower is stronger, counseling is more effective.”</w:t>
      </w:r>
    </w:p>
    <w:bookmarkEnd w:id="33"/>
    <w:bookmarkStart w:id="34" w:name="how-can-a-patch-affect-willpower"/>
    <w:p>
      <w:pPr>
        <w:pStyle w:val="Heading3"/>
      </w:pPr>
      <w:r>
        <w:t xml:space="preserve">“How can a patch affect willpower?”</w:t>
      </w:r>
    </w:p>
    <w:p>
      <w:pPr>
        <w:pStyle w:val="FirstParagraph"/>
      </w:pPr>
      <w:r>
        <w:rPr>
          <w:b/>
          <w:bCs/>
        </w:rPr>
        <w:t xml:space="preserve">Response:</w:t>
      </w:r>
      <w:r>
        <w:t xml:space="preserve"> </w:t>
      </w:r>
      <w:r>
        <w:t xml:space="preserve">“VTT works through mechanoreceptor activation affecting neural pathways involved in impulse control and craving response. The prefrontal cortex and reward system are influenced by broader neural signaling, which mechanoreceptor stimulation can modulate. It’s about supporting the neural infrastructure that makes self-control possible.”</w:t>
      </w:r>
    </w:p>
    <w:bookmarkEnd w:id="34"/>
    <w:bookmarkStart w:id="35" w:name="X3460ed5c04ee5695d9bf799a1d0d7be206a5cc3"/>
    <w:p>
      <w:pPr>
        <w:pStyle w:val="Heading3"/>
      </w:pPr>
      <w:r>
        <w:t xml:space="preserve">“My patients need medical cessation support for serious addictions.”</w:t>
      </w:r>
    </w:p>
    <w:p>
      <w:pPr>
        <w:pStyle w:val="FirstParagraph"/>
      </w:pPr>
      <w:r>
        <w:rPr>
          <w:b/>
          <w:bCs/>
        </w:rPr>
        <w:t xml:space="preserve">Response:</w:t>
      </w:r>
      <w:r>
        <w:t xml:space="preserve"> </w:t>
      </w:r>
      <w:r>
        <w:t xml:space="preserve">“For clinical addiction, medical intervention is appropriate – and Kick It isn’t a replacement. But it can complement medical treatment, and for patients with less severe habits (sugar cravings, stress eating, mild dependencies), it provides drug-free support that may be sufficient or serve as an adjunct.”</w:t>
      </w:r>
    </w:p>
    <w:bookmarkEnd w:id="35"/>
    <w:bookmarkStart w:id="36" w:name="X55f9feb8d07e9055a8211aeaaceca0bb39812d9"/>
    <w:p>
      <w:pPr>
        <w:pStyle w:val="Heading3"/>
      </w:pPr>
      <w:r>
        <w:t xml:space="preserve">“Patients need to build willpower through practice, not products.”</w:t>
      </w:r>
    </w:p>
    <w:p>
      <w:pPr>
        <w:pStyle w:val="FirstParagraph"/>
      </w:pPr>
      <w:r>
        <w:rPr>
          <w:b/>
          <w:bCs/>
        </w:rPr>
        <w:t xml:space="preserve">Response:</w:t>
      </w:r>
      <w:r>
        <w:t xml:space="preserve"> </w:t>
      </w:r>
      <w:r>
        <w:t xml:space="preserve">“Building willpower is a process – and Kick It supports that process. Think of it as training wheels while patients develop stronger self-control. It helps them succeed early, which builds confidence and momentum for sustained change.”</w:t>
      </w:r>
    </w:p>
    <w:p>
      <w:r>
        <w:pict>
          <v:rect style="width:0;height:1.5pt" o:hralign="center" o:hrstd="t" o:hr="t"/>
        </w:pict>
      </w:r>
    </w:p>
    <w:bookmarkEnd w:id="36"/>
    <w:bookmarkEnd w:id="37"/>
    <w:bookmarkStart w:id="40" w:name="closing-scripts"/>
    <w:p>
      <w:pPr>
        <w:pStyle w:val="Heading2"/>
      </w:pPr>
      <w:r>
        <w:t xml:space="preserve">7. CLOSING SCRIPTS</w:t>
      </w:r>
    </w:p>
    <w:bookmarkStart w:id="38" w:name="the-compliance-close"/>
    <w:p>
      <w:pPr>
        <w:pStyle w:val="Heading3"/>
      </w:pPr>
      <w:r>
        <w:t xml:space="preserve">The Compliance Close</w:t>
      </w:r>
    </w:p>
    <w:p>
      <w:pPr>
        <w:pStyle w:val="FirstParagraph"/>
      </w:pPr>
      <w:r>
        <w:t xml:space="preserve">“Patient compliance with your behavioral recommendations improves when willpower has support. Would you like to trial Kick It at your 25% practitioner discount?”</w:t>
      </w:r>
    </w:p>
    <w:bookmarkEnd w:id="38"/>
    <w:bookmarkStart w:id="39" w:name="the-cessation-complement-close"/>
    <w:p>
      <w:pPr>
        <w:pStyle w:val="Heading3"/>
      </w:pPr>
      <w:r>
        <w:t xml:space="preserve">The Cessation Complement Close</w:t>
      </w:r>
    </w:p>
    <w:p>
      <w:pPr>
        <w:pStyle w:val="FirstParagraph"/>
      </w:pPr>
      <w:r>
        <w:t xml:space="preserve">“For patients working on smoking cessation or other habit changes, Kick It provides drug-free complementary support. Should I set up your practitioner account?”</w:t>
      </w:r>
    </w:p>
    <w:p>
      <w:r>
        <w:pict>
          <v:rect style="width:0;height:1.5pt" o:hralign="center" o:hrstd="t" o:hr="t"/>
        </w:pict>
      </w:r>
    </w:p>
    <w:bookmarkEnd w:id="39"/>
    <w:bookmarkEnd w:id="40"/>
    <w:bookmarkStart w:id="42" w:name="quick-reference-card"/>
    <w:p>
      <w:pPr>
        <w:pStyle w:val="Heading2"/>
      </w:pPr>
      <w:r>
        <w:t xml:space="preserve">8. QUICK REFERENCE CARD</w:t>
      </w:r>
    </w:p>
    <w:bookmarkStart w:id="41" w:name="kick-it-b2b-cheat-sheet"/>
    <w:p>
      <w:pPr>
        <w:pStyle w:val="Heading3"/>
      </w:pPr>
      <w:r>
        <w:t xml:space="preserve">KICK IT B2B CHEAT SHEET</w:t>
      </w:r>
    </w:p>
    <w:p>
      <w:pPr>
        <w:pStyle w:val="FirstParagraph"/>
      </w:pPr>
      <w:r>
        <w:rPr>
          <w:b/>
          <w:bCs/>
        </w:rPr>
        <w:t xml:space="preserve">KEY BENEFITS:</w:t>
      </w:r>
      <w:r>
        <w:t xml:space="preserve"> </w:t>
      </w:r>
      <w:r>
        <w:t xml:space="preserve">1. Drug-free willpower and craving management support</w:t>
      </w:r>
      <w:r>
        <w:t xml:space="preserve"> </w:t>
      </w:r>
      <w:r>
        <w:t xml:space="preserve">2. Broad application – any habit or craving pattern</w:t>
      </w:r>
      <w:r>
        <w:t xml:space="preserve"> </w:t>
      </w:r>
      <w:r>
        <w:t xml:space="preserve">3. Complements behavioral change and counseling</w:t>
      </w:r>
    </w:p>
    <w:p>
      <w:pPr>
        <w:pStyle w:val="BodyText"/>
      </w:pPr>
      <w:r>
        <w:rPr>
          <w:b/>
          <w:bCs/>
        </w:rPr>
        <w:t xml:space="preserve">BEST DISCOVERY QUESTION:</w:t>
      </w:r>
      <w:r>
        <w:t xml:space="preserve"> </w:t>
      </w:r>
      <w:r>
        <w:t xml:space="preserve">“How often do patients struggle to follow through on behavioral changes you recommend?”</w:t>
      </w:r>
    </w:p>
    <w:p>
      <w:pPr>
        <w:pStyle w:val="BodyText"/>
      </w:pPr>
      <w:r>
        <w:rPr>
          <w:b/>
          <w:bCs/>
        </w:rPr>
        <w:t xml:space="preserve">TOP OBJECTION RESPONSE:</w:t>
      </w:r>
      <w:r>
        <w:t xml:space="preserve"> </w:t>
      </w:r>
      <w:r>
        <w:t xml:space="preserve">“Need counseling/behavioral support”</w:t>
      </w:r>
      <w:r>
        <w:t xml:space="preserve"> </w:t>
      </w:r>
      <w:r>
        <w:t xml:space="preserve">→ Kick It complements those; makes counseling more effective</w:t>
      </w:r>
    </w:p>
    <w:p>
      <w:pPr>
        <w:pStyle w:val="BodyText"/>
      </w:pPr>
      <w:r>
        <w:rPr>
          <w:b/>
          <w:bCs/>
        </w:rPr>
        <w:t xml:space="preserve">BEST CLOSE:</w:t>
      </w:r>
      <w:r>
        <w:t xml:space="preserve"> </w:t>
      </w:r>
      <w:r>
        <w:t xml:space="preserve">“Better compliance with behavioral recommendations you provide.”</w:t>
      </w:r>
    </w:p>
    <w:p>
      <w:r>
        <w:pict>
          <v:rect style="width:0;height:1.5pt" o:hralign="center" o:hrstd="t" o:hr="t"/>
        </w:pict>
      </w:r>
    </w:p>
    <w:p>
      <w:pPr>
        <w:pStyle w:val="FirstParagraph"/>
      </w:pPr>
      <w:r>
        <w:rPr>
          <w:i/>
          <w:iCs/>
        </w:rPr>
        <w:t xml:space="preserve">B2B Sales Document - Super Patch Healthcare Practitioner Program</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2026-01-05T16:55:41Z</dcterms:created>
  <dcterms:modified xsi:type="dcterms:W3CDTF">2026-01-05T16:55:41Z</dcterms:modified>
</cp:coreProperties>
</file>

<file path=docProps/custom.xml><?xml version="1.0" encoding="utf-8"?>
<Properties xmlns="http://schemas.openxmlformats.org/officeDocument/2006/custom-properties" xmlns:vt="http://schemas.openxmlformats.org/officeDocument/2006/docPropsVTypes"/>
</file>