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bookmarkStart w:id="0" w:name="_Hlk102827599"/>
      <w:bookmarkEnd w:id="0"/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Институт № 1 «Авиационная техника»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Кафедра 107Б «Внешнее проектирование и эффективность авиационных комплексов»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Курсовая работа по дисциплине: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«Аэродинамика»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по теме 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Поверочный расчет аэродинамических характеристик самолета Як-141</w:t>
      </w: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»</w:t>
      </w: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Выполнили: студенты группы М1О-309С-19</w:t>
      </w: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Рачонок Егор Владимирович</w:t>
      </w: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Соляной Леонид Дмитриевич</w:t>
      </w: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Тамбов Никита Витальевич</w:t>
      </w:r>
    </w:p>
    <w:p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Проверил: Мыскин Дмитрий Николаевич</w:t>
      </w:r>
    </w:p>
    <w:p>
      <w:pPr>
        <w:spacing w:after="240" w:line="360" w:lineRule="auto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</w:p>
    <w:p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lang w:eastAsia="en-US"/>
          <w14:textFill>
            <w14:solidFill>
              <w14:schemeClr w14:val="tx1"/>
            </w14:solidFill>
          </w14:textFill>
        </w:rPr>
        <w:t>Москва, 2022</w:t>
      </w:r>
    </w:p>
    <w:sdt>
      <w:sdtPr>
        <w:rPr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d w:val="0"/>
      </w:sdtPr>
      <w:sdtEndPr>
        <w:rPr>
          <w:rFonts w:ascii="Times New Roman" w:hAnsi="Times New Roman" w:cs="Times New Roman" w:eastAsia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sdtEndPr>
      <w:sdtContent>
        <w:p>
          <w:pPr>
            <w:pStyle w:val="15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rPr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"_Toc102832080" </w:instrText>
          </w:r>
          <w:r>
            <w:fldChar w:fldCharType="separate"/>
          </w:r>
          <w:r>
            <w:rPr>
              <w:rStyle w:val="11"/>
            </w:rPr>
            <w:t>Расчет параметров атмосферы:</w:t>
          </w:r>
          <w:r>
            <w:tab/>
          </w:r>
          <w:r>
            <w:fldChar w:fldCharType="begin"/>
          </w:r>
          <w:r>
            <w:instrText xml:space="preserve"> PAGEREF _Toc102832080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"_Toc102832081" </w:instrText>
          </w:r>
          <w:r>
            <w:fldChar w:fldCharType="separate"/>
          </w:r>
          <w:r>
            <w:rPr>
              <w:rStyle w:val="11"/>
            </w:rPr>
            <w:t>Схематизация аэродинамической компоновки самолета.</w:t>
          </w:r>
          <w:r>
            <w:tab/>
          </w:r>
          <w:r>
            <w:fldChar w:fldCharType="begin"/>
          </w:r>
          <w:r>
            <w:instrText xml:space="preserve"> PAGEREF _Toc102832081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"_Toc102832082" </w:instrText>
          </w:r>
          <w:r>
            <w:fldChar w:fldCharType="separate"/>
          </w:r>
          <w:r>
            <w:rPr>
              <w:rStyle w:val="11"/>
            </w:rPr>
            <w:t>Расчет параметров стандартной атмосферы.</w:t>
          </w:r>
          <w:r>
            <w:tab/>
          </w:r>
          <w:r>
            <w:fldChar w:fldCharType="begin"/>
          </w:r>
          <w:r>
            <w:instrText xml:space="preserve"> PAGEREF _Toc102832082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"_Toc102832083" </w:instrText>
          </w:r>
          <w:r>
            <w:fldChar w:fldCharType="separate"/>
          </w:r>
          <w:r>
            <w:rPr>
              <w:rStyle w:val="11"/>
            </w:rPr>
            <w:t>Расчет геометрических параметров самолета:</w:t>
          </w:r>
          <w:r>
            <w:tab/>
          </w:r>
          <w:r>
            <w:fldChar w:fldCharType="begin"/>
          </w:r>
          <w:r>
            <w:instrText xml:space="preserve"> PAGEREF _Toc102832083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"_Toc102832084" </w:instrText>
          </w:r>
          <w:r>
            <w:fldChar w:fldCharType="separate"/>
          </w:r>
          <w:r>
            <w:rPr>
              <w:rStyle w:val="11"/>
            </w:rPr>
            <w:t>Расчет геометрических параметров фюзеляжа.</w:t>
          </w:r>
          <w:r>
            <w:tab/>
          </w:r>
          <w:r>
            <w:fldChar w:fldCharType="begin"/>
          </w:r>
          <w:r>
            <w:instrText xml:space="preserve"> PAGEREF _Toc102832084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"_Toc102832085" </w:instrText>
          </w:r>
          <w:r>
            <w:fldChar w:fldCharType="separate"/>
          </w:r>
          <w:r>
            <w:rPr>
              <w:rStyle w:val="11"/>
            </w:rPr>
            <w:t>Расчет геометрических параметров несущей поверхности.</w:t>
          </w:r>
          <w:r>
            <w:tab/>
          </w:r>
          <w:r>
            <w:fldChar w:fldCharType="begin"/>
          </w:r>
          <w:r>
            <w:instrText xml:space="preserve"> PAGEREF _Toc102832085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HYPERLINK \l "_Toc102832086" </w:instrText>
          </w:r>
          <w:r>
            <w:fldChar w:fldCharType="separate"/>
          </w:r>
          <w:r>
            <w:rPr>
              <w:rStyle w:val="11"/>
            </w:rPr>
            <w:t>Определение критического числа Маха.</w:t>
          </w:r>
          <w:r>
            <w:tab/>
          </w:r>
          <w:r>
            <w:fldChar w:fldCharType="begin"/>
          </w:r>
          <w:r>
            <w:instrText xml:space="preserve"> PAGEREF _Toc102832086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ind w:firstLine="709"/>
            <w:jc w:val="both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spacing w:after="16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Исходные данные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Расчетные числа Маха, высота и температура представлены в табл. 1.</w:t>
      </w:r>
    </w:p>
    <w:p>
      <w:pPr>
        <w:pStyle w:val="4"/>
        <w:keepNext/>
        <w:spacing w:line="360" w:lineRule="auto"/>
        <w:ind w:firstLine="709"/>
        <w:jc w:val="right"/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Табл</w:t>
      </w:r>
      <w:r>
        <w:rPr>
          <w:i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Таблица \* ARABIC </w:instrTex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667"/>
        <w:gridCol w:w="668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2" w:type="dxa"/>
            <w:gridSpan w:val="4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H=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000м</w:t>
            </w:r>
          </w:p>
        </w:tc>
        <w:tc>
          <w:tcPr>
            <w:tcW w:w="4673" w:type="dxa"/>
            <w:gridSpan w:val="4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Δ</w:t>
            </w:r>
            <w:r>
              <w:rPr>
                <w:rFonts w:ascii="Cambria Math" w:hAnsi="Cambria Math" w:cs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𝑡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0.4</w:t>
            </w:r>
          </w:p>
        </w:tc>
        <w:tc>
          <w:tcPr>
            <w:tcW w:w="1335" w:type="dxa"/>
            <w:gridSpan w:val="2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1.6</w:t>
            </w:r>
          </w:p>
        </w:tc>
        <w:tc>
          <w:tcPr>
            <w:tcW w:w="1335" w:type="dxa"/>
          </w:tcPr>
          <w:p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1.8</w:t>
            </w:r>
          </w:p>
        </w:tc>
      </w:tr>
    </w:tbl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Компоновочная схема самолета представлена на рис. 1.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/>
        <w:spacing w:line="360" w:lineRule="auto"/>
        <w:ind w:left="-1701"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010400" cy="5207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385" cy="52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09"/>
        <w:jc w:val="center"/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Рис. 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after="160" w:line="259" w:lineRule="auto"/>
      </w:pPr>
      <w:r>
        <w:br w:type="page"/>
      </w: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1" w:name="_Toc102832081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Схематизация аэродинамической компоновки самолета.</w:t>
      </w:r>
      <w:bookmarkEnd w:id="1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Схематизация аэродинамической компоновки самолета представлена на рис. 2. 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Схематизация аэродинамической компоновки вертикального и горизонтального оперения представлена на рис. 3.</w:t>
      </w:r>
    </w:p>
    <w:p>
      <w:pPr>
        <w:spacing w:after="16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keepNext/>
        <w:spacing w:after="160"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639810" cy="6111875"/>
            <wp:effectExtent l="0" t="0" r="9525" b="21590"/>
            <wp:docPr id="3" name="Picture 3" descr="Чертёж (ver.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Чертёж (ver. 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98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after="160"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1345" cy="4636770"/>
            <wp:effectExtent l="1588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5592" cy="46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09"/>
        <w:jc w:val="center"/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Рис. 3</w:t>
      </w:r>
    </w:p>
    <w:p>
      <w:pPr>
        <w:spacing w:after="16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spacing w:after="16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2" w:name="_Toc102832082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Расчет параметров стандартной атмосферы.</w:t>
      </w:r>
      <w:bookmarkEnd w:id="2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Геостационарная высота:</w:t>
      </w:r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г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6356766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6356766+</m:t>
              </m:r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H=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6356766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6356766+6000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6000=5994.342</m:t>
          </m:r>
        </m:oMath>
      </m:oMathPara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(м)</m:t>
                </m:r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&lt;11000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Theme="minor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г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eastAsiaTheme="minor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(м)</m:t>
                </m:r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(К)</m:t>
                </m:r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288.15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 xml:space="preserve"> (Па)</m:t>
                </m:r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1013.25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Theme="minorEastAsia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2752" w:type="dxa"/>
          </w:tcPr>
          <w:p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Theme="minorEastAsia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-0.0065</m:t>
                </m:r>
              </m:oMath>
            </m:oMathPara>
          </w:p>
        </w:tc>
      </w:tr>
    </w:tbl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∆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H</m:t>
          </m:r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г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sSub>
                <m:sSub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г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 w:eastAsiaTheme="minorEastAsia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=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5994.342</m:t>
          </m:r>
        </m:oMath>
      </m:oMathPara>
    </w:p>
    <w:p>
      <w:pPr>
        <w:spacing w:line="360" w:lineRule="auto"/>
        <w:ind w:firstLine="709"/>
        <w:jc w:val="both"/>
        <w:rPr>
          <w:rFonts w:eastAsiaTheme="minorEastAsi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T=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b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∆H+∆T=244.186(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К</m:t>
          </m:r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P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sSup>
            <m:sSup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Theme="minorEastAsia"/>
                              <w:i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eastAsiaTheme="minor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Theme="minorEastAsia"/>
                              <w:i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w:rPr>
                      <w:rFonts w:ascii="Cambria Math" w:hAnsi="Cambria Math" w:eastAsiaTheme="minorEastAsia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H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-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9,80665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eastAsiaTheme="minor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eastAsiaTheme="minorEastAsia"/>
                          <w:i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eastAsiaTheme="minorEastAsia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 </m:t>
                  </m:r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287,05287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=472.176 (Па)</m:t>
          </m:r>
        </m:oMath>
      </m:oMathPara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ρ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 xml:space="preserve">10,1972 </m:t>
              </m:r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 xml:space="preserve">287,05287 </m:t>
              </m:r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=0.068(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кг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spacing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a</m:t>
          </m:r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=20,046796</m:t>
          </m:r>
          <m:rad>
            <m:radPr>
              <m:degHide m:val="1"/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radPr>
            <m:deg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g>
            <m:e>
              <m:r>
                <w:rPr>
                  <w:rFonts w:ascii="Cambria Math" w:hAnsi="Cambria Math" w:eastAsiaTheme="minorEastAsia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rad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=313.260(</m:t>
          </m:r>
          <m:f>
            <m:fP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м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w:rPr>
                  <w:rFonts w:ascii="Cambria Math" w:hAnsi="Cambria Math" w:eastAsiaTheme="minorEastAsia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с</m:t>
              </m:r>
              <m:ctrlPr>
                <w:rPr>
                  <w:rFonts w:ascii="Cambria Math" w:hAnsi="Cambria Math" w:eastAsiaTheme="minorEastAsia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w:rPr>
              <w:rFonts w:ascii="Cambria Math" w:hAnsi="Cambria Math" w:eastAsia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spacing w:after="160" w:line="360" w:lineRule="auto"/>
        <w:ind w:firstLine="709"/>
        <w:jc w:val="both"/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3" w:name="_Toc102832083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Расчет геометрических параметров самолета:</w:t>
      </w:r>
      <w:bookmarkEnd w:id="3"/>
    </w:p>
    <w:p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102832084"/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Расчет геометрических параметров фюзеляжа.</w:t>
      </w:r>
      <w:bookmarkEnd w:id="4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фюзеляжа: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ф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носовой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нос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нос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цилиндрической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цил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цил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кормовой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корм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корм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Сужение носовой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η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нос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нос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6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Сужение кормовой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η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корм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корм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ф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262"/>
        <w:gridCol w:w="3260"/>
      </w:tblGrid>
      <w:tr>
        <w:trPr>
          <w:trHeight w:val="113" w:hRule="atLeast"/>
          <w:jc w:val="center"/>
        </w:trPr>
        <w:tc>
          <w:tcPr>
            <w:tcW w:w="934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Табл. 2</w:t>
            </w:r>
          </w:p>
        </w:tc>
      </w:tr>
      <w:tr>
        <w:trPr>
          <w:trHeight w:val="113" w:hRule="atLeast"/>
          <w:jc w:val="center"/>
        </w:trPr>
        <w:tc>
          <w:tcPr>
            <w:tcW w:w="9345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Фюзеляж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Длина фюзеляжа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17.0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Длина носовой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нос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Длина цилиндрической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цил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7.56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Длина кормовой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корм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5.34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Диаметр носовой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нос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0.88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Диаметр кормовой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корм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1.27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Диаметр цилиндрической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цил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tabs>
                <w:tab w:val="left" w:pos="1035"/>
              </w:tabs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1.92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Диаметр фюзеляжа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3260" w:type="dxa"/>
          </w:tcPr>
          <w:p>
            <w:pPr>
              <w:tabs>
                <w:tab w:val="left" w:pos="1035"/>
              </w:tabs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1.92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фюзеляжа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8.854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носовой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нос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2.135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цилиндрической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цил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3.937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кормовой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корм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2.781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носовой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нос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0.458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кормовой части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корм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0.661</w:t>
            </w:r>
          </w:p>
        </w:tc>
      </w:tr>
      <w:tr>
        <w:trPr>
          <w:trHeight w:val="113" w:hRule="atLeast"/>
          <w:jc w:val="center"/>
        </w:trPr>
        <w:tc>
          <w:tcPr>
            <w:tcW w:w="382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фюзеляжа</w:t>
            </w:r>
          </w:p>
        </w:tc>
        <w:tc>
          <w:tcPr>
            <w:tcW w:w="2262" w:type="dxa"/>
          </w:tcPr>
          <w:p>
            <w:pPr>
              <w:spacing w:line="360" w:lineRule="auto"/>
              <w:jc w:val="center"/>
              <w:rPr>
                <w:rFonts w:ascii="Cambria Math" w:hAnsi="Cambria Math"/>
                <w:i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vertAlign w:val="baseline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color w:val="000000" w:themeColor="text1"/>
                        <w:vertAlign w:val="baseline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vertAlign w:val="baseline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00" w:themeColor="text1"/>
                        <w:vertAlign w:val="baseline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vertAlign w:val="baseline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25.673</w:t>
            </w:r>
            <w:bookmarkStart w:id="7" w:name="_GoBack"/>
            <w:bookmarkEnd w:id="7"/>
          </w:p>
        </w:tc>
      </w:tr>
    </w:tbl>
    <w:p>
      <w:pPr>
        <w:spacing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160"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5" w:name="_Toc102832085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Расчет геометрических параметров несущей поверхности.</w:t>
      </w:r>
      <w:bookmarkEnd w:id="5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несущей поверхности (крыло, ГО):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λ=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консоли несущей поверхности (крыло, ГО):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ВО: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во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кво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во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во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Удлинение консоли ВО: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баз во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во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фво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баз во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Сужение несущей поверхности с подфюзеляжной частью: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η=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16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Сужение консольной части несущей поверхности: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:t>η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m:t>к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б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m:t>к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3"/>
        <w:gridCol w:w="143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934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60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Табл.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9345" w:type="dxa"/>
            <w:gridSpan w:val="3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Несущие поверхности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Размах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l</m:t>
              </m:r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9.81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s</m:t>
              </m:r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Размах консольной части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ккр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консольной части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ккр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Высота вертикального оперения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во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вертикального оперения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во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Концевая хорда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Бортовая</w:t>
            </w: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хорда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б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Центральная хорда крыла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несущей поверхности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rFonts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консольной части несущей поверхности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ВО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во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ВО с подф. частью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баз во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несущей поверхности с подф. частью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m:t>η</m:t>
                </m:r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консольной части несущей поверхности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Размах горизонтального оперения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горизонтального оперения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Размах консольной части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Площадь консольной части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м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w:rPr>
                      <w:rFonts w:ascii="Cambria Math" w:hAnsi="Cambria Math" w:eastAsiaTheme="minorEastAsia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Бортовая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хорда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бго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Концевая хорда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:t>кго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</m:oMath>
            <w:r>
              <w:rPr>
                <w:rFonts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м</w:t>
            </w:r>
          </w:p>
        </w:tc>
        <w:tc>
          <w:tcPr>
            <w:tcW w:w="1697" w:type="dxa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both"/>
              <w:rPr>
                <w:rFonts w:eastAsia="Calibri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Удлинение консольной части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кго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auto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Сужение консольной части ГО</w:t>
            </w:r>
          </w:p>
        </w:tc>
        <w:tc>
          <w:tcPr>
            <w:tcW w:w="1435" w:type="dxa"/>
          </w:tcPr>
          <w:p>
            <w:pPr>
              <w:spacing w:line="360" w:lineRule="auto"/>
              <w:jc w:val="both"/>
              <w:rPr>
                <w:rFonts w:eastAsia="Calibri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кго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САХ крыла с подфюзеляжной частью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r>
                  <w:rPr>
                    <w:rFonts w:ascii="Cambria Math" w:hAnsi="Cambria Math" w:eastAsia="Calibri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bA</m:t>
                </m:r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САХ консольной части крыла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="Calibri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bA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="Calibri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САХ ГО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="Calibri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bA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="Calibri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го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213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САХ ГО консольной части</w:t>
            </w:r>
          </w:p>
        </w:tc>
        <w:tc>
          <w:tcPr>
            <w:tcW w:w="1435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rFonts w:eastAsia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eastAsia="Calibri"/>
                        <w:color w:val="000000" w:themeColor="text1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bA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eastAsia="Calibri"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кго</m:t>
                    </m:r>
                    <m:ctrlPr>
                      <w:rPr>
                        <w:rFonts w:ascii="Cambria Math" w:hAnsi="Cambria Math" w:eastAsia="Calibri"/>
                        <w:i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>
            <w:pPr>
              <w:spacing w:line="360" w:lineRule="auto"/>
              <w:jc w:val="both"/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1.810</w:t>
            </w:r>
          </w:p>
        </w:tc>
      </w:tr>
    </w:tbl>
    <w:p>
      <w:pPr>
        <w:spacing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160" w:line="360" w:lineRule="auto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bookmarkStart w:id="6" w:name="_Toc102832086"/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Определение критического числа Маха.</w:t>
      </w:r>
      <w:bookmarkEnd w:id="6"/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Критическое число Маха самолета можно считать равным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крыла для нормальной аэродинамической схемы.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Так как аэродинамические коэффициенты фюзеляжа в трансзвуковом диапазоне чисел Маха изменяются более плавно, чем соответствующие коэффициенты крыла или ПГО, то вполне допустимо пренебречь значением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фюзеляжа, меньшим по величине числа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крыла или ПГО.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Критическое число Маха крыла зависит от формы и толщины профиля, формы крыла в плане и от подъемной силы крыла (т.е. угла атаки). В соответствии с этим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представляется в виде суммы:</w:t>
      </w:r>
    </w:p>
    <w:p>
      <w:pPr>
        <w:spacing w:line="360" w:lineRule="auto"/>
        <w:ind w:firstLine="709"/>
        <w:jc w:val="both"/>
        <w:rPr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кр.проф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крλ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крχ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</m:oMath>
      </m:oMathPara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кр.проф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-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для профиля крыла;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крλ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m:oMath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крχ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дополнительные члены, учитывающие влияние удлинения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и стреловидности, крыла на величину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кр.проф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при заданном значении коэффициента подъемной силы можно оценить по формуле:</w:t>
      </w:r>
    </w:p>
    <w:p>
      <w:pPr>
        <w:spacing w:line="360" w:lineRule="auto"/>
        <w:ind w:firstLine="709"/>
        <w:jc w:val="both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кр.проф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=1-0.7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rad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-3.2×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acc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×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ya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1.5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iCs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ya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-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значение коэффициента подъемной силы крыла при заданном угле атаки,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- относительная толщина профиля.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С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ya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=0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</m:acc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max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×100%=0.04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 прф</m:t>
            </m:r>
            <m:ctrlPr>
              <w:rPr>
                <w:rFonts w:ascii="Cambria Math" w:hAnsi="Cambria Math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=1-0.7×0.2-0=0.859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λ=2.973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r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χ</m:t>
        </m:r>
        <m: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=40°</m:t>
        </m:r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крλ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крχ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определяются по графикам.</w:t>
      </w:r>
    </w:p>
    <w:p>
      <w:pPr>
        <w:keepNext/>
        <w:spacing w:line="360" w:lineRule="auto"/>
        <w:ind w:left="-1134"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978015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4256" cy="24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09"/>
        <w:jc w:val="both"/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 4</w:t>
      </w:r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крλ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 xml:space="preserve">=0.01      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крχ</m:t>
              </m:r>
              <m:ctrlPr>
                <w:rPr>
                  <w:rFonts w:ascii="Cambria Math" w:hAnsi="Cambria Math"/>
                  <w:i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:lang w:val="en-US"/>
              <w14:textFill>
                <w14:solidFill>
                  <w14:schemeClr w14:val="tx1"/>
                </w14:solidFill>
              </w14:textFill>
            </w:rPr>
            <m:t>=0.09</m:t>
          </m:r>
        </m:oMath>
      </m:oMathPara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09"/>
        <w:jc w:val="both"/>
        <w:rPr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кр.проф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крλ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m:t>крχ</m:t>
              </m:r>
              <m:ctrlPr>
                <w:rPr>
                  <w:rFonts w:ascii="Cambria Math" w:hAnsi="Cambria Math"/>
                  <w:i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w:rPr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= 0.859+0.01+0.09= 0.959</m:t>
          </m:r>
        </m:oMath>
      </m:oMathPara>
    </w:p>
    <w:p>
      <w:pPr>
        <w:spacing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ourier New">
    <w:panose1 w:val="020706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mbria Math">
    <w:altName w:val="Kingsoft Math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Kingsoft Math">
    <w:panose1 w:val="02040503050406030204"/>
    <w:charset w:val="CC"/>
    <w:family w:val="roman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3FBA"/>
    <w:multiLevelType w:val="multilevel"/>
    <w:tmpl w:val="584D3FBA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C0264D"/>
    <w:multiLevelType w:val="multilevel"/>
    <w:tmpl w:val="5EC0264D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AB"/>
    <w:rsid w:val="00013B05"/>
    <w:rsid w:val="00015D46"/>
    <w:rsid w:val="00142164"/>
    <w:rsid w:val="0016628C"/>
    <w:rsid w:val="001A68A7"/>
    <w:rsid w:val="00200DE1"/>
    <w:rsid w:val="002A132B"/>
    <w:rsid w:val="002E18C6"/>
    <w:rsid w:val="00301911"/>
    <w:rsid w:val="0035692F"/>
    <w:rsid w:val="0036262E"/>
    <w:rsid w:val="004E1EFC"/>
    <w:rsid w:val="00545D40"/>
    <w:rsid w:val="00550413"/>
    <w:rsid w:val="005B2E32"/>
    <w:rsid w:val="005B6D27"/>
    <w:rsid w:val="005E6888"/>
    <w:rsid w:val="00645E56"/>
    <w:rsid w:val="0072676F"/>
    <w:rsid w:val="00786A7C"/>
    <w:rsid w:val="007A6D11"/>
    <w:rsid w:val="007D0675"/>
    <w:rsid w:val="008128C4"/>
    <w:rsid w:val="00837925"/>
    <w:rsid w:val="00886D9F"/>
    <w:rsid w:val="00A43706"/>
    <w:rsid w:val="00A742CF"/>
    <w:rsid w:val="00AD658A"/>
    <w:rsid w:val="00B23F7E"/>
    <w:rsid w:val="00B36DF4"/>
    <w:rsid w:val="00BE4DB6"/>
    <w:rsid w:val="00D25E53"/>
    <w:rsid w:val="00DE6F3A"/>
    <w:rsid w:val="00E704E8"/>
    <w:rsid w:val="00EB4657"/>
    <w:rsid w:val="00EE0B34"/>
    <w:rsid w:val="00F44858"/>
    <w:rsid w:val="00F72CAB"/>
    <w:rsid w:val="00FC4198"/>
    <w:rsid w:val="3AE85CEA"/>
    <w:rsid w:val="3BED9305"/>
    <w:rsid w:val="7DEBB81C"/>
    <w:rsid w:val="7F9FD087"/>
    <w:rsid w:val="7FDFC660"/>
    <w:rsid w:val="9FFF76F4"/>
    <w:rsid w:val="DFAF3ED7"/>
    <w:rsid w:val="FFFFF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HAns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8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/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4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Заголовок 1 Знак"/>
    <w:basedOn w:val="10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1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17">
    <w:name w:val="Заголовок 2 Знак"/>
    <w:basedOn w:val="10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ru-RU"/>
    </w:rPr>
  </w:style>
  <w:style w:type="character" w:customStyle="1" w:styleId="18">
    <w:name w:val="Верхний колонтитул Знак"/>
    <w:basedOn w:val="10"/>
    <w:link w:val="6"/>
    <w:qFormat/>
    <w:uiPriority w:val="99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9">
    <w:name w:val="Нижний колонтитул Знак"/>
    <w:basedOn w:val="10"/>
    <w:link w:val="5"/>
    <w:qFormat/>
    <w:uiPriority w:val="99"/>
    <w:rPr>
      <w:rFonts w:ascii="Times New Roman" w:hAnsi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952</Words>
  <Characters>5430</Characters>
  <Lines>45</Lines>
  <Paragraphs>12</Paragraphs>
  <TotalTime>0</TotalTime>
  <ScaleCrop>false</ScaleCrop>
  <LinksUpToDate>false</LinksUpToDate>
  <CharactersWithSpaces>6370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2022-05-02T16:02:00Z</dcterms:created>
  <dc:creator>Егор Рачонок</dc:creator>
  <cp:lastModifiedBy>tambov</cp:lastModifiedBy>
  <dcterms:modified xsi:type="dcterms:W3CDTF">2022-05-14T17:47:02Z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