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">
  <w:body>
    <w:p w14:paraId="00000001">
      <w:pPr>
        <w:pStyle w:val="mdH1"/>
        <w:keepNext/>
        <w:spacing w:before="240" w:after="120"/>
        <w:outlineLvl w:val="0"/>
        <w:rPr/>
      </w:pPr>
      <w:r>
        <w:rPr>
          <w:rFonts w:ascii="Times New Roman" w:hAnsi="Times New Roman" w:cs="Times New Roman" w:eastAsia="宋体"/>
          <w:b/>
          <w:bCs/>
          <w:color w:val="1F3864"/>
          <w:sz w:val="36"/>
          <w:szCs w:val="36"/>
        </w:rPr>
        <w:t xml:space="preserve">一级标题：Markdown 转 Word 验证</w:t>
      </w:r>
    </w:p>
    <w:p w14:paraId="00000002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这是一段普通正文，用来验证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 xml:space="preserve">加粗</w:t>
      </w:r>
      <w:r>
        <w:rPr>
          <w:rFonts w:ascii="Times New Roman" w:hAnsi="Times New Roman" w:cs="Times New Roman" w:eastAsia="宋体"/>
          <w:sz w:val="24"/>
          <w:szCs w:val="24"/>
        </w:rPr>
        <w:t xml:space="preserve">、</w:t>
      </w:r>
      <w:r>
        <w:rPr>
          <w:rFonts w:ascii="Times New Roman" w:hAnsi="Times New Roman" w:cs="Times New Roman" w:eastAsia="宋体"/>
          <w:i/>
          <w:iCs/>
          <w:sz w:val="24"/>
          <w:szCs w:val="24"/>
        </w:rPr>
        <w:t xml:space="preserve">斜体</w:t>
      </w:r>
      <w:r>
        <w:rPr>
          <w:rFonts w:ascii="Times New Roman" w:hAnsi="Times New Roman" w:cs="Times New Roman" w:eastAsia="宋体"/>
          <w:sz w:val="24"/>
          <w:szCs w:val="24"/>
        </w:rPr>
        <w:t xml:space="preserve">、</w:t>
      </w:r>
      <w:r>
        <w:rPr>
          <w:rFonts w:ascii="Consolas" w:hAnsi="Consolas" w:cs="Consolas" w:eastAsia="宋体"/>
          <w:sz w:val="24"/>
          <w:szCs w:val="24"/>
          <w:shd w:val="clear" w:color="auto" w:fill="F2F2F2"/>
        </w:rPr>
        <w:t xml:space="preserve">行内代码</w:t>
      </w:r>
      <w:r>
        <w:rPr>
          <w:rFonts w:ascii="Times New Roman" w:hAnsi="Times New Roman" w:cs="Times New Roman" w:eastAsia="宋体"/>
          <w:sz w:val="24"/>
          <w:szCs w:val="24"/>
        </w:rPr>
        <w:t xml:space="preserve">、</w:t>
      </w:r>
      <w:r>
        <w:rPr>
          <w:rFonts w:ascii="Times New Roman" w:hAnsi="Times New Roman" w:cs="Times New Roman" w:eastAsia="宋体"/>
          <w:strike/>
          <w:sz w:val="24"/>
          <w:szCs w:val="24"/>
        </w:rPr>
        <w:t xml:space="preserve">删除线</w:t>
      </w:r>
      <w:r>
        <w:rPr>
          <w:rFonts w:ascii="Times New Roman" w:hAnsi="Times New Roman" w:cs="Times New Roman" w:eastAsia="宋体"/>
          <w:sz w:val="24"/>
          <w:szCs w:val="24"/>
        </w:rPr>
        <w:t xml:space="preserve"> 以及</w:t>
      </w:r>
      <w:hyperlink r:id="rIdHyperlink1" w:history="1">
        <w:r>
          <w:rPr>
            <w:rFonts w:ascii="Times New Roman" w:hAnsi="Times New Roman" w:cs="Times New Roman" w:eastAsia="宋体"/>
            <w:color w:val="0563C1"/>
            <w:sz w:val="24"/>
            <w:szCs w:val="24"/>
          </w:rPr>
          <w:t xml:space="preserve">超链接</w:t>
        </w:r>
      </w:hyperlink>
      <w:r>
        <w:rPr>
          <w:rFonts w:ascii="Times New Roman" w:hAnsi="Times New Roman" w:cs="Times New Roman" w:eastAsia="宋体"/>
          <w:sz w:val="24"/>
          <w:szCs w:val="24"/>
        </w:rPr>
        <w:t xml:space="preserve">的呈现。</w:t>
      </w:r>
      <w:r>
        <w:rPr>
          <w:rFonts w:ascii="Times New Roman" w:hAnsi="Times New Roman" w:cs="Times New Roman" w:eastAsia="宋体"/>
          <w:sz w:val="24"/>
          <w:szCs w:val="24"/>
        </w:rPr>
        <w:t xml:space="preserve">中英文混排时，换行处不应该多出空格，这一点在中文段落里很重要。</w:t>
      </w:r>
    </w:p>
    <w:p w14:paraId="00000003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二级标题：列表</w:t>
      </w:r>
    </w:p>
    <w:p w14:paraId="00000004">
      <w:pPr>
        <w:numPr>
          <w:ilvl w:val="0"/>
          <w:numId w:val="2"/>
        </w:numPr>
        <w:rPr/>
      </w:pPr>
    </w:p>
    <w:p w14:paraId="00000005">
      <w:pPr>
        <w:numPr>
          <w:ilvl w:val="1"/>
          <w:numId w:val="1"/>
        </w:numPr>
        <w:rPr/>
      </w:pPr>
    </w:p>
    <w:p w14:paraId="00000006">
      <w:pPr>
        <w:numPr>
          <w:ilvl w:val="2"/>
          <w:numId w:val="2"/>
        </w:numPr>
        <w:rPr/>
      </w:pPr>
    </w:p>
    <w:p w14:paraId="00000007">
      <w:pPr>
        <w:numPr>
          <w:ilvl w:val="1"/>
          <w:numId w:val="1"/>
        </w:numPr>
        <w:rPr/>
      </w:pPr>
    </w:p>
    <w:p w14:paraId="00000008">
      <w:pPr>
        <w:numPr>
          <w:ilvl w:val="0"/>
          <w:numId w:val="2"/>
        </w:numPr>
        <w:rPr/>
      </w:pPr>
    </w:p>
    <w:p w14:paraId="00000009">
      <w:pPr>
        <w:numPr>
          <w:ilvl w:val="0"/>
          <w:numId w:val="2"/>
        </w:numPr>
        <w:rPr/>
      </w:pPr>
    </w:p>
    <w:p w14:paraId="0000000a">
      <w:pPr>
        <w:numPr>
          <w:ilvl w:val="0"/>
          <w:numId w:val="1"/>
        </w:numPr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☑ </w:t>
      </w:r>
    </w:p>
    <w:p w14:paraId="0000000b">
      <w:pPr>
        <w:numPr>
          <w:ilvl w:val="0"/>
          <w:numId w:val="1"/>
        </w:numPr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☐ </w:t>
      </w:r>
    </w:p>
    <w:p w14:paraId="0000000c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二级标题：引用</w:t>
      </w:r>
    </w:p>
    <w:p w14:paraId="0000000d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这是引用块的内容。</w:t>
      </w: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引用可以有多行，并且会带上左侧竖线。</w:t>
      </w:r>
    </w:p>
    <w:p w14:paraId="0000000e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二级标题：表格</w:t>
      </w:r>
    </w:p>
    <w:tbl>
      <w:tblPr>
        <w:tblW w:w="9068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2267" w:type="dxa"/>
        <w:gridCol w:w="2267" w:type="dxa"/>
        <w:gridCol w:w="2267" w:type="dxa"/>
        <w:gridCol w:w="2267" w:type="dxa"/>
      </w:tblGrid>
      <w:tr>
        <w:trPr/>
        <w:tc>
          <w:tcPr>
            <w:tcW w:w="2267" w:type="dxa"/>
          </w:tcPr>
          <w:p w14:paraId="0000000f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字体</w:t>
            </w:r>
          </w:p>
        </w:tc>
        <w:tc>
          <w:tcPr>
            <w:tcW w:w="2267" w:type="dxa"/>
          </w:tcPr>
          <w:p w14:paraId="00000010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文本</w:t>
            </w:r>
          </w:p>
        </w:tc>
        <w:tc>
          <w:tcPr>
            <w:tcW w:w="2267" w:type="dxa"/>
          </w:tcPr>
          <w:p w14:paraId="00000011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宋体</w:t>
            </w:r>
          </w:p>
        </w:tc>
        <w:tc>
          <w:tcPr>
            <w:tcW w:w="2267" w:type="dxa"/>
          </w:tcPr>
          <w:p w14:paraId="00000012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12</w:t>
            </w:r>
          </w:p>
        </w:tc>
      </w:tr>
      <w:tr>
        <w:trPr/>
        <w:tc>
          <w:tcPr>
            <w:tcW w:w="2267" w:type="dxa"/>
          </w:tcPr>
          <w:p w14:paraId="00000013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行距</w:t>
            </w:r>
          </w:p>
        </w:tc>
        <w:tc>
          <w:tcPr>
            <w:tcW w:w="2267" w:type="dxa"/>
          </w:tcPr>
          <w:p w14:paraId="00000014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数值</w:t>
            </w:r>
          </w:p>
        </w:tc>
        <w:tc>
          <w:tcPr>
            <w:tcW w:w="2267" w:type="dxa"/>
          </w:tcPr>
          <w:p w14:paraId="00000015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1.5 倍</w:t>
            </w:r>
          </w:p>
        </w:tc>
        <w:tc>
          <w:tcPr>
            <w:tcW w:w="2267" w:type="dxa"/>
          </w:tcPr>
          <w:p w14:paraId="00000016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1.5</w:t>
            </w:r>
          </w:p>
        </w:tc>
      </w:tr>
      <w:tr>
        <w:trPr/>
        <w:tc>
          <w:tcPr>
            <w:tcW w:w="2267" w:type="dxa"/>
          </w:tcPr>
          <w:p w14:paraId="00000017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公式</w:t>
            </w:r>
          </w:p>
        </w:tc>
        <w:tc>
          <w:tcPr>
            <w:tcW w:w="2267" w:type="dxa"/>
          </w:tcPr>
          <w:p w14:paraId="00000018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对象</w:t>
            </w:r>
          </w:p>
        </w:tc>
        <w:tc>
          <w:tcPr>
            <w:tcW w:w="2267" w:type="dxa"/>
          </w:tcPr>
          <w:p w14:paraId="00000019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原生 OMML</w:t>
            </w:r>
          </w:p>
        </w:tc>
        <w:tc>
          <w:tcPr>
            <w:tcW w:w="2267" w:type="dxa"/>
          </w:tcPr>
          <w:p w14:paraId="0000001a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100</w:t>
            </w:r>
          </w:p>
        </w:tc>
      </w:tr>
    </w:tbl>
    <w:p w14:paraId="0000001b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二级标题：公式</w:t>
      </w:r>
    </w:p>
    <w:p w14:paraId="0000001c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行内公式：欧拉恒等式 </w:t>
      </w:r>
      <m:oMath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e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i</m:t>
            </m:r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π</m:t>
            </m:r>
          </m:sup>
        </m:sSup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+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1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=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0</m:t>
        </m:r>
      </m:oMath>
      <w:r>
        <w:rPr>
          <w:rFonts w:ascii="Times New Roman" w:hAnsi="Times New Roman" w:cs="Times New Roman" w:eastAsia="宋体"/>
          <w:sz w:val="24"/>
          <w:szCs w:val="24"/>
        </w:rPr>
        <w:t xml:space="preserve">，以及勾股定理 </w:t>
      </w:r>
      <m:oMath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a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2</m:t>
            </m:r>
          </m:sup>
        </m:sSup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+</m:t>
        </m:r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b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2</m:t>
            </m:r>
          </m:sup>
        </m:sSup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=</m:t>
        </m:r>
        <m:sSup>
          <m:e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c</m:t>
            </m:r>
          </m:e>
          <m:sup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sz w:val="24"/>
          <w:szCs w:val="24"/>
        </w:rPr>
        <w:t xml:space="preserve">。</w:t>
      </w:r>
    </w:p>
    <w:p w14:paraId="0000001d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块级公式：</w:t>
      </w:r>
    </w:p>
    <w:p w14:paraId="0000001e">
      <w:pPr>
        <w:spacing w:before="120" w:after="120"/>
        <w:jc w:val="center"/>
        <w:rPr/>
      </w:pPr>
      <m:oMathPara>
        <m:oMath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E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m</m:t>
          </m:r>
          <m:sSup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c</m:t>
              </m:r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</m:sup>
          </m:sSup>
        </m:oMath>
      </m:oMathPara>
    </w:p>
    <w:p w14:paraId="0000001f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带分数与根号：</w:t>
      </w:r>
    </w:p>
    <w:p w14:paraId="00000020">
      <w:pPr>
        <w:spacing w:before="120" w:after="120"/>
        <w:jc w:val="center"/>
        <w:rPr/>
      </w:pPr>
      <m:oMathPara>
        <m:oMath>
          <m:f>
            <m:num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-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b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b</m:t>
                      </m:r>
                    </m:e>
                    <m:sup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2</m:t>
                      </m:r>
                    </m:sup>
                  </m:s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-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4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a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c</m:t>
                  </m:r>
                </m:e>
              </m:rad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a</m:t>
              </m:r>
            </m:den>
          </m:f>
        </m:oMath>
      </m:oMathPara>
    </w:p>
    <w:p w14:paraId="00000021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求和与积分：</w:t>
      </w:r>
    </w:p>
    <w:p w14:paraId="00000022">
      <w:pPr>
        <w:spacing w:before="120" w:after="120"/>
        <w:jc w:val="center"/>
        <w:rPr/>
      </w:pPr>
      <m:oMathPara>
        <m:oMath>
          <m:sSup>
            <m:e>
              <m:nary>
                <m:naryPr>
                  <m:chr m:val="∑"/>
                  <m:subHide m:val="0"/>
                  <m:supHide m:val="0"/>
                </m:naryPr>
                <m:sub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i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=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sub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</m: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i</m:t>
                  </m:r>
                </m:e>
              </m:nary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</m:sup>
          </m:sSup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f>
            <m:num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n</m:t>
              </m:r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+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e>
              </m:d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+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e>
              </m:d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6</m:t>
              </m:r>
            </m:den>
          </m:f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,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 </m:t>
          </m:r>
          <m:sSup>
            <m:e>
              <m:nary>
                <m:naryPr>
                  <m:chr m:val="∫"/>
                  <m:subHide m:val="0"/>
                  <m:supHide m:val="0"/>
                </m:naryPr>
                <m:sub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0</m:t>
                  </m:r>
                </m:sub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∞</m:t>
                  </m:r>
                </m: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e</m:t>
                  </m:r>
                </m:e>
              </m:nary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-</m:t>
              </m:r>
              <m:s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</m:sup>
              </m:sSup>
            </m:sup>
          </m:sSup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d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x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π</m:t>
                  </m:r>
                </m:e>
              </m:rad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</m:den>
          </m:f>
        </m:oMath>
      </m:oMathPara>
    </w:p>
    <w:p w14:paraId="00000023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矩阵：</w:t>
      </w:r>
    </w:p>
    <w:p w14:paraId="00000024">
      <w:pPr>
        <w:spacing w:before="120" w:after="120"/>
        <w:jc w:val="center"/>
        <w:rPr/>
      </w:pPr>
      <m:oMathPara>
        <m:oMath>
          <m:d>
            <m:dPr>
              <m:begChr m:val="("/>
              <m:sepChr m:val=""/>
              <m:endChr m:val=")"/>
              <m:grow m:val="on"/>
            </m:dPr>
            <m:e>
              <m:m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a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b</m:t>
                    </m:r>
                  </m:e>
                </m:mr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c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d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 m:val="on"/>
            </m:dPr>
            <m:e>
              <m:m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1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0</m:t>
                    </m:r>
                  </m:e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1</m:t>
                    </m:r>
                  </m:e>
                </m:mr>
              </m:m>
            </m:e>
          </m:d>
        </m:oMath>
      </m:oMathPara>
    </w:p>
    <w:p w14:paraId="00000025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多行对齐：</w:t>
      </w:r>
    </w:p>
    <w:p w14:paraId="00000026">
      <w:pPr>
        <w:spacing w:before="120" w:after="120"/>
        <w:jc w:val="center"/>
        <w:rPr/>
      </w:pPr>
      <m:oMathPara>
        <m:oMath>
          <m:eqArr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f</m:t>
              </m:r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</m:d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 m:val="on"/>
                    </m:dPr>
                    <m:e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x</m:t>
                      </m:r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+</m:t>
                      </m:r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1</m:t>
                      </m:r>
                    </m:e>
                  </m:d>
                </m:e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</m:sup>
              </m:sSup>
            </m:e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=</m:t>
              </m:r>
              <m:sSup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2</m:t>
                  </m:r>
                </m:sup>
              </m:s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+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x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+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1</m:t>
              </m:r>
            </m:e>
          </m:eqArr>
        </m:oMath>
      </m:oMathPara>
    </w:p>
    <w:p w14:paraId="00000027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极限与希腊字母：</w:t>
      </w:r>
    </w:p>
    <w:p w14:paraId="00000028">
      <w:pPr>
        <w:spacing w:before="120" w:after="120"/>
        <w:jc w:val="center"/>
        <w:rPr/>
      </w:pPr>
      <m:oMathPara>
        <m:oMath>
          <m:sSub>
            <m:e>
              <m:r>
                <m:rPr>
                  <m:nor/>
                  <m:ctrlPr>
                    <w:rPr>
                      <w:rFonts w:ascii="Cambria Math" w:hAnsi="Cambria Math" w:eastAsia="Cambria Math"/>
                    </w:rPr>
                  </m:ctrlPr>
                </m:rPr>
                <m:t xml:space="preserve">lim</m:t>
              </m:r>
            </m:e>
            <m:sub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x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→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0</m:t>
              </m:r>
            </m:sub>
          </m:sSub>
          <m:f>
            <m:num>
              <m:func>
                <m:fName>
                  <m:r>
                    <m:rPr>
                      <m:nor/>
                      <m:ctrlPr>
                        <w:rPr>
                          <w:rFonts w:ascii="Cambria Math" w:hAnsi="Cambria Math" w:eastAsia="Cambria Math"/>
                        </w:rPr>
                      </m:ctrlPr>
                    </m:rPr>
                    <m:t xml:space="preserve">sin</m:t>
                  </m:r>
                </m:fName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x</m:t>
                  </m:r>
                </m:e>
              </m:func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x</m:t>
              </m:r>
            </m:den>
          </m:f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1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,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 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α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+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β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≤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γ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≠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δ</m:t>
          </m:r>
        </m:oMath>
      </m:oMathPara>
    </w:p>
    <w:p w14:paraId="00000029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二级标题：图片</w:t>
      </w:r>
    </w:p>
    <w:p w14:paraId="0000002a">
      <w:pPr>
        <w:jc w:val="center"/>
        <w:rPr/>
      </w:pPr>
      <w:r>
        <w:rPr/>
        <w:drawing>
          <wp:inline distT="0" distB="0" distL="0" distR="0">
            <wp:extent cx="3048000" cy="17145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段落中间也可以插入行内图片：</w:t>
      </w:r>
    </w:p>
    <w:p w14:paraId="0000002c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这是前面的文字 </w:t>
      </w:r>
      <w:r>
        <w:rPr/>
        <w:drawing>
          <wp:inline distT="0" distB="0" distL="0" distR="0">
            <wp:extent cx="3048000" cy="17145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宋体"/>
          <w:sz w:val="24"/>
          <w:szCs w:val="24"/>
        </w:rPr>
        <w:t xml:space="preserve"> 这是后面的文字。</w:t>
      </w:r>
    </w:p>
    <w:p w14:paraId="0000002d">
      <w:pPr>
        <w:pStyle w:val="mdH2"/>
        <w:keepNext/>
        <w:spacing w:before="240" w:after="120"/>
        <w:outlineLvl w:val="1"/>
        <w:rPr/>
      </w:pPr>
      <w:r>
        <w:rPr>
          <w:rFonts w:ascii="Times New Roman" w:hAnsi="Times New Roman" w:cs="Times New Roman" w:eastAsia="宋体"/>
          <w:b/>
          <w:bCs/>
          <w:color w:val="1F3864"/>
          <w:sz w:val="32"/>
          <w:szCs w:val="32"/>
        </w:rPr>
        <w:t xml:space="preserve">二级标题：代码</w:t>
      </w:r>
    </w:p>
    <w:tbl>
      <w:tblPr>
        <w:tblW w:w="9070" w:type="dxa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9070" w:type="dxa"/>
            <w:tcBorders>
              <w:top w:val="nil" w:sz="2" w:space="0" w:color="000000"/>
              <w:left w:val="nil" w:sz="2" w:space="0" w:color="000000"/>
              <w:bottom w:val="nil" w:sz="2" w:space="0" w:color="000000"/>
              <w:right w:val="nil" w:sz="2" w:space="0" w:color="000000"/>
              <w:insideH w:val="nil" w:sz="2" w:space="0" w:color="000000"/>
              <w:insideV w:val="nil" w:sz="2" w:space="0" w:color="000000"/>
              <w:tl2br w:val="nil" w:sz="2" w:space="0" w:color="000000"/>
              <w:tr2bl w:val="nil" w:sz="2" w:space="0" w:color="000000"/>
            </w:tcBorders>
            <w:shd w:val="clear" w:color="auto" w:fill="F5F5F5"/>
          </w:tcPr>
          <w:p w14:paraId="0000002e">
            <w:pPr>
              <w:spacing w:line="240"/>
              <w:rPr/>
            </w:pPr>
            <w:r>
              <w:rPr>
                <w:rFonts w:ascii="Consolas" w:hAnsi="Consolas" w:cs="Consolas" w:eastAsia="宋体"/>
                <w:sz w:val="20"/>
                <w:szCs w:val="20"/>
              </w:rPr>
              <w:t xml:space="preserve"> </w:t>
            </w:r>
          </w:p>
        </w:tc>
      </w:tr>
    </w:tbl>
    <w:p w14:paraId="0000002f">
      <w:pPr>
        <w:pBdr>
          <w:top w:val="single" w:space="0" w:sz="2" w:color="auto"/>
          <w:left w:val="single" w:space="0" w:sz="2" w:color="auto"/>
          <w:bottom w:val="single" w:space="0" w:sz="6" w:color="BFBFBF"/>
          <w:right w:val="single" w:space="0" w:sz="2" w:color="auto"/>
        </w:pBdr>
        <w:rPr/>
      </w:pPr>
    </w:p>
    <w:p w14:paraId="00000030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最后一段，分隔线之上。</w:t>
      </w:r>
    </w:p>
    <w:p w14:paraId="00000031">
      <w:pPr>
        <w:pageBreakBefore/>
        <w:rPr/>
      </w:pPr>
    </w:p>
    <w:p w14:paraId="00000032">
      <w:pPr>
        <w:pStyle w:val="mdH1"/>
        <w:keepNext/>
        <w:spacing w:before="240" w:after="120"/>
        <w:outlineLvl w:val="0"/>
        <w:rPr/>
      </w:pPr>
      <w:r>
        <w:rPr>
          <w:rFonts w:ascii="Times New Roman" w:hAnsi="Times New Roman" w:cs="Times New Roman" w:eastAsia="宋体"/>
          <w:b/>
          <w:bCs/>
          <w:color w:val="1F3864"/>
          <w:sz w:val="36"/>
          <w:szCs w:val="36"/>
        </w:rPr>
        <w:t xml:space="preserve">边界测试</w:t>
      </w:r>
    </w:p>
    <w:p w14:paraId="00000033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这是带脚注的句子</w:t>
      </w:r>
      <w:r>
        <w:rPr>
          <w:rFonts w:ascii="Times New Roman" w:hAnsi="Times New Roman" w:cs="Times New Roman" w:eastAsia="宋体"/>
          <w:sz w:val="24"/>
          <w:szCs w:val="24"/>
          <w:vertAlign w:val="superscript"/>
        </w:rPr>
        <w:t xml:space="preserve">[1]</w:t>
      </w:r>
      <w:r>
        <w:rPr>
          <w:rFonts w:ascii="Times New Roman" w:hAnsi="Times New Roman" w:cs="Times New Roman" w:eastAsia="宋体"/>
          <w:sz w:val="24"/>
          <w:szCs w:val="24"/>
        </w:rPr>
        <w:t xml:space="preserve">。</w:t>
      </w:r>
    </w:p>
    <w:p w14:paraId="00000034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行内块级混排：文字开始 </w:t>
      </w:r>
      <m:oMath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x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=</m:t>
        </m:r>
        <m:f>
          <m:num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1</m:t>
            </m:r>
          </m:num>
          <m:den>
            <m:r>
              <m:rPr>
                <m:ctrlPr>
                  <w:rPr>
                    <w:rFonts w:ascii="Cambria Math" w:hAnsi="Cambria Math" w:eastAsia="Cambria Math"/>
                    <w:i/>
                  </w:rPr>
                </m:ctrlPr>
              </m:rPr>
              <m:t xml:space="preserve">2</m:t>
            </m:r>
          </m:den>
        </m:f>
      </m:oMath>
      <w:r>
        <w:rPr>
          <w:rFonts w:ascii="Times New Roman" w:hAnsi="Times New Roman" w:cs="Times New Roman" w:eastAsia="宋体"/>
          <w:sz w:val="24"/>
          <w:szCs w:val="24"/>
        </w:rPr>
        <w:t xml:space="preserve"> 文字继续。</w:t>
      </w:r>
    </w:p>
    <w:p w14:paraId="00000035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第一层引用</w:t>
      </w:r>
    </w:p>
    <w:p w14:paraId="00000036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第二层嵌套引用</w:t>
      </w:r>
    </w:p>
    <w:p w14:paraId="00000037">
      <w:pPr>
        <w:pStyle w:val="mdBody"/>
        <w:pBdr>
          <w:top w:val="single" w:space="0" w:sz="2" w:color="auto"/>
          <w:left w:val="single" w:space="0" w:sz="12" w:color="BFBFBF"/>
          <w:bottom w:val="single" w:space="0" w:sz="2" w:color="auto"/>
          <w:right w:val="single" w:space="0" w:sz="2" w:color="auto"/>
        </w:pBdr>
        <w:spacing w:line="360" w:lineRule="auto"/>
        <w:ind w:left="480" w:right="0"/>
        <w:rPr/>
      </w:pPr>
      <w:r>
        <w:rPr>
          <w:rFonts w:ascii="Times New Roman" w:hAnsi="Times New Roman" w:cs="Times New Roman" w:eastAsia="宋体"/>
          <w:color w:val="595959"/>
          <w:sz w:val="24"/>
          <w:szCs w:val="24"/>
        </w:rPr>
        <w:t xml:space="preserve">引用里的第二段</w:t>
      </w:r>
    </w:p>
    <w:p w14:paraId="00000038">
      <w:pPr>
        <w:pStyle w:val="mdH3"/>
        <w:keepNext/>
        <w:spacing w:before="240" w:after="120"/>
        <w:outlineLvl w:val="2"/>
        <w:rPr/>
      </w:pPr>
      <w:r>
        <w:rPr>
          <w:rFonts w:ascii="Times New Roman" w:hAnsi="Times New Roman" w:cs="Times New Roman" w:eastAsia="宋体"/>
          <w:b/>
          <w:bCs/>
          <w:color w:val="1F3864"/>
          <w:sz w:val="28"/>
          <w:szCs w:val="28"/>
        </w:rPr>
        <w:t xml:space="preserve">三级标题下的内容</w:t>
      </w:r>
    </w:p>
    <w:p w14:paraId="00000039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无语言代码块：</w:t>
      </w:r>
    </w:p>
    <w:tbl>
      <w:tblPr>
        <w:tblW w:w="9070" w:type="dxa"/>
        <w:jc w:val="left"/>
        <w:tblBorders>
          <w:top w:val="nil" w:sz="2" w:space="0" w:color="000000"/>
          <w:left w:val="nil" w:sz="2" w:space="0" w:color="000000"/>
          <w:bottom w:val="nil" w:sz="2" w:space="0" w:color="000000"/>
          <w:right w:val="nil" w:sz="2" w:space="0" w:color="000000"/>
          <w:insideH w:val="nil" w:sz="2" w:space="0" w:color="000000"/>
          <w:insideV w:val="nil" w:sz="2" w:space="0" w:color="000000"/>
        </w:tblBorders>
      </w:tblPr>
      <w:tblGrid/>
      <w:tr>
        <w:trPr/>
        <w:tc>
          <w:tcPr>
            <w:tcW w:w="9070" w:type="dxa"/>
            <w:tcBorders>
              <w:top w:val="nil" w:sz="2" w:space="0" w:color="000000"/>
              <w:left w:val="nil" w:sz="2" w:space="0" w:color="000000"/>
              <w:bottom w:val="nil" w:sz="2" w:space="0" w:color="000000"/>
              <w:right w:val="nil" w:sz="2" w:space="0" w:color="000000"/>
              <w:insideH w:val="nil" w:sz="2" w:space="0" w:color="000000"/>
              <w:insideV w:val="nil" w:sz="2" w:space="0" w:color="000000"/>
              <w:tl2br w:val="nil" w:sz="2" w:space="0" w:color="000000"/>
              <w:tr2bl w:val="nil" w:sz="2" w:space="0" w:color="000000"/>
            </w:tcBorders>
            <w:shd w:val="clear" w:color="auto" w:fill="F5F5F5"/>
          </w:tcPr>
          <w:p w14:paraId="0000003a">
            <w:pPr>
              <w:spacing w:line="240"/>
              <w:rPr/>
            </w:pPr>
            <w:r>
              <w:rPr>
                <w:rFonts w:ascii="Consolas" w:hAnsi="Consolas" w:cs="Consolas" w:eastAsia="宋体"/>
                <w:sz w:val="20"/>
                <w:szCs w:val="20"/>
              </w:rPr>
              <w:t xml:space="preserve"> </w:t>
            </w:r>
          </w:p>
        </w:tc>
      </w:tr>
    </w:tbl>
    <w:p w14:paraId="0000003b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硬换行测试：</w:t>
      </w:r>
      <w:r>
        <w:rPr>
          <w:rFonts w:ascii="Times New Roman" w:hAnsi="Times New Roman" w:cs="Times New Roman" w:eastAsia="宋体"/>
          <w:sz w:val="24"/>
          <w:szCs w:val="24"/>
        </w:rPr>
        <w:t xml:space="preserve">第一行</w:t>
      </w:r>
      <w:r>
        <w:rPr/>
        <w:br w:type="textWrapping"/>
      </w:r>
      <w:r>
        <w:rPr>
          <w:rFonts w:ascii="Times New Roman" w:hAnsi="Times New Roman" w:cs="Times New Roman" w:eastAsia="宋体"/>
          <w:sz w:val="24"/>
          <w:szCs w:val="24"/>
        </w:rPr>
        <w:t xml:space="preserve">第二行（上面是两个空格的硬换行）</w:t>
      </w:r>
    </w:p>
    <w:p w14:paraId="0000003c">
      <w:pPr>
        <w:rPr/>
      </w:pPr>
      <w:r>
        <w:rPr>
          <w:rFonts w:ascii="Consolas" w:hAnsi="Consolas" w:cs="Consolas" w:eastAsia="宋体"/>
          <w:color w:val="808080"/>
          <w:sz w:val="20"/>
          <w:szCs w:val="20"/>
        </w:rPr>
        <w:t xml:space="preserve">&lt;div class="raw"&gt;原始 HTML 块应当被保留为等宽文本&lt;/div&gt;</w:t>
      </w:r>
    </w:p>
    <w:tbl>
      <w:tblPr>
        <w:tblW w:w="9069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>
        <w:gridCol w:w="3023" w:type="dxa"/>
        <w:gridCol w:w="3023" w:type="dxa"/>
        <w:gridCol w:w="3023" w:type="dxa"/>
      </w:tblGrid>
      <w:tr>
        <w:trPr/>
        <w:tc>
          <w:tcPr>
            <w:tcW w:w="3023" w:type="dxa"/>
          </w:tcPr>
          <w:p w14:paraId="0000003d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a</w:t>
            </w:r>
          </w:p>
        </w:tc>
        <w:tc>
          <w:tcPr>
            <w:tcW w:w="3023" w:type="dxa"/>
          </w:tcPr>
          <w:p w14:paraId="0000003e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b</w:t>
            </w:r>
          </w:p>
        </w:tc>
        <w:tc>
          <w:tcPr>
            <w:tcW w:w="3023" w:type="dxa"/>
          </w:tcPr>
          <w:p w14:paraId="0000003f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c</w:t>
            </w:r>
          </w:p>
        </w:tc>
      </w:tr>
      <w:tr>
        <w:trPr/>
        <w:tc>
          <w:tcPr>
            <w:tcW w:w="3023" w:type="dxa"/>
          </w:tcPr>
          <w:p w14:paraId="00000040">
            <w:pPr>
              <w:spacing w:line="240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长一点的内容</w:t>
            </w:r>
          </w:p>
        </w:tc>
        <w:tc>
          <w:tcPr>
            <w:tcW w:w="3023" w:type="dxa"/>
          </w:tcPr>
          <w:p w14:paraId="00000041">
            <w:pPr>
              <w:spacing w:line="240"/>
              <w:jc w:val="center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中</w:t>
            </w:r>
          </w:p>
        </w:tc>
        <w:tc>
          <w:tcPr>
            <w:tcW w:w="3023" w:type="dxa"/>
          </w:tcPr>
          <w:p w14:paraId="00000042">
            <w:pPr>
              <w:spacing w:line="240"/>
              <w:jc w:val="right"/>
              <w:rPr/>
            </w:pPr>
            <w:r>
              <w:rPr>
                <w:rFonts w:ascii="Times New Roman" w:hAnsi="Times New Roman" w:cs="Times New Roman" w:eastAsia="宋体"/>
                <w:sz w:val="24"/>
                <w:szCs w:val="24"/>
              </w:rPr>
              <w:t xml:space="preserve">右</w:t>
            </w:r>
          </w:p>
        </w:tc>
      </w:tr>
    </w:tbl>
    <w:p w14:paraId="00000043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缺失图片：</w:t>
      </w:r>
      <w:r>
        <w:rPr>
          <w:i/>
          <w:iCs/>
          <w:color w:val="C00000"/>
          <w:sz w:val="24"/>
          <w:szCs w:val="24"/>
        </w:rPr>
        <w:t xml:space="preserve">[图片缺失: 找不到]</w:t>
      </w:r>
    </w:p>
    <w:p w14:paraId="00000044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公式补充测试：</w:t>
      </w:r>
    </w:p>
    <w:p w14:paraId="00000045">
      <w:pPr>
        <w:spacing w:before="120" w:after="120"/>
        <w:jc w:val="center"/>
        <w:rPr/>
      </w:pPr>
      <m:oMathPara>
        <m:oMath>
          <m:sSup>
            <m:e>
              <m:r>
                <m:rPr>
                  <m:nor/>
                  <m:ctrlPr>
                    <w:rPr>
                      <w:rFonts w:ascii="Cambria Math" w:hAnsi="Cambria Math" w:eastAsia="Cambria Math"/>
                    </w:rPr>
                  </m:ctrlPr>
                </m:rPr>
                <m:t xml:space="preserve">ℝ</m:t>
              </m:r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n</m:t>
              </m:r>
            </m:sup>
          </m:sSup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∋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x</m:t>
          </m:r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↦</m:t>
          </m:r>
          <m:d>
            <m:dPr>
              <m:begChr m:val="{"/>
              <m:sepChr m:val=""/>
              <m:endChr m:val="}"/>
              <m:grow m:val="on"/>
            </m:dPr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y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∈</m:t>
              </m:r>
              <m:r>
                <m:rPr>
                  <m:nor/>
                  <m:ctrlPr>
                    <w:rPr>
                      <w:rFonts w:ascii="Cambria Math" w:hAnsi="Cambria Math" w:eastAsia="Cambria Math"/>
                    </w:rPr>
                  </m:ctrlPr>
                </m:rPr>
                <m:t xml:space="preserve">ℝ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: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y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≥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0</m:t>
              </m:r>
            </m:e>
          </m:d>
        </m:oMath>
      </m:oMathPara>
    </w:p>
    <w:p w14:paraId="00000046">
      <w:pPr>
        <w:spacing w:before="120" w:after="120"/>
        <w:jc w:val="center"/>
        <w:rPr/>
      </w:pPr>
      <m:oMathPara>
        <m:oMath>
          <m:d>
            <m:dPr>
              <m:begChr m:val="("/>
              <m:sepChr m:val=""/>
              <m:endChr m:val=")"/>
              <m:grow m:val="on"/>
            </m:dPr>
            <m:e>
              <m:f>
                <m:num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</m:num>
                <m:den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k</m:t>
                  </m:r>
                </m:den>
              </m:f>
            </m:e>
          </m:d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f>
            <m:num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n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!</m:t>
              </m:r>
            </m:num>
            <m:den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k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!</m:t>
              </m:r>
              <m:d>
                <m:dPr>
                  <m:begChr m:val="("/>
                  <m:sepChr m:val=""/>
                  <m:endChr m:val=")"/>
                  <m:grow m:val="on"/>
                </m:d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-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k</m:t>
                  </m:r>
                </m:e>
              </m:d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!</m:t>
              </m:r>
            </m:den>
          </m:f>
        </m:oMath>
      </m:oMathPara>
    </w:p>
    <w:p w14:paraId="00000047">
      <w:pPr>
        <w:spacing w:before="120" w:after="120"/>
        <w:jc w:val="center"/>
        <w:rPr/>
      </w:pPr>
      <m:oMathPara>
        <m:oMath>
          <m:acc>
            <m:accPr>
              <m:chr m:val="^"/>
            </m:accPr>
            <m:e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y</m:t>
              </m:r>
            </m:e>
          </m:acc>
          <m:r>
            <m:rPr>
              <m:ctrlPr>
                <w:rPr>
                  <w:rFonts w:ascii="Cambria Math" w:hAnsi="Cambria Math" w:eastAsia="Cambria Math"/>
                  <w:i/>
                </w:rPr>
              </m:ctrlPr>
            </m:rPr>
            <m:t xml:space="preserve">=</m:t>
          </m:r>
          <m:func>
            <m:fName>
              <m:r>
                <m:rPr>
                  <m:nor/>
                  <m:ctrlPr>
                    <w:rPr>
                      <w:rFonts w:ascii="Cambria Math" w:hAnsi="Cambria Math" w:eastAsia="Cambria Math"/>
                    </w:rPr>
                  </m:ctrlPr>
                </m:rPr>
                <m:t xml:space="preserve">arg</m:t>
              </m:r>
            </m:fName>
            <m:e>
              <m:sSub>
                <m:e>
                  <m:r>
                    <m:rPr>
                      <m:nor/>
                      <m:ctrlPr>
                        <w:rPr>
                          <w:rFonts w:ascii="Cambria Math" w:hAnsi="Cambria Math" w:eastAsia="Cambria Math"/>
                        </w:rPr>
                      </m:ctrlPr>
                    </m:rPr>
                    <m:t xml:space="preserve">min</m:t>
                  </m:r>
                </m:e>
                <m:sub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θ</m:t>
                  </m:r>
                </m:sub>
              </m:sSub>
              <m:f>
                <m:num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num>
                <m:den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</m:den>
              </m:f>
            </m:e>
          </m:func>
          <m:sSup>
            <m:e>
              <m:nary>
                <m:naryPr>
                  <m:chr m:val="∑"/>
                  <m:subHide m:val="0"/>
                  <m:supHide m:val="0"/>
                </m:naryPr>
                <m:sub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i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=</m:t>
                  </m:r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1</m:t>
                  </m:r>
                </m:sub>
                <m:sup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 m:val="on"/>
                    </m:dPr>
                    <m:e>
                      <m:sSub>
                        <m:e>
                          <m:r>
                            <m:rPr>
                              <m:ctrlPr>
                                <w:rPr>
                                  <w:rFonts w:ascii="Cambria Math" w:hAnsi="Cambria Math" w:eastAsia="Cambria Math"/>
                                  <w:i/>
                                </w:rPr>
                              </m:ctrlPr>
                            </m:rPr>
                            <m:t xml:space="preserve">y</m:t>
                          </m:r>
                        </m:e>
                        <m:sub>
                          <m:r>
                            <m:rPr>
                              <m:ctrlPr>
                                <w:rPr>
                                  <w:rFonts w:ascii="Cambria Math" w:hAnsi="Cambria Math" w:eastAsia="Cambria Math"/>
                                  <w:i/>
                                </w:rPr>
                              </m:ctrlPr>
                            </m:rPr>
                            <m:t xml:space="preserve">i</m:t>
                          </m:r>
                        </m:sub>
                      </m:sSub>
                      <m:r>
                        <m:rPr>
                          <m:ctrlPr>
                            <w:rPr>
                              <w:rFonts w:ascii="Cambria Math" w:hAnsi="Cambria Math" w:eastAsia="Cambria Math"/>
                              <w:i/>
                            </w:rPr>
                          </m:ctrlPr>
                        </m:rPr>
                        <m:t xml:space="preserve">-</m:t>
                      </m:r>
                      <m:sSub>
                        <m:e>
                          <m:r>
                            <m:rPr>
                              <m:ctrlPr>
                                <w:rPr>
                                  <w:rFonts w:ascii="Cambria Math" w:hAnsi="Cambria Math" w:eastAsia="Cambria Math"/>
                                  <w:i/>
                                </w:rPr>
                              </m:ctrlPr>
                            </m:rPr>
                            <m:t xml:space="preserve">f</m:t>
                          </m:r>
                        </m:e>
                        <m:sub>
                          <m:r>
                            <m:rPr>
                              <m:ctrlPr>
                                <w:rPr>
                                  <w:rFonts w:ascii="Cambria Math" w:hAnsi="Cambria Math" w:eastAsia="Cambria Math"/>
                                  <w:i/>
                                </w:rPr>
                              </m:ctrlPr>
                            </m:rPr>
                            <m:t xml:space="preserve">θ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 m:val="on"/>
                        </m:dPr>
                        <m:e>
                          <m:sSub>
                            <m:e>
                              <m:r>
                                <m:rPr>
                                  <m:ctrlPr>
                                    <w:rPr>
                                      <w:rFonts w:ascii="Cambria Math" w:hAnsi="Cambria Math" w:eastAsia="Cambria Math"/>
                                      <w:i/>
                                    </w:rPr>
                                  </m:ctrlPr>
                                </m:rPr>
                                <m:t xml:space="preserve">x</m:t>
                              </m:r>
                            </m:e>
                            <m:sub>
                              <m:r>
                                <m:rPr>
                                  <m:ctrlPr>
                                    <w:rPr>
                                      <w:rFonts w:ascii="Cambria Math" w:hAnsi="Cambria Math" w:eastAsia="Cambria Math"/>
                                      <w:i/>
                                    </w:rPr>
                                  </m:ctrlPr>
                                </m:rPr>
                                <m:t xml:space="preserve">i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  <m:sup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2</m:t>
              </m:r>
            </m:sup>
          </m:sSup>
        </m:oMath>
      </m:oMathPara>
    </w:p>
    <w:p w14:paraId="00000048">
      <w:pPr>
        <w:spacing w:before="120" w:after="120"/>
        <w:jc w:val="center"/>
        <w:rPr/>
      </w:pPr>
      <m:oMathPara>
        <m:oMath>
          <m:d>
            <m:dPr>
              <m:begChr m:val="{"/>
              <m:sepChr m:val=""/>
              <m:endChr m:val=""/>
              <m:grow m:val="on"/>
            </m:dPr>
            <m:e>
              <m:m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x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+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y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=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1</m:t>
                    </m:r>
                  </m:e>
                </m:mr>
                <m:mr>
                  <m:e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x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-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y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=</m:t>
                    </m:r>
                    <m:r>
                      <m:rPr>
                        <m:ctrlPr>
                          <w:rPr>
                            <w:rFonts w:ascii="Cambria Math" w:hAnsi="Cambria Math" w:eastAsia="Cambria Math"/>
                            <w:i/>
                          </w:rPr>
                        </m:ctrlPr>
                      </m:rPr>
                      <m:t xml:space="preserve">0</m:t>
                    </m:r>
                  </m:e>
                </m:mr>
              </m:m>
            </m:e>
          </m:d>
        </m:oMath>
      </m:oMathPara>
    </w:p>
    <w:p w14:paraId="00000049">
      <w:pPr>
        <w:spacing w:before="120" w:after="120"/>
        <w:jc w:val="center"/>
        <w:rPr/>
      </w:pPr>
      <m:oMathPara>
        <m:oMath>
          <m:rad>
            <m:radPr>
              <m:degHide m:val="0"/>
            </m:radPr>
            <m:deg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3</m:t>
              </m:r>
              <m:f>
                <m:num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a</m:t>
                  </m:r>
                </m:num>
                <m:den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b</m:t>
                  </m:r>
                </m:den>
              </m:f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 </m:t>
              </m:r>
              <m:acc>
                <m:accPr>
                  <m:chr m:val="⃗"/>
                </m:accPr>
                <m:e>
                  <m:r>
                    <m:rP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Pr>
                    <m:t xml:space="preserve">v</m:t>
                  </m:r>
                </m:e>
              </m:acc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⋅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∇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ϕ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≠</m:t>
              </m:r>
              <m:r>
                <m:rPr>
                  <m:ctrlPr>
                    <w:rPr>
                      <w:rFonts w:ascii="Cambria Math" w:hAnsi="Cambria Math" w:eastAsia="Cambria Math"/>
                      <w:i/>
                    </w:rPr>
                  </m:ctrlPr>
                </m:rPr>
                <m:t xml:space="preserve">∅</m:t>
              </m:r>
            </m:deg>
            <m:e/>
          </m:rad>
        </m:oMath>
      </m:oMathPara>
    </w:p>
    <w:p w14:paraId="0000004a">
      <w:pPr>
        <w:pStyle w:val="mdBody"/>
        <w:spacing w:line="360" w:lineRule="auto"/>
        <w:ind w:left="0" w:right="0" w:firstLine="480"/>
        <w:rPr/>
      </w:pPr>
      <w:r>
        <w:rPr>
          <w:rFonts w:ascii="Times New Roman" w:hAnsi="Times New Roman" w:cs="Times New Roman" w:eastAsia="宋体"/>
          <w:sz w:val="24"/>
          <w:szCs w:val="24"/>
        </w:rPr>
        <w:t xml:space="preserve">未闭合公式测试 </w:t>
      </w:r>
      <m:oMath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a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+</m:t>
        </m:r>
        <m:r>
          <m:rPr>
            <m:ctrlPr>
              <w:rPr>
                <w:rFonts w:ascii="Cambria Math" w:hAnsi="Cambria Math" w:eastAsia="Cambria Math"/>
                <w:i/>
              </w:rPr>
            </m:ctrlPr>
          </m:rPr>
          <m:t xml:space="preserve">b</m:t>
        </m:r>
      </m:oMath>
      <w:r>
        <w:rPr>
          <w:rFonts w:ascii="Times New Roman" w:hAnsi="Times New Roman" w:cs="Times New Roman" w:eastAsia="宋体"/>
          <w:sz w:val="24"/>
          <w:szCs w:val="24"/>
        </w:rPr>
        <w:t xml:space="preserve"> 结束。</w:t>
      </w:r>
    </w:p>
    <w:sectPr>
      <w:pgSz w:w="11906" w:h="16838"/>
      <w:pgMar w:top="1418" w:right="1418" w:bottom="1418" w:left="1418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420" w:right="0" w:hanging="420"/>
        <w:rPr/>
      </w:pPr>
      <w:rPr/>
    </w:lvl>
    <w:lvl w:ilvl="1">
      <w:start w:val="1"/>
      <w:numFmt w:val="decimal"/>
      <w:lvlText w:val="(%2)"/>
      <w:lvlJc w:val="left"/>
      <w:pPr>
        <w:ind w:left="840" w:right="0" w:hanging="420"/>
        <w:rPr/>
      </w:pPr>
      <w:rPr/>
    </w:lvl>
    <w:lvl w:ilvl="2">
      <w:start w:val="1"/>
      <w:numFmt w:val="decimalEnclosedCircle"/>
      <w:lvlText w:val="%3"/>
      <w:lvlJc w:val="left"/>
      <w:pPr>
        <w:ind w:left="1260" w:right="0" w:hanging="420"/>
        <w:rPr/>
      </w:pPr>
      <w:rPr/>
    </w:lvl>
    <w:lvl w:ilvl="3">
      <w:start w:val="1"/>
      <w:numFmt w:val="decimal"/>
      <w:lvlText w:val="%4."/>
      <w:lvlJc w:val="left"/>
      <w:pPr>
        <w:ind w:left="1680" w:right="0" w:hanging="420"/>
        <w:rPr/>
      </w:pPr>
      <w:rPr/>
    </w:lvl>
    <w:lvl w:ilvl="4">
      <w:start w:val="1"/>
      <w:numFmt w:val="decimal"/>
      <w:lvlText w:val="(%5)"/>
      <w:lvlJc w:val="left"/>
      <w:pPr>
        <w:ind w:left="2100" w:right="0" w:hanging="420"/>
        <w:rPr/>
      </w:pPr>
      <w:rPr/>
    </w:lvl>
    <w:lvl w:ilvl="5">
      <w:start w:val="1"/>
      <w:numFmt w:val="decimalEnclosedCircle"/>
      <w:lvlText w:val="%6"/>
      <w:lvlJc w:val="left"/>
      <w:pPr>
        <w:ind w:left="2520" w:right="0" w:hanging="420"/>
        <w:rPr/>
      </w:pPr>
      <w:rPr/>
    </w:lvl>
    <w:lvl w:ilvl="6">
      <w:start w:val="1"/>
      <w:numFmt w:val="decimal"/>
      <w:lvlText w:val="%7."/>
      <w:lvlJc w:val="left"/>
      <w:pPr>
        <w:ind w:left="2940" w:right="0" w:hanging="420"/>
        <w:rPr/>
      </w:pPr>
      <w:rPr/>
    </w:lvl>
    <w:lvl w:ilvl="7">
      <w:start w:val="1"/>
      <w:numFmt w:val="decimal"/>
      <w:lvlText w:val="(%8)"/>
      <w:lvlJc w:val="left"/>
      <w:pPr>
        <w:ind w:left="3360" w:right="0" w:hanging="420"/>
        <w:rPr/>
      </w:pPr>
      <w:rPr/>
    </w:lvl>
    <w:lvl w:ilvl="8">
      <w:start w:val="1"/>
      <w:numFmt w:val="decimalEnclosedCircle"/>
      <w:lvlText w:val="%9"/>
      <w:lvlJc w:val="left"/>
      <w:pPr>
        <w:ind w:left="3780" w:right="0" w:hanging="420"/>
        <w:rPr/>
      </w:pPr>
      <w:rPr/>
    </w:lvl>
  </w:abstractNum>
  <w:abstractNum w:abstractNumId="1">
    <w:lvl w:ilvl="0">
      <w:start w:val="1"/>
      <w:numFmt w:val="bullet"/>
      <w:lvlText w:val="•"/>
      <w:lvlJc w:val="left"/>
      <w:pPr>
        <w:ind w:left="720" w:right="0" w:hanging="360"/>
        <w:rPr/>
      </w:pPr>
      <w:rPr>
        <w:rFonts w:ascii="宋体" w:hAnsi="宋体" w:cs="宋体" w:eastAsia="宋体"/>
      </w:rPr>
    </w:lvl>
    <w:lvl w:ilvl="1">
      <w:start w:val="1"/>
      <w:numFmt w:val="bullet"/>
      <w:lvlText w:val="○"/>
      <w:lvlJc w:val="left"/>
      <w:pPr>
        <w:ind w:left="1080" w:right="0" w:hanging="360"/>
        <w:rPr/>
      </w:pPr>
      <w:rPr>
        <w:rFonts w:ascii="宋体" w:hAnsi="宋体" w:cs="宋体" w:eastAsia="宋体"/>
      </w:rPr>
    </w:lvl>
    <w:lvl w:ilvl="2">
      <w:start w:val="1"/>
      <w:numFmt w:val="bullet"/>
      <w:lvlText w:val="▪"/>
      <w:lvlJc w:val="left"/>
      <w:pPr>
        <w:ind w:left="1440" w:right="0" w:hanging="360"/>
        <w:rPr/>
      </w:pPr>
      <w:rPr>
        <w:rFonts w:ascii="宋体" w:hAnsi="宋体" w:cs="宋体" w:eastAsia="宋体"/>
      </w:rPr>
    </w:lvl>
    <w:lvl w:ilvl="3">
      <w:start w:val="1"/>
      <w:numFmt w:val="bullet"/>
      <w:lvlText w:val="·"/>
      <w:lvlJc w:val="left"/>
      <w:pPr>
        <w:ind w:left="1800" w:right="0" w:hanging="360"/>
        <w:rPr/>
      </w:pPr>
      <w:rPr>
        <w:rFonts w:ascii="宋体" w:hAnsi="宋体" w:cs="宋体" w:eastAsia="宋体"/>
      </w:rPr>
    </w:lvl>
    <w:lvl w:ilvl="4">
      <w:start w:val="1"/>
      <w:numFmt w:val="bullet"/>
      <w:lvlText w:val="•"/>
      <w:lvlJc w:val="left"/>
      <w:pPr>
        <w:ind w:left="2160" w:right="0" w:hanging="360"/>
        <w:rPr/>
      </w:pPr>
      <w:rPr>
        <w:rFonts w:ascii="宋体" w:hAnsi="宋体" w:cs="宋体" w:eastAsia="宋体"/>
      </w:rPr>
    </w:lvl>
  </w:abstractNum>
  <w:abstractNum w:abstractNumId="2">
    <w:lvl w:ilvl="0">
      <w:start w:val="1"/>
      <w:numFmt w:val="decimal"/>
      <w:lvlText w:val="%1."/>
      <w:lvlJc w:val="left"/>
      <w:pPr>
        <w:ind w:left="720" w:right="0" w:hanging="360"/>
        <w:rPr/>
      </w:pPr>
      <w:rPr>
        <w:rFonts w:ascii="Times New Roman" w:hAnsi="Times New Roman" w:cs="Times New Roman" w:eastAsia="宋体"/>
      </w:rPr>
    </w:lvl>
    <w:lvl w:ilvl="1">
      <w:start w:val="1"/>
      <w:numFmt w:val="decimal"/>
      <w:lvlText w:val="%1.%2."/>
      <w:lvlJc w:val="left"/>
      <w:pPr>
        <w:ind w:left="1080" w:right="0" w:hanging="360"/>
        <w:rPr/>
      </w:pPr>
      <w:rPr>
        <w:rFonts w:ascii="Times New Roman" w:hAnsi="Times New Roman" w:cs="Times New Roman" w:eastAsia="宋体"/>
      </w:rPr>
    </w:lvl>
    <w:lvl w:ilvl="2">
      <w:start w:val="1"/>
      <w:numFmt w:val="decimal"/>
      <w:lvlText w:val="%1.%2.%3."/>
      <w:lvlJc w:val="left"/>
      <w:pPr>
        <w:ind w:left="1440" w:right="0" w:hanging="360"/>
        <w:rPr/>
      </w:pPr>
      <w:rPr>
        <w:rFonts w:ascii="Times New Roman" w:hAnsi="Times New Roman" w:cs="Times New Roman" w:eastAsia="宋体"/>
      </w:rPr>
    </w:lvl>
    <w:lvl w:ilvl="3">
      <w:start w:val="1"/>
      <w:numFmt w:val="decimal"/>
      <w:lvlText w:val="%1.%2.%3.%4."/>
      <w:lvlJc w:val="left"/>
      <w:pPr>
        <w:ind w:left="1800" w:right="0" w:hanging="360"/>
        <w:rPr/>
      </w:pPr>
      <w:rPr>
        <w:rFonts w:ascii="Times New Roman" w:hAnsi="Times New Roman" w:cs="Times New Roman" w:eastAsia="宋体"/>
      </w:rPr>
    </w:lvl>
    <w:lvl w:ilvl="4">
      <w:start w:val="1"/>
      <w:numFmt w:val="decimal"/>
      <w:lvlText w:val="%1.%2.%3.%4.%5."/>
      <w:lvlJc w:val="left"/>
      <w:pPr>
        <w:ind w:left="2160" w:right="0" w:hanging="360"/>
        <w:rPr/>
      </w:pPr>
      <w:rPr>
        <w:rFonts w:ascii="Times New Roman" w:hAnsi="Times New Roman" w:cs="Times New Roman" w:eastAsia="宋体"/>
      </w:rPr>
    </w:lvl>
  </w:abstractNum>
  <w:num w:numId="1">
    <w:abstractNumId w:val="1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宋体"/>
        <w:sz w:val="24"/>
        <w:szCs w:val="24"/>
      </w:rPr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mdBody">
    <w:name w:val="正文"/>
    <w:rPr>
      <w:rFonts w:ascii="Times New Roman" w:hAnsi="Times New Roman" w:cs="Times New Roman" w:eastAsia="宋体"/>
      <w:sz w:val="24"/>
      <w:szCs w:val="24"/>
    </w:rPr>
    <w:pPr>
      <w:rPr/>
    </w:pPr>
    <w:qFormat/>
    <w:basedOn w:val="Normal"/>
  </w:style>
  <w:style w:type="paragraph" w:styleId="mdCode">
    <w:name w:val="代码块"/>
    <w:rPr>
      <w:rFonts w:ascii="Consolas" w:hAnsi="Consolas" w:cs="Consolas" w:eastAsia="宋体"/>
      <w:sz w:val="20"/>
      <w:szCs w:val="20"/>
    </w:rPr>
    <w:pPr>
      <w:rPr/>
    </w:pPr>
    <w:qFormat/>
    <w:basedOn w:val="Normal"/>
  </w:style>
  <w:style w:type="paragraph" w:styleId="mdQuote">
    <w:name w:val="引用"/>
    <w:rPr>
      <w:rFonts w:ascii="Times New Roman" w:hAnsi="Times New Roman" w:cs="Times New Roman" w:eastAsia="宋体"/>
      <w:color w:val="595959"/>
      <w:sz w:val="24"/>
      <w:szCs w:val="24"/>
    </w:rPr>
    <w:pPr>
      <w:rPr/>
    </w:pPr>
    <w:qFormat/>
    <w:basedOn w:val="Normal"/>
  </w:style>
  <w:style w:type="paragraph" w:styleId="mdH1">
    <w:name w:val="标题 1"/>
    <w:rPr>
      <w:rFonts w:ascii="Times New Roman" w:hAnsi="Times New Roman" w:cs="Times New Roman" w:eastAsia="宋体"/>
      <w:b/>
      <w:bCs/>
      <w:color w:val="1F3864"/>
      <w:sz w:val="36"/>
      <w:szCs w:val="36"/>
    </w:rPr>
    <w:pPr>
      <w:outlineLvl w:val="0"/>
      <w:rPr/>
    </w:pPr>
    <w:qFormat/>
    <w:basedOn w:val="Normal"/>
  </w:style>
  <w:style w:type="paragraph" w:styleId="mdH2">
    <w:name w:val="标题 2"/>
    <w:rPr>
      <w:rFonts w:ascii="Times New Roman" w:hAnsi="Times New Roman" w:cs="Times New Roman" w:eastAsia="宋体"/>
      <w:b/>
      <w:bCs/>
      <w:color w:val="1F3864"/>
      <w:sz w:val="32"/>
      <w:szCs w:val="32"/>
    </w:rPr>
    <w:pPr>
      <w:outlineLvl w:val="1"/>
      <w:rPr/>
    </w:pPr>
    <w:qFormat/>
    <w:basedOn w:val="Normal"/>
  </w:style>
  <w:style w:type="paragraph" w:styleId="mdH3">
    <w:name w:val="标题 3"/>
    <w:rPr>
      <w:rFonts w:ascii="Times New Roman" w:hAnsi="Times New Roman" w:cs="Times New Roman" w:eastAsia="宋体"/>
      <w:b/>
      <w:bCs/>
      <w:color w:val="1F3864"/>
      <w:sz w:val="28"/>
      <w:szCs w:val="28"/>
    </w:rPr>
    <w:pPr>
      <w:outlineLvl w:val="2"/>
      <w:rPr/>
    </w:pPr>
    <w:qFormat/>
    <w:basedOn w:val="Normal"/>
  </w:style>
  <w:style w:type="paragraph" w:styleId="mdH4">
    <w:name w:val="标题 4"/>
    <w:rPr>
      <w:rFonts w:ascii="Times New Roman" w:hAnsi="Times New Roman" w:cs="Times New Roman" w:eastAsia="宋体"/>
      <w:b/>
      <w:bCs/>
      <w:color w:val="1F3864"/>
      <w:sz w:val="26"/>
      <w:szCs w:val="26"/>
    </w:rPr>
    <w:pPr>
      <w:outlineLvl w:val="3"/>
      <w:rPr/>
    </w:pPr>
    <w:qFormat/>
    <w:basedOn w:val="Normal"/>
  </w:style>
  <w:style w:type="paragraph" w:styleId="mdH5">
    <w:name w:val="标题 5"/>
    <w:rPr>
      <w:rFonts w:ascii="Times New Roman" w:hAnsi="Times New Roman" w:cs="Times New Roman" w:eastAsia="宋体"/>
      <w:b/>
      <w:bCs/>
      <w:color w:val="1F3864"/>
      <w:sz w:val="24"/>
      <w:szCs w:val="24"/>
    </w:rPr>
    <w:pPr>
      <w:outlineLvl w:val="4"/>
      <w:rPr/>
    </w:pPr>
    <w:qFormat/>
    <w:basedOn w:val="Normal"/>
  </w:style>
  <w:style w:type="paragraph" w:styleId="mdH6">
    <w:name w:val="标题 6"/>
    <w:rPr>
      <w:rFonts w:ascii="Times New Roman" w:hAnsi="Times New Roman" w:cs="Times New Roman" w:eastAsia="宋体"/>
      <w:b/>
      <w:bCs/>
      <w:color w:val="1F3864"/>
      <w:sz w:val="24"/>
      <w:szCs w:val="24"/>
    </w:rPr>
    <w:pPr>
      <w:outlineLvl w:val="5"/>
      <w:rPr/>
    </w:pPr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Image1" Type="http://schemas.openxmlformats.org/officeDocument/2006/relationships/image" Target="media/rIdImage1.png" /><Relationship Id="rIdHyperlink1" Type="http://schemas.openxmlformats.org/officeDocument/2006/relationships/hyperlink" Target="https://example.com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