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">
  <w:body>
    <w:p w14:paraId="00000001">
      <w:pPr>
        <w:pStyle w:val="mdH1"/>
        <w:keepNext/>
        <w:spacing w:before="240" w:after="120"/>
        <w:outlineLvl w:val="0"/>
        <w:rPr/>
      </w:pPr>
      <w:r>
        <w:rPr>
          <w:rFonts w:ascii="Times New Roman" w:hAnsi="Times New Roman" w:cs="Times New Roman" w:eastAsia="宋体"/>
          <w:b/>
          <w:bCs/>
          <w:color w:val="1F3864"/>
          <w:sz w:val="36"/>
          <w:szCs w:val="36"/>
        </w:rPr>
        <w:t xml:space="preserve">一级标题：Markdown 转 Word 验证</w:t>
      </w:r>
    </w:p>
    <w:p w14:paraId="00000002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这是一段普通正文，用来验证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加粗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Times New Roman" w:hAnsi="Times New Roman" w:cs="Times New Roman" w:eastAsia="宋体"/>
          <w:i/>
          <w:iCs/>
          <w:sz w:val="24"/>
          <w:szCs w:val="24"/>
        </w:rPr>
        <w:t xml:space="preserve">斜体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Consolas" w:hAnsi="Consolas" w:cs="Consolas" w:eastAsia="宋体"/>
          <w:sz w:val="24"/>
          <w:szCs w:val="24"/>
          <w:shd w:val="clear" w:color="auto" w:fill="F2F2F2"/>
        </w:rPr>
        <w:t xml:space="preserve">行内代码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Times New Roman" w:hAnsi="Times New Roman" w:cs="Times New Roman" w:eastAsia="宋体"/>
          <w:strike/>
          <w:sz w:val="24"/>
          <w:szCs w:val="24"/>
        </w:rPr>
        <w:t xml:space="preserve">删除线</w:t>
      </w:r>
      <w:r>
        <w:rPr>
          <w:rFonts w:ascii="Times New Roman" w:hAnsi="Times New Roman" w:cs="Times New Roman" w:eastAsia="宋体"/>
          <w:sz w:val="24"/>
          <w:szCs w:val="24"/>
        </w:rPr>
        <w:t xml:space="preserve"> 以及</w:t>
      </w:r>
      <w:hyperlink r:id="rIdHyperlink1" w:history="1">
        <w:r>
          <w:rPr>
            <w:rFonts w:ascii="Times New Roman" w:hAnsi="Times New Roman" w:cs="Times New Roman" w:eastAsia="宋体"/>
            <w:color w:val="0563C1"/>
            <w:sz w:val="24"/>
            <w:szCs w:val="24"/>
          </w:rPr>
          <w:t xml:space="preserve">超链接</w:t>
        </w:r>
      </w:hyperlink>
      <w:r>
        <w:rPr>
          <w:rFonts w:ascii="Times New Roman" w:hAnsi="Times New Roman" w:cs="Times New Roman" w:eastAsia="宋体"/>
          <w:sz w:val="24"/>
          <w:szCs w:val="24"/>
        </w:rPr>
        <w:t xml:space="preserve">的呈现。</w:t>
      </w:r>
      <w:r>
        <w:rPr>
          <w:rFonts w:ascii="Times New Roman" w:hAnsi="Times New Roman" w:cs="Times New Roman" w:eastAsia="宋体"/>
          <w:sz w:val="24"/>
          <w:szCs w:val="24"/>
        </w:rPr>
        <w:t xml:space="preserve">中英文混排时，换行处不应该多出空格，这一点在中文段落里很重要。</w:t>
      </w:r>
    </w:p>
    <w:p w14:paraId="00000003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二级标题：列表</w:t>
      </w:r>
    </w:p>
    <w:p w14:paraId="00000004">
      <w:pPr>
        <w:numPr>
          <w:ilvl w:val="0"/>
          <w:numId w:val="2"/>
        </w:numPr>
        <w:rPr/>
      </w:pPr>
    </w:p>
    <w:p w14:paraId="00000005">
      <w:pPr>
        <w:numPr>
          <w:ilvl w:val="1"/>
          <w:numId w:val="1"/>
        </w:numPr>
        <w:rPr/>
      </w:pPr>
    </w:p>
    <w:p w14:paraId="00000006">
      <w:pPr>
        <w:numPr>
          <w:ilvl w:val="2"/>
          <w:numId w:val="2"/>
        </w:numPr>
        <w:rPr/>
      </w:pPr>
    </w:p>
    <w:p w14:paraId="00000007">
      <w:pPr>
        <w:numPr>
          <w:ilvl w:val="1"/>
          <w:numId w:val="1"/>
        </w:numPr>
        <w:rPr/>
      </w:pPr>
    </w:p>
    <w:p w14:paraId="00000008">
      <w:pPr>
        <w:numPr>
          <w:ilvl w:val="0"/>
          <w:numId w:val="2"/>
        </w:numPr>
        <w:rPr/>
      </w:pPr>
    </w:p>
    <w:p w14:paraId="00000009">
      <w:pPr>
        <w:numPr>
          <w:ilvl w:val="0"/>
          <w:numId w:val="2"/>
        </w:numPr>
        <w:rPr/>
      </w:pPr>
    </w:p>
    <w:p w14:paraId="0000000a">
      <w:pPr>
        <w:numPr>
          <w:ilvl w:val="0"/>
          <w:numId w:val="1"/>
        </w:numPr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☑ </w:t>
      </w:r>
    </w:p>
    <w:p w14:paraId="0000000b">
      <w:pPr>
        <w:numPr>
          <w:ilvl w:val="0"/>
          <w:numId w:val="1"/>
        </w:numPr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☐ </w:t>
      </w:r>
    </w:p>
    <w:p w14:paraId="0000000c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二级标题：引用</w:t>
      </w:r>
    </w:p>
    <w:p w14:paraId="0000000d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这是引用块的内容。</w:t>
      </w: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引用可以有多行，并且会带上左侧竖线。</w:t>
      </w:r>
    </w:p>
    <w:p w14:paraId="0000000e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二级标题：表格</w:t>
      </w:r>
    </w:p>
    <w:tbl>
      <w:tblPr>
        <w:tblW w:w="9068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2267" w:type="dxa"/>
        <w:gridCol w:w="2267" w:type="dxa"/>
        <w:gridCol w:w="2267" w:type="dxa"/>
        <w:gridCol w:w="2267" w:type="dxa"/>
      </w:tblGrid>
      <w:tr>
        <w:trPr/>
        <w:tc>
          <w:tcPr>
            <w:tcW w:w="2267" w:type="dxa"/>
          </w:tcPr>
          <w:p w14:paraId="0000000f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字体</w:t>
            </w:r>
          </w:p>
        </w:tc>
        <w:tc>
          <w:tcPr>
            <w:tcW w:w="2267" w:type="dxa"/>
          </w:tcPr>
          <w:p w14:paraId="00000010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文本</w:t>
            </w:r>
          </w:p>
        </w:tc>
        <w:tc>
          <w:tcPr>
            <w:tcW w:w="2267" w:type="dxa"/>
          </w:tcPr>
          <w:p w14:paraId="00000011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宋体</w:t>
            </w:r>
          </w:p>
        </w:tc>
        <w:tc>
          <w:tcPr>
            <w:tcW w:w="2267" w:type="dxa"/>
          </w:tcPr>
          <w:p w14:paraId="00000012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12</w:t>
            </w:r>
          </w:p>
        </w:tc>
      </w:tr>
      <w:tr>
        <w:trPr/>
        <w:tc>
          <w:tcPr>
            <w:tcW w:w="2267" w:type="dxa"/>
          </w:tcPr>
          <w:p w14:paraId="00000013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行距</w:t>
            </w:r>
          </w:p>
        </w:tc>
        <w:tc>
          <w:tcPr>
            <w:tcW w:w="2267" w:type="dxa"/>
          </w:tcPr>
          <w:p w14:paraId="00000014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数值</w:t>
            </w:r>
          </w:p>
        </w:tc>
        <w:tc>
          <w:tcPr>
            <w:tcW w:w="2267" w:type="dxa"/>
          </w:tcPr>
          <w:p w14:paraId="00000015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1.5 倍</w:t>
            </w:r>
          </w:p>
        </w:tc>
        <w:tc>
          <w:tcPr>
            <w:tcW w:w="2267" w:type="dxa"/>
          </w:tcPr>
          <w:p w14:paraId="00000016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1.5</w:t>
            </w:r>
          </w:p>
        </w:tc>
      </w:tr>
      <w:tr>
        <w:trPr/>
        <w:tc>
          <w:tcPr>
            <w:tcW w:w="2267" w:type="dxa"/>
          </w:tcPr>
          <w:p w14:paraId="00000017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公式</w:t>
            </w:r>
          </w:p>
        </w:tc>
        <w:tc>
          <w:tcPr>
            <w:tcW w:w="2267" w:type="dxa"/>
          </w:tcPr>
          <w:p w14:paraId="00000018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对象</w:t>
            </w:r>
          </w:p>
        </w:tc>
        <w:tc>
          <w:tcPr>
            <w:tcW w:w="2267" w:type="dxa"/>
          </w:tcPr>
          <w:p w14:paraId="00000019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原生 OMML</w:t>
            </w:r>
          </w:p>
        </w:tc>
        <w:tc>
          <w:tcPr>
            <w:tcW w:w="2267" w:type="dxa"/>
          </w:tcPr>
          <w:p w14:paraId="0000001a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100</w:t>
            </w:r>
          </w:p>
        </w:tc>
      </w:tr>
    </w:tbl>
    <w:p w14:paraId="0000001b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二级标题：公式</w:t>
      </w:r>
    </w:p>
    <w:p w14:paraId="0000001c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行内公式：欧拉恒等式 </w:t>
      </w:r>
      <m:oMath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e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i</m:t>
            </m:r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π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+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1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=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0</m:t>
        </m:r>
      </m:oMath>
      <w:r>
        <w:rPr>
          <w:rFonts w:ascii="Times New Roman" w:hAnsi="Times New Roman" w:cs="Times New Roman" w:eastAsia="宋体"/>
          <w:sz w:val="24"/>
          <w:szCs w:val="24"/>
        </w:rPr>
        <w:t xml:space="preserve">，以及勾股定理 </w:t>
      </w:r>
      <m:oMath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a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+</m:t>
        </m:r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b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=</m:t>
        </m:r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c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 xml:space="preserve">。</w:t>
      </w:r>
    </w:p>
    <w:p w14:paraId="0000001d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块级公式：</w:t>
      </w:r>
    </w:p>
    <w:p w14:paraId="0000001e">
      <w:pPr>
        <w:spacing w:before="120" w:after="120"/>
        <w:jc w:val="center"/>
        <w:rPr/>
      </w:pPr>
      <m:oMathPara>
        <m:oMath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E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m</m:t>
          </m:r>
          <m:sSup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c</m:t>
              </m:r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sup>
          </m:sSup>
        </m:oMath>
      </m:oMathPara>
    </w:p>
    <w:p w14:paraId="0000001f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带分数与根号：</w:t>
      </w:r>
    </w:p>
    <w:p w14:paraId="00000020">
      <w:pPr>
        <w:spacing w:before="120" w:after="120"/>
        <w:jc w:val="center"/>
        <w:rPr/>
      </w:pPr>
      <m:oMathPara>
        <m:oMath>
          <m:f>
            <m:num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-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b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b</m:t>
                      </m:r>
                    </m:e>
                    <m:sup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2</m:t>
                      </m:r>
                    </m:sup>
                  </m:s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-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4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a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c</m:t>
                  </m:r>
                </m:e>
              </m:ra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a</m:t>
              </m:r>
            </m:den>
          </m:f>
        </m:oMath>
      </m:oMathPara>
    </w:p>
    <w:p w14:paraId="00000021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求和与积分：</w:t>
      </w:r>
    </w:p>
    <w:p w14:paraId="00000022">
      <w:pPr>
        <w:spacing w:before="120" w:after="120"/>
        <w:jc w:val="center"/>
        <w:rPr/>
      </w:pPr>
      <m:oMathPara>
        <m:oMath>
          <m:sSup>
            <m:e>
              <m:nary>
                <m:naryPr>
                  <m:chr m:val="∑"/>
                  <m:subHide m:val="0"/>
                  <m:supHide m:val="0"/>
                </m:naryPr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i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=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sub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</m: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i</m:t>
                  </m:r>
                </m:e>
              </m:nary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sup>
          </m:sSup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>
            <m:num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n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+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e>
              </m:d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+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e>
              </m: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6</m:t>
              </m:r>
            </m:den>
          </m:f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,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 </m:t>
          </m:r>
          <m:sSup>
            <m:e>
              <m:nary>
                <m:naryPr>
                  <m:chr m:val="∫"/>
                  <m:subHide m:val="0"/>
                  <m:supHide m:val="0"/>
                </m:naryPr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0</m:t>
                  </m:r>
                </m:sub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∞</m:t>
                  </m:r>
                </m: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e</m:t>
                  </m:r>
                </m:e>
              </m:nary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-</m:t>
              </m:r>
              <m:s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</m:sup>
          </m:sSup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d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x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π</m:t>
                  </m:r>
                </m:e>
              </m:ra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den>
          </m:f>
        </m:oMath>
      </m:oMathPara>
    </w:p>
    <w:p w14:paraId="0000002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矩阵：</w:t>
      </w:r>
    </w:p>
    <w:p w14:paraId="00000024">
      <w:pPr>
        <w:spacing w:before="120" w:after="120"/>
        <w:jc w:val="center"/>
        <w:rPr/>
      </w:pPr>
      <m:oMathPara>
        <m:oMath>
          <m:d>
            <m:dPr>
              <m:begChr m:val="("/>
              <m:sepChr m:val=""/>
              <m:endChr m:val=")"/>
              <m:grow m:val="on"/>
            </m:dPr>
            <m:e>
              <m:m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a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b</m:t>
                    </m:r>
                  </m:e>
                </m:mr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c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d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 m:val="on"/>
            </m:dPr>
            <m:e>
              <m:m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1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0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1</m:t>
                    </m:r>
                  </m:e>
                </m:mr>
              </m:m>
            </m:e>
          </m:d>
        </m:oMath>
      </m:oMathPara>
    </w:p>
    <w:p w14:paraId="00000025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多行对齐：</w:t>
      </w:r>
    </w:p>
    <w:p w14:paraId="00000026">
      <w:pPr>
        <w:spacing w:before="120" w:after="120"/>
        <w:jc w:val="center"/>
        <w:rPr/>
      </w:pPr>
      <m:oMathPara>
        <m:oMath>
          <m:eqArr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f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</m:d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 m:val="on"/>
                    </m:dPr>
                    <m:e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x</m:t>
                      </m:r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+</m:t>
                      </m:r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1</m:t>
                      </m:r>
                    </m:e>
                  </m:d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</m:e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=</m:t>
              </m:r>
              <m:s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+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+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1</m:t>
              </m:r>
            </m:e>
          </m:eqArr>
        </m:oMath>
      </m:oMathPara>
    </w:p>
    <w:p w14:paraId="00000027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极限与希腊字母：</w:t>
      </w:r>
    </w:p>
    <w:p w14:paraId="00000028">
      <w:pPr>
        <w:spacing w:before="120" w:after="120"/>
        <w:jc w:val="center"/>
        <w:rPr/>
      </w:pPr>
      <m:oMathPara>
        <m:oMath>
          <m:sSub>
            <m:e>
              <m:r>
                <m:rPr>
                  <m:nor/>
                  <m:ctrlPr>
                    <w:rPr>
                      <w:rFonts w:ascii="Cambria Math" w:hAnsi="Cambria Math" w:eastAsia="Cambria Math"/>
                    </w:rPr>
                  </m:ctrlPr>
                </m:rPr>
                <m:t xml:space="preserve">lim</m:t>
              </m:r>
            </m:e>
            <m:sub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→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0</m:t>
              </m:r>
            </m:sub>
          </m:sSub>
          <m:f>
            <m:num>
              <m:func>
                <m:fName>
                  <m:r>
                    <m:rPr>
                      <m:nor/>
                      <m:ctrlPr>
                        <w:rPr>
                          <w:rFonts w:ascii="Cambria Math" w:hAnsi="Cambria Math" w:eastAsia="Cambria Math"/>
                        </w:rPr>
                      </m:ctrlPr>
                    </m:rPr>
                    <m:t xml:space="preserve">sin</m:t>
                  </m:r>
                </m:fName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</m:func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</m:den>
          </m:f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1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,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 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α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+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β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≤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γ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≠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δ</m:t>
          </m:r>
        </m:oMath>
      </m:oMathPara>
    </w:p>
    <w:p w14:paraId="00000029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二级标题：图片</w:t>
      </w:r>
    </w:p>
    <w:p w14:paraId="0000002a">
      <w:pPr>
        <w:jc w:val="center"/>
        <w:rPr/>
      </w:pPr>
      <w:r>
        <w:rPr/>
        <w:drawing>
          <wp:inline distT="0" distB="0" distL="0" distR="0">
            <wp:extent cx="3048000" cy="17145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段落中间也可以插入行内图片：</w:t>
      </w:r>
    </w:p>
    <w:p w14:paraId="0000002c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这是前面的文字 </w:t>
      </w:r>
      <w:r>
        <w:rPr/>
        <w:drawing>
          <wp:inline distT="0" distB="0" distL="0" distR="0">
            <wp:extent cx="3048000" cy="17145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宋体"/>
          <w:sz w:val="24"/>
          <w:szCs w:val="24"/>
        </w:rPr>
        <w:t xml:space="preserve"> 这是后面的文字。</w:t>
      </w:r>
    </w:p>
    <w:p w14:paraId="0000002d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二级标题：代码</w:t>
      </w:r>
    </w:p>
    <w:tbl>
      <w:tblPr>
        <w:tblW w:w="9070" w:type="dxa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9070" w:type="dxa"/>
            <w:tcBorders>
              <w:top w:val="nil" w:sz="2" w:space="0" w:color="000000"/>
              <w:left w:val="nil" w:sz="2" w:space="0" w:color="000000"/>
              <w:bottom w:val="nil" w:sz="2" w:space="0" w:color="000000"/>
              <w:right w:val="nil" w:sz="2" w:space="0" w:color="000000"/>
              <w:insideH w:val="nil" w:sz="2" w:space="0" w:color="000000"/>
              <w:insideV w:val="nil" w:sz="2" w:space="0" w:color="000000"/>
              <w:tl2br w:val="nil" w:sz="2" w:space="0" w:color="000000"/>
              <w:tr2bl w:val="nil" w:sz="2" w:space="0" w:color="000000"/>
            </w:tcBorders>
            <w:shd w:val="clear" w:color="auto" w:fill="F5F5F5"/>
          </w:tcPr>
          <w:p w14:paraId="0000002e">
            <w:pPr>
              <w:spacing w:line="240"/>
              <w:rPr/>
            </w:pPr>
            <w:r>
              <w:rPr>
                <w:rFonts w:ascii="Consolas" w:hAnsi="Consolas" w:cs="Consolas" w:eastAsia="宋体"/>
                <w:sz w:val="20"/>
                <w:szCs w:val="20"/>
              </w:rPr>
              <w:t xml:space="preserve"> </w:t>
            </w:r>
          </w:p>
        </w:tc>
      </w:tr>
    </w:tbl>
    <w:p w14:paraId="0000002f">
      <w:pPr>
        <w:pBdr>
          <w:top w:val="single" w:space="0" w:sz="2" w:color="auto"/>
          <w:left w:val="single" w:space="0" w:sz="2" w:color="auto"/>
          <w:bottom w:val="single" w:space="0" w:sz="6" w:color="BFBFBF"/>
          <w:right w:val="single" w:space="0" w:sz="2" w:color="auto"/>
        </w:pBdr>
        <w:rPr/>
      </w:pPr>
    </w:p>
    <w:p w14:paraId="00000030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最后一段，分隔线之上。</w:t>
      </w:r>
    </w:p>
    <w:sectPr>
      <w:pgSz w:w="11906" w:h="16838"/>
      <w:pgMar w:top="1418" w:right="1418" w:bottom="1418" w:left="1418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420" w:right="0" w:hanging="420"/>
        <w:rPr/>
      </w:pPr>
      <w:rPr/>
    </w:lvl>
    <w:lvl w:ilvl="1">
      <w:start w:val="1"/>
      <w:numFmt w:val="decimal"/>
      <w:lvlText w:val="(%2)"/>
      <w:lvlJc w:val="left"/>
      <w:pPr>
        <w:ind w:left="840" w:right="0" w:hanging="420"/>
        <w:rPr/>
      </w:pPr>
      <w:rPr/>
    </w:lvl>
    <w:lvl w:ilvl="2">
      <w:start w:val="1"/>
      <w:numFmt w:val="decimalEnclosedCircle"/>
      <w:lvlText w:val="%3"/>
      <w:lvlJc w:val="left"/>
      <w:pPr>
        <w:ind w:left="1260" w:right="0" w:hanging="420"/>
        <w:rPr/>
      </w:pPr>
      <w:rPr/>
    </w:lvl>
    <w:lvl w:ilvl="3">
      <w:start w:val="1"/>
      <w:numFmt w:val="decimal"/>
      <w:lvlText w:val="%4."/>
      <w:lvlJc w:val="left"/>
      <w:pPr>
        <w:ind w:left="1680" w:right="0" w:hanging="420"/>
        <w:rPr/>
      </w:pPr>
      <w:rPr/>
    </w:lvl>
    <w:lvl w:ilvl="4">
      <w:start w:val="1"/>
      <w:numFmt w:val="decimal"/>
      <w:lvlText w:val="(%5)"/>
      <w:lvlJc w:val="left"/>
      <w:pPr>
        <w:ind w:left="2100" w:right="0" w:hanging="420"/>
        <w:rPr/>
      </w:pPr>
      <w:rPr/>
    </w:lvl>
    <w:lvl w:ilvl="5">
      <w:start w:val="1"/>
      <w:numFmt w:val="decimalEnclosedCircle"/>
      <w:lvlText w:val="%6"/>
      <w:lvlJc w:val="left"/>
      <w:pPr>
        <w:ind w:left="2520" w:right="0" w:hanging="420"/>
        <w:rPr/>
      </w:pPr>
      <w:rPr/>
    </w:lvl>
    <w:lvl w:ilvl="6">
      <w:start w:val="1"/>
      <w:numFmt w:val="decimal"/>
      <w:lvlText w:val="%7."/>
      <w:lvlJc w:val="left"/>
      <w:pPr>
        <w:ind w:left="2940" w:right="0" w:hanging="420"/>
        <w:rPr/>
      </w:pPr>
      <w:rPr/>
    </w:lvl>
    <w:lvl w:ilvl="7">
      <w:start w:val="1"/>
      <w:numFmt w:val="decimal"/>
      <w:lvlText w:val="(%8)"/>
      <w:lvlJc w:val="left"/>
      <w:pPr>
        <w:ind w:left="3360" w:right="0" w:hanging="420"/>
        <w:rPr/>
      </w:pPr>
      <w:rPr/>
    </w:lvl>
    <w:lvl w:ilvl="8">
      <w:start w:val="1"/>
      <w:numFmt w:val="decimalEnclosedCircle"/>
      <w:lvlText w:val="%9"/>
      <w:lvlJc w:val="left"/>
      <w:pPr>
        <w:ind w:left="3780" w:right="0" w:hanging="420"/>
        <w:rPr/>
      </w:pPr>
      <w:rPr/>
    </w:lvl>
  </w:abstractNum>
  <w:abstractNum w:abstractNumId="1">
    <w:lvl w:ilvl="0">
      <w:start w:val="1"/>
      <w:numFmt w:val="bullet"/>
      <w:lvlText w:val="•"/>
      <w:lvlJc w:val="left"/>
      <w:pPr>
        <w:ind w:left="720" w:right="0" w:hanging="360"/>
        <w:rPr/>
      </w:pPr>
      <w:rPr>
        <w:rFonts w:ascii="宋体" w:hAnsi="宋体" w:cs="宋体" w:eastAsia="宋体"/>
      </w:rPr>
    </w:lvl>
    <w:lvl w:ilvl="1">
      <w:start w:val="1"/>
      <w:numFmt w:val="bullet"/>
      <w:lvlText w:val="○"/>
      <w:lvlJc w:val="left"/>
      <w:pPr>
        <w:ind w:left="1080" w:right="0" w:hanging="360"/>
        <w:rPr/>
      </w:pPr>
      <w:rPr>
        <w:rFonts w:ascii="宋体" w:hAnsi="宋体" w:cs="宋体" w:eastAsia="宋体"/>
      </w:rPr>
    </w:lvl>
    <w:lvl w:ilvl="2">
      <w:start w:val="1"/>
      <w:numFmt w:val="bullet"/>
      <w:lvlText w:val="▪"/>
      <w:lvlJc w:val="left"/>
      <w:pPr>
        <w:ind w:left="1440" w:right="0" w:hanging="360"/>
        <w:rPr/>
      </w:pPr>
      <w:rPr>
        <w:rFonts w:ascii="宋体" w:hAnsi="宋体" w:cs="宋体" w:eastAsia="宋体"/>
      </w:rPr>
    </w:lvl>
    <w:lvl w:ilvl="3">
      <w:start w:val="1"/>
      <w:numFmt w:val="bullet"/>
      <w:lvlText w:val="·"/>
      <w:lvlJc w:val="left"/>
      <w:pPr>
        <w:ind w:left="1800" w:right="0" w:hanging="360"/>
        <w:rPr/>
      </w:pPr>
      <w:rPr>
        <w:rFonts w:ascii="宋体" w:hAnsi="宋体" w:cs="宋体" w:eastAsia="宋体"/>
      </w:rPr>
    </w:lvl>
    <w:lvl w:ilvl="4">
      <w:start w:val="1"/>
      <w:numFmt w:val="bullet"/>
      <w:lvlText w:val="•"/>
      <w:lvlJc w:val="left"/>
      <w:pPr>
        <w:ind w:left="2160" w:right="0" w:hanging="360"/>
        <w:rPr/>
      </w:pPr>
      <w:rPr>
        <w:rFonts w:ascii="宋体" w:hAnsi="宋体" w:cs="宋体" w:eastAsia="宋体"/>
      </w:rPr>
    </w:lvl>
  </w:abstractNum>
  <w:abstractNum w:abstractNumId="2">
    <w:lvl w:ilvl="0">
      <w:start w:val="1"/>
      <w:numFmt w:val="decimal"/>
      <w:lvlText w:val="%1."/>
      <w:lvlJc w:val="left"/>
      <w:pPr>
        <w:ind w:left="720" w:right="0" w:hanging="360"/>
        <w:rPr/>
      </w:pPr>
      <w:rPr>
        <w:rFonts w:ascii="Times New Roman" w:hAnsi="Times New Roman" w:cs="Times New Roman" w:eastAsia="宋体"/>
      </w:rPr>
    </w:lvl>
    <w:lvl w:ilvl="1">
      <w:start w:val="1"/>
      <w:numFmt w:val="decimal"/>
      <w:lvlText w:val="%1.%2."/>
      <w:lvlJc w:val="left"/>
      <w:pPr>
        <w:ind w:left="1080" w:right="0" w:hanging="360"/>
        <w:rPr/>
      </w:pPr>
      <w:rPr>
        <w:rFonts w:ascii="Times New Roman" w:hAnsi="Times New Roman" w:cs="Times New Roman" w:eastAsia="宋体"/>
      </w:rPr>
    </w:lvl>
    <w:lvl w:ilvl="2">
      <w:start w:val="1"/>
      <w:numFmt w:val="decimal"/>
      <w:lvlText w:val="%1.%2.%3."/>
      <w:lvlJc w:val="left"/>
      <w:pPr>
        <w:ind w:left="1440" w:right="0" w:hanging="360"/>
        <w:rPr/>
      </w:pPr>
      <w:rPr>
        <w:rFonts w:ascii="Times New Roman" w:hAnsi="Times New Roman" w:cs="Times New Roman" w:eastAsia="宋体"/>
      </w:rPr>
    </w:lvl>
    <w:lvl w:ilvl="3">
      <w:start w:val="1"/>
      <w:numFmt w:val="decimal"/>
      <w:lvlText w:val="%1.%2.%3.%4."/>
      <w:lvlJc w:val="left"/>
      <w:pPr>
        <w:ind w:left="1800" w:right="0" w:hanging="360"/>
        <w:rPr/>
      </w:pPr>
      <w:rPr>
        <w:rFonts w:ascii="Times New Roman" w:hAnsi="Times New Roman" w:cs="Times New Roman" w:eastAsia="宋体"/>
      </w:rPr>
    </w:lvl>
    <w:lvl w:ilvl="4">
      <w:start w:val="1"/>
      <w:numFmt w:val="decimal"/>
      <w:lvlText w:val="%1.%2.%3.%4.%5."/>
      <w:lvlJc w:val="left"/>
      <w:pPr>
        <w:ind w:left="2160" w:right="0" w:hanging="360"/>
        <w:rPr/>
      </w:pPr>
      <w:rPr>
        <w:rFonts w:ascii="Times New Roman" w:hAnsi="Times New Roman" w:cs="Times New Roman" w:eastAsia="宋体"/>
      </w:rPr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宋体"/>
        <w:sz w:val="24"/>
        <w:szCs w:val="24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mdBody">
    <w:name w:val="正文"/>
    <w:rPr>
      <w:rFonts w:ascii="Times New Roman" w:hAnsi="Times New Roman" w:cs="Times New Roman" w:eastAsia="宋体"/>
      <w:sz w:val="24"/>
      <w:szCs w:val="24"/>
    </w:rPr>
    <w:pPr>
      <w:rPr/>
    </w:pPr>
    <w:qFormat/>
    <w:basedOn w:val="Normal"/>
  </w:style>
  <w:style w:type="paragraph" w:styleId="mdCode">
    <w:name w:val="代码块"/>
    <w:rPr>
      <w:rFonts w:ascii="Consolas" w:hAnsi="Consolas" w:cs="Consolas" w:eastAsia="宋体"/>
      <w:sz w:val="20"/>
      <w:szCs w:val="20"/>
    </w:rPr>
    <w:pPr>
      <w:rPr/>
    </w:pPr>
    <w:qFormat/>
    <w:basedOn w:val="Normal"/>
  </w:style>
  <w:style w:type="paragraph" w:styleId="mdQuote">
    <w:name w:val="引用"/>
    <w:rPr>
      <w:rFonts w:ascii="Times New Roman" w:hAnsi="Times New Roman" w:cs="Times New Roman" w:eastAsia="宋体"/>
      <w:color w:val="595959"/>
      <w:sz w:val="24"/>
      <w:szCs w:val="24"/>
    </w:rPr>
    <w:pPr>
      <w:rPr/>
    </w:pPr>
    <w:qFormat/>
    <w:basedOn w:val="Normal"/>
  </w:style>
  <w:style w:type="paragraph" w:styleId="mdH1">
    <w:name w:val="标题 1"/>
    <w:rPr>
      <w:rFonts w:ascii="Times New Roman" w:hAnsi="Times New Roman" w:cs="Times New Roman" w:eastAsia="宋体"/>
      <w:b/>
      <w:bCs/>
      <w:color w:val="1F3864"/>
      <w:sz w:val="36"/>
      <w:szCs w:val="36"/>
    </w:rPr>
    <w:pPr>
      <w:outlineLvl w:val="0"/>
      <w:rPr/>
    </w:pPr>
    <w:qFormat/>
    <w:basedOn w:val="Normal"/>
  </w:style>
  <w:style w:type="paragraph" w:styleId="mdH2">
    <w:name w:val="标题 2"/>
    <w:rPr>
      <w:rFonts w:ascii="Times New Roman" w:hAnsi="Times New Roman" w:cs="Times New Roman" w:eastAsia="宋体"/>
      <w:b/>
      <w:bCs/>
      <w:color w:val="1F3864"/>
      <w:sz w:val="32"/>
      <w:szCs w:val="32"/>
    </w:rPr>
    <w:pPr>
      <w:outlineLvl w:val="1"/>
      <w:rPr/>
    </w:pPr>
    <w:qFormat/>
    <w:basedOn w:val="Normal"/>
  </w:style>
  <w:style w:type="paragraph" w:styleId="mdH3">
    <w:name w:val="标题 3"/>
    <w:rPr>
      <w:rFonts w:ascii="Times New Roman" w:hAnsi="Times New Roman" w:cs="Times New Roman" w:eastAsia="宋体"/>
      <w:b/>
      <w:bCs/>
      <w:color w:val="1F3864"/>
      <w:sz w:val="28"/>
      <w:szCs w:val="28"/>
    </w:rPr>
    <w:pPr>
      <w:outlineLvl w:val="2"/>
      <w:rPr/>
    </w:pPr>
    <w:qFormat/>
    <w:basedOn w:val="Normal"/>
  </w:style>
  <w:style w:type="paragraph" w:styleId="mdH4">
    <w:name w:val="标题 4"/>
    <w:rPr>
      <w:rFonts w:ascii="Times New Roman" w:hAnsi="Times New Roman" w:cs="Times New Roman" w:eastAsia="宋体"/>
      <w:b/>
      <w:bCs/>
      <w:color w:val="1F3864"/>
      <w:sz w:val="26"/>
      <w:szCs w:val="26"/>
    </w:rPr>
    <w:pPr>
      <w:outlineLvl w:val="3"/>
      <w:rPr/>
    </w:pPr>
    <w:qFormat/>
    <w:basedOn w:val="Normal"/>
  </w:style>
  <w:style w:type="paragraph" w:styleId="mdH5">
    <w:name w:val="标题 5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4"/>
      <w:rPr/>
    </w:pPr>
    <w:qFormat/>
    <w:basedOn w:val="Normal"/>
  </w:style>
  <w:style w:type="paragraph" w:styleId="mdH6">
    <w:name w:val="标题 6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5"/>
      <w:rPr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Image1" Type="http://schemas.openxmlformats.org/officeDocument/2006/relationships/image" Target="media/rIdImage1.png" /><Relationship Id="rIdHyperlink1" Type="http://schemas.openxmlformats.org/officeDocument/2006/relationships/hyperlink" Target="https://example.com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