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民事起诉状审核意见书</w:t>
      </w:r>
    </w:p>
    <w:p>
      <w:r>
        <w:t>一、文档基本信息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审核对象</w:t>
            </w:r>
          </w:p>
        </w:tc>
        <w:tc>
          <w:tcPr>
            <w:tcW w:type="dxa" w:w="4320"/>
          </w:tcPr>
          <w:p>
            <w:r>
              <w:t>民事起诉状测试1.docx</w:t>
            </w:r>
          </w:p>
        </w:tc>
      </w:tr>
      <w:tr>
        <w:tc>
          <w:tcPr>
            <w:tcW w:type="dxa" w:w="4320"/>
          </w:tcPr>
          <w:p>
            <w:r>
              <w:t>审核时间</w:t>
            </w:r>
          </w:p>
        </w:tc>
        <w:tc>
          <w:tcPr>
            <w:tcW w:type="dxa" w:w="4320"/>
          </w:tcPr>
          <w:p>
            <w:r>
              <w:t>2025年7月28日</w:t>
            </w:r>
          </w:p>
        </w:tc>
      </w:tr>
    </w:tbl>
    <w:p/>
    <w:p>
      <w:r>
        <w:t>二、格式审查</w:t>
      </w:r>
    </w:p>
    <w:p>
      <w:r>
        <w:rPr>
          <w:b/>
        </w:rPr>
        <w:t>标题：</w:t>
      </w:r>
      <w:r>
        <w:t>✓ 标题格式正确</w:t>
      </w:r>
    </w:p>
    <w:p>
      <w:r>
        <w:rPr>
          <w:b/>
        </w:rPr>
        <w:t>当事人信息：</w:t>
      </w:r>
      <w:r>
        <w:t>✓ 原被告信息完整</w:t>
      </w:r>
    </w:p>
    <w:p>
      <w:r>
        <w:rPr>
          <w:b/>
        </w:rPr>
        <w:t>诉讼请求：</w:t>
      </w:r>
      <w:r>
        <w:t>✓ 诉讼请求具体明确</w:t>
      </w:r>
    </w:p>
    <w:p>
      <w:r>
        <w:rPr>
          <w:b/>
        </w:rPr>
        <w:t>事实与理由：</w:t>
      </w:r>
      <w:r>
        <w:t>✓ 叙述清晰</w:t>
      </w:r>
    </w:p>
    <w:p>
      <w:r>
        <w:rPr>
          <w:b/>
        </w:rPr>
        <w:t>落款：</w:t>
      </w:r>
      <w:r>
        <w:t>✓ 有具状人签名和日期</w:t>
      </w:r>
    </w:p>
    <w:p/>
    <w:p>
      <w:r>
        <w:t>三、内容审查意见</w:t>
      </w:r>
    </w:p>
    <w:p>
      <w:r>
        <w:rPr>
          <w:b/>
        </w:rPr>
        <w:t>1. 诉讼请求诽约金起算日期有误：</w:t>
      </w:r>
      <w:r>
        <w:t>原告主张诽约金自2024年1月1日起算，但陈述事实中货物于2023年12月初已交付，诽约金起算日应为货物交付之次日（2023年12月X日），建议核实具体交付日期后予以修正。</w:t>
      </w:r>
    </w:p>
    <w:p>
      <w:r>
        <w:rPr>
          <w:b/>
        </w:rPr>
        <w:t>2. 具状人姓名与原告姓名一致：</w:t>
      </w:r>
      <w:r>
        <w:t>具状人：张三，与原告姓名一致，✓</w:t>
      </w:r>
    </w:p>
    <w:p>
      <w:r>
        <w:rPr>
          <w:b/>
        </w:rPr>
        <w:t>3. 管转法院：</w:t>
      </w:r>
      <w:r>
        <w:t>约定管转法院为杭州市拱墅区人民法院，符合被告住所地管转规定，✓</w:t>
      </w:r>
    </w:p>
    <w:p>
      <w:r>
        <w:rPr>
          <w:b/>
        </w:rPr>
        <w:t>4. 诉读材料：</w:t>
      </w:r>
      <w:r>
        <w:t>起诉状中未提及诉读目录，建议补充提交诉读目录及相应诉读材料。</w:t>
      </w:r>
    </w:p>
    <w:p>
      <w:r>
        <w:rPr>
          <w:b/>
        </w:rPr>
        <w:t>5. 法律依据：</w:t>
      </w:r>
      <w:r>
        <w:t>援引《民法典》第509条、第577条正确，建议进一步明确被告诽约的具体情形。</w:t>
      </w:r>
    </w:p>
    <w:p/>
    <w:p>
      <w:r>
        <w:t>四、综合评价</w:t>
      </w:r>
    </w:p>
    <w:p>
      <w:r>
        <w:t>本民事起诉状格式规范、信息完整、诉讼请求基本合理。建议按上述意见修订后提交。</w:t>
      </w:r>
    </w:p>
    <w:p/>
    <w:p>
      <w:r>
        <w:t>审核人：AI Agent</w:t>
      </w:r>
    </w:p>
    <w:p>
      <w:r>
        <w:t>审核日期：2025年7月28日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