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39364" w14:textId="77777777" w:rsidR="00F124A5" w:rsidRDefault="00C6551B" w:rsidP="00070BA2">
      <w:pPr>
        <w:pStyle w:val="Title"/>
      </w:pPr>
      <w:r>
        <w:t>Tow-period expenditure allocation problem</w:t>
      </w:r>
    </w:p>
    <w:p w14:paraId="540A361F" w14:textId="77777777" w:rsidR="00C6551B" w:rsidRDefault="00C6551B"/>
    <w:p w14:paraId="26CB3874" w14:textId="36979E26" w:rsidR="00516C10" w:rsidRDefault="00516C10">
      <w:r>
        <w:t xml:space="preserve">We solve how consumers allocation basket goods between two stores. </w:t>
      </w:r>
      <w:r w:rsidR="00015CE8">
        <w:t xml:space="preserve">Per period income is </w:t>
      </w:r>
      <w:r w:rsidR="00E27521" w:rsidRPr="00E27521">
        <w:rPr>
          <w:position w:val="-10"/>
        </w:rPr>
        <w:object w:dxaOrig="220" w:dyaOrig="260" w14:anchorId="28CA2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pt;height:13pt" o:ole="">
            <v:imagedata r:id="rId6" o:title=""/>
          </v:shape>
          <o:OLEObject Type="Embed" ProgID="Equation.DSMT4" ShapeID="_x0000_i1026" DrawAspect="Content" ObjectID="_1344424189" r:id="rId7"/>
        </w:object>
      </w:r>
      <w:r w:rsidR="00015CE8">
        <w:t xml:space="preserve">. Store 2 is a wholesale club store, which charges a lower unit price, </w:t>
      </w:r>
      <w:r w:rsidR="00E27521" w:rsidRPr="00E27521">
        <w:rPr>
          <w:position w:val="-12"/>
        </w:rPr>
        <w:object w:dxaOrig="300" w:dyaOrig="380" w14:anchorId="719AF3BD">
          <v:shape id="_x0000_i1029" type="#_x0000_t75" style="width:15pt;height:19pt" o:ole="">
            <v:imagedata r:id="rId8" o:title=""/>
          </v:shape>
          <o:OLEObject Type="Embed" ProgID="Equation.DSMT4" ShapeID="_x0000_i1029" DrawAspect="Content" ObjectID="_1344424190" r:id="rId9"/>
        </w:object>
      </w:r>
      <w:r w:rsidR="00015CE8">
        <w:t xml:space="preserve">. </w:t>
      </w:r>
      <w:r w:rsidR="00070BA2">
        <w:t xml:space="preserve">Consumers choose the optimal allocation between two stores for the two periods. </w:t>
      </w:r>
    </w:p>
    <w:p w14:paraId="4802D075" w14:textId="425AE2F0" w:rsidR="00015CE8" w:rsidRDefault="00015CE8">
      <w:r>
        <w:t xml:space="preserve">We derive comparative statistics of </w:t>
      </w:r>
      <w:r w:rsidR="008D5682">
        <w:t xml:space="preserve">expenditure share w.r.t income, price, and quality. </w:t>
      </w:r>
    </w:p>
    <w:p w14:paraId="3966DD75" w14:textId="77777777" w:rsidR="00070BA2" w:rsidRDefault="00070BA2"/>
    <w:p w14:paraId="5D4170E9" w14:textId="77777777" w:rsidR="00C6551B" w:rsidRDefault="00C6551B" w:rsidP="00070BA2">
      <w:pPr>
        <w:pStyle w:val="Heading2"/>
      </w:pPr>
      <w:r>
        <w:t>Baseline model with no liquidity constraints</w:t>
      </w:r>
    </w:p>
    <w:p w14:paraId="3A4A9337" w14:textId="5E5A613D" w:rsidR="00070BA2" w:rsidRDefault="00070BA2">
      <w:r>
        <w:t xml:space="preserve">Consumers freely allocate the sum of two-period income between two stores. Focus on the expenditure share of store 2, i.e., </w:t>
      </w:r>
      <w:r w:rsidR="00E27521" w:rsidRPr="00E27521">
        <w:rPr>
          <w:position w:val="-12"/>
        </w:rPr>
        <w:object w:dxaOrig="300" w:dyaOrig="380" w14:anchorId="4C515BAB">
          <v:shape id="_x0000_i1032" type="#_x0000_t75" style="width:15pt;height:19pt" o:ole="">
            <v:imagedata r:id="rId10" o:title=""/>
          </v:shape>
          <o:OLEObject Type="Embed" ProgID="Equation.DSMT4" ShapeID="_x0000_i1032" DrawAspect="Content" ObjectID="_1344424191" r:id="rId11"/>
        </w:object>
      </w:r>
      <w:r>
        <w:t xml:space="preserve">. </w:t>
      </w:r>
    </w:p>
    <w:p w14:paraId="67810D9A" w14:textId="196B2FC3" w:rsidR="00070BA2" w:rsidRDefault="00070BA2" w:rsidP="00070BA2">
      <w:pPr>
        <w:pStyle w:val="ListParagraph"/>
        <w:numPr>
          <w:ilvl w:val="0"/>
          <w:numId w:val="1"/>
        </w:numPr>
      </w:pPr>
      <w:r>
        <w:t xml:space="preserve">Income effect. If we assume that store 2 is sufficiently high quality, then expenditure share at store 2 is decreasing with income, but the response is relatively flatter with high income. </w:t>
      </w:r>
    </w:p>
    <w:p w14:paraId="56CDB361" w14:textId="59008C48" w:rsidR="00070BA2" w:rsidRDefault="00EE55E8" w:rsidP="00070BA2">
      <w:pPr>
        <w:pStyle w:val="ListParagraph"/>
        <w:numPr>
          <w:ilvl w:val="0"/>
          <w:numId w:val="1"/>
        </w:numPr>
      </w:pPr>
      <w:r>
        <w:t xml:space="preserve">Price response. </w:t>
      </w:r>
      <w:r w:rsidR="004C6CFF">
        <w:t xml:space="preserve">Share of store 2 is less responsive to </w:t>
      </w:r>
      <w:r w:rsidR="00151564">
        <w:t xml:space="preserve">price changes when store 2 has higher quality or income is high. </w:t>
      </w:r>
    </w:p>
    <w:p w14:paraId="149D8B87" w14:textId="77777777" w:rsidR="000E1213" w:rsidRDefault="000E1213" w:rsidP="000E1213"/>
    <w:p w14:paraId="0E0969BE" w14:textId="66965560" w:rsidR="000E1213" w:rsidRDefault="000E1213" w:rsidP="00146C9E">
      <w:pPr>
        <w:pStyle w:val="Heading2"/>
      </w:pPr>
      <w:r>
        <w:t>Model with liquidity constraints</w:t>
      </w:r>
    </w:p>
    <w:p w14:paraId="298CF2B2" w14:textId="08D3FB03" w:rsidR="00D91736" w:rsidRDefault="000E1213" w:rsidP="000E1213">
      <w:r>
        <w:t xml:space="preserve">Consumers </w:t>
      </w:r>
      <w:r w:rsidR="00FC0247">
        <w:t>incur borrowing fees when they consume out of the second-per</w:t>
      </w:r>
      <w:r w:rsidR="004D6BAA">
        <w:t xml:space="preserve">iod income in the first period. </w:t>
      </w:r>
      <w:r w:rsidR="006A6372">
        <w:t xml:space="preserve">Meanwhile, store 2 sets the minimum quantity that one can purchase, </w:t>
      </w:r>
      <w:r w:rsidR="00E27521" w:rsidRPr="00E27521">
        <w:rPr>
          <w:position w:val="-12"/>
        </w:rPr>
        <w:object w:dxaOrig="580" w:dyaOrig="400" w14:anchorId="47514694">
          <v:shape id="_x0000_i1035" type="#_x0000_t75" style="width:29pt;height:20pt" o:ole="">
            <v:imagedata r:id="rId12" o:title=""/>
          </v:shape>
          <o:OLEObject Type="Embed" ProgID="Equation.DSMT4" ShapeID="_x0000_i1035" DrawAspect="Content" ObjectID="_1344424192" r:id="rId13"/>
        </w:object>
      </w:r>
      <w:r w:rsidR="006A6372">
        <w:t xml:space="preserve">. </w:t>
      </w:r>
      <w:r w:rsidR="00D91736">
        <w:t>We have three possible outcomes:</w:t>
      </w:r>
    </w:p>
    <w:p w14:paraId="1212DDC8" w14:textId="52C58F30" w:rsidR="00D91736" w:rsidRDefault="00675C30" w:rsidP="00675C30">
      <w:pPr>
        <w:pStyle w:val="ListParagraph"/>
        <w:numPr>
          <w:ilvl w:val="0"/>
          <w:numId w:val="2"/>
        </w:numPr>
      </w:pPr>
      <w:r>
        <w:t>The</w:t>
      </w:r>
      <w:r w:rsidR="00D91736">
        <w:t xml:space="preserve"> liquidity constraint is not binding</w:t>
      </w:r>
      <w:r>
        <w:t xml:space="preserve">, </w:t>
      </w:r>
      <w:r w:rsidR="00D91736">
        <w:t xml:space="preserve">consumers can allocate their income within two periods as freely as in the baseline model, and their </w:t>
      </w:r>
      <w:r w:rsidR="006B7602">
        <w:t xml:space="preserve">quantity level is above the </w:t>
      </w:r>
      <w:r>
        <w:t xml:space="preserve">minimum quantity limit. </w:t>
      </w:r>
    </w:p>
    <w:p w14:paraId="32959262" w14:textId="484D7585" w:rsidR="00516C10" w:rsidRDefault="00F907BB" w:rsidP="00F907BB">
      <w:pPr>
        <w:pStyle w:val="ListParagraph"/>
        <w:numPr>
          <w:ilvl w:val="0"/>
          <w:numId w:val="2"/>
        </w:numPr>
      </w:pPr>
      <w:r>
        <w:t xml:space="preserve">Store 2 is still attractive and consumers want to purchase from it despite the borrowing fees, then consumers will purchase the minimum requirement with the first-period income and borrow some from the second period. </w:t>
      </w:r>
    </w:p>
    <w:p w14:paraId="2A4A986C" w14:textId="77777777" w:rsidR="00E27521" w:rsidRDefault="00B60351" w:rsidP="00F907BB">
      <w:pPr>
        <w:pStyle w:val="ListParagraph"/>
        <w:numPr>
          <w:ilvl w:val="0"/>
          <w:numId w:val="2"/>
        </w:numPr>
      </w:pPr>
      <w:r>
        <w:t>If the minimum quantity limit</w:t>
      </w:r>
      <w:r w:rsidR="008C5638">
        <w:t xml:space="preserve"> is completely infeasible, i.e., </w:t>
      </w:r>
      <w:r w:rsidR="00E27521" w:rsidRPr="00E27521">
        <w:rPr>
          <w:position w:val="-12"/>
        </w:rPr>
        <w:object w:dxaOrig="2620" w:dyaOrig="400" w14:anchorId="78203F46">
          <v:shape id="_x0000_i1038" type="#_x0000_t75" style="width:131pt;height:20pt" o:ole="">
            <v:imagedata r:id="rId14" o:title=""/>
          </v:shape>
          <o:OLEObject Type="Embed" ProgID="Equation.DSMT4" ShapeID="_x0000_i1038" DrawAspect="Content" ObjectID="_1344424193" r:id="rId15"/>
        </w:object>
      </w:r>
      <w:r w:rsidR="008C5638">
        <w:t>, then consumers have no choice but only buy from store 1.</w:t>
      </w:r>
    </w:p>
    <w:p w14:paraId="614F9250" w14:textId="77777777" w:rsidR="00E27521" w:rsidRDefault="00E27521" w:rsidP="00E27521"/>
    <w:p w14:paraId="66DD0674" w14:textId="6343E8FE" w:rsidR="00F907BB" w:rsidRDefault="00E27521" w:rsidP="00E27521">
      <w:r>
        <w:t>Implications</w:t>
      </w:r>
    </w:p>
    <w:p w14:paraId="3F4E4E83" w14:textId="78FFC3F7" w:rsidR="00E27521" w:rsidRDefault="00E27521" w:rsidP="001F10A7">
      <w:pPr>
        <w:pStyle w:val="ListParagraph"/>
        <w:numPr>
          <w:ilvl w:val="0"/>
          <w:numId w:val="3"/>
        </w:numPr>
      </w:pPr>
      <w:r>
        <w:t xml:space="preserve">If liquidity constraints are not binding, </w:t>
      </w:r>
      <w:r w:rsidR="009301AB">
        <w:t xml:space="preserve">then </w:t>
      </w:r>
      <w:r w:rsidR="004D4C09">
        <w:t xml:space="preserve">comparative statistics are similar to that in the baseline model. </w:t>
      </w:r>
      <w:r w:rsidR="000943D4">
        <w:t xml:space="preserve">The response to borrowing rate, b, is negative, but is smaller with large income. </w:t>
      </w:r>
    </w:p>
    <w:p w14:paraId="0E17E87B" w14:textId="559818F1" w:rsidR="00F90582" w:rsidRDefault="001F10A7" w:rsidP="00F90582">
      <w:pPr>
        <w:pStyle w:val="ListParagraph"/>
        <w:numPr>
          <w:ilvl w:val="0"/>
          <w:numId w:val="3"/>
        </w:numPr>
      </w:pPr>
      <w:r>
        <w:lastRenderedPageBreak/>
        <w:t xml:space="preserve">Because of the possible outcomes (2) and (3), there are large regions where </w:t>
      </w:r>
      <w:r w:rsidR="003318B5">
        <w:t>expenditure shares are fixed, i.e., consumers do not response to changes in income, borrowing rate, price, or store quality.</w:t>
      </w:r>
    </w:p>
    <w:p w14:paraId="33A9D7DD" w14:textId="77777777" w:rsidR="00146C9E" w:rsidRDefault="00146C9E" w:rsidP="00F90582">
      <w:pPr>
        <w:ind w:left="360"/>
      </w:pPr>
    </w:p>
    <w:p w14:paraId="4701B9CE" w14:textId="29B650EC" w:rsidR="00F90582" w:rsidRDefault="00F90582" w:rsidP="00146C9E">
      <w:pPr>
        <w:pStyle w:val="Heading2"/>
      </w:pPr>
      <w:r>
        <w:t>Extension</w:t>
      </w:r>
    </w:p>
    <w:p w14:paraId="1CB6BE7C" w14:textId="4CD796DC" w:rsidR="00F90582" w:rsidRDefault="00F90582" w:rsidP="00F90582">
      <w:pPr>
        <w:ind w:left="360"/>
      </w:pPr>
      <w:r>
        <w:t xml:space="preserve">We extend the basic model to the case that store quality is a function of product assortment and travel cost. </w:t>
      </w:r>
      <w:r w:rsidR="001F35D2">
        <w:t xml:space="preserve">A store is perceived to have a high quality with better assortment (e.g., more brands to choose from). </w:t>
      </w:r>
      <w:r w:rsidR="0026395B">
        <w:t xml:space="preserve">Assume that the better-assorted store is farther than the other store, but also can save consumers shopping time to offer one-stop shopping. </w:t>
      </w:r>
    </w:p>
    <w:p w14:paraId="245C1B31" w14:textId="1D0ADE6A" w:rsidR="00146C9E" w:rsidRDefault="00146C9E" w:rsidP="00146C9E">
      <w:pPr>
        <w:pStyle w:val="MTDisplayEquation"/>
      </w:pPr>
      <w:r>
        <w:tab/>
      </w:r>
      <w:r w:rsidRPr="00146C9E">
        <w:rPr>
          <w:position w:val="-22"/>
        </w:rPr>
        <w:object w:dxaOrig="2160" w:dyaOrig="640" w14:anchorId="45034DF7">
          <v:shape id="_x0000_i1052" type="#_x0000_t75" style="width:108pt;height:32pt" o:ole="">
            <v:imagedata r:id="rId16" o:title=""/>
          </v:shape>
          <o:OLEObject Type="Embed" ProgID="Equation.DSMT4" ShapeID="_x0000_i1052" DrawAspect="Content" ObjectID="_1344424194" r:id="rId17"/>
        </w:object>
      </w:r>
    </w:p>
    <w:p w14:paraId="0E4B8B7A" w14:textId="544D46F1" w:rsidR="0026395B" w:rsidRDefault="00631733" w:rsidP="00F90582">
      <w:pPr>
        <w:ind w:left="360"/>
      </w:pPr>
      <w:r>
        <w:t xml:space="preserve">Now consider the value towards assortment. </w:t>
      </w:r>
      <w:r w:rsidR="004C0DA3" w:rsidRPr="004C0DA3">
        <w:rPr>
          <w:position w:val="-30"/>
        </w:rPr>
        <w:object w:dxaOrig="1800" w:dyaOrig="720" w14:anchorId="5D3D0A5C">
          <v:shape id="_x0000_i1060" type="#_x0000_t75" style="width:90pt;height:36pt" o:ole="">
            <v:imagedata r:id="rId18" o:title=""/>
          </v:shape>
          <o:OLEObject Type="Embed" ProgID="Equation.DSMT4" ShapeID="_x0000_i1060" DrawAspect="Content" ObjectID="_1344424195" r:id="rId19"/>
        </w:object>
      </w:r>
      <w:r w:rsidR="004C0DA3">
        <w:t xml:space="preserve">. </w:t>
      </w:r>
    </w:p>
    <w:p w14:paraId="1FEFF9C2" w14:textId="0A0D8D68" w:rsidR="004C0DA3" w:rsidRDefault="004C0DA3" w:rsidP="00F90582">
      <w:pPr>
        <w:ind w:left="360"/>
      </w:pPr>
      <w:r>
        <w:t>If the distance outweighs the effic</w:t>
      </w:r>
      <w:r w:rsidR="001F65E7">
        <w:t xml:space="preserve">iency, consumers value the assortment negatively. </w:t>
      </w:r>
      <w:r w:rsidR="003D5677">
        <w:t xml:space="preserve">Conversely, consumers favor going to the store with better assortment if efficiency beats distance. </w:t>
      </w:r>
      <w:r w:rsidR="00852AF4">
        <w:t xml:space="preserve">However, the positive favor declines with lower travel cost. </w:t>
      </w:r>
      <w:bookmarkStart w:id="0" w:name="_GoBack"/>
      <w:bookmarkEnd w:id="0"/>
    </w:p>
    <w:sectPr w:rsidR="004C0DA3" w:rsidSect="00E326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5D1"/>
    <w:multiLevelType w:val="hybridMultilevel"/>
    <w:tmpl w:val="0D40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338BB"/>
    <w:multiLevelType w:val="hybridMultilevel"/>
    <w:tmpl w:val="322ADA4E"/>
    <w:lvl w:ilvl="0" w:tplc="8CD2F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35EA2"/>
    <w:multiLevelType w:val="hybridMultilevel"/>
    <w:tmpl w:val="B518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1B"/>
    <w:rsid w:val="00015CE8"/>
    <w:rsid w:val="0001677C"/>
    <w:rsid w:val="00070BA2"/>
    <w:rsid w:val="000943D4"/>
    <w:rsid w:val="000E1213"/>
    <w:rsid w:val="00146C9E"/>
    <w:rsid w:val="00151564"/>
    <w:rsid w:val="001F10A7"/>
    <w:rsid w:val="001F35D2"/>
    <w:rsid w:val="001F65E7"/>
    <w:rsid w:val="0026395B"/>
    <w:rsid w:val="003318B5"/>
    <w:rsid w:val="003D5677"/>
    <w:rsid w:val="004751EF"/>
    <w:rsid w:val="004B73F3"/>
    <w:rsid w:val="004C0DA3"/>
    <w:rsid w:val="004C6CFF"/>
    <w:rsid w:val="004D4C09"/>
    <w:rsid w:val="004D6BAA"/>
    <w:rsid w:val="00516C10"/>
    <w:rsid w:val="005E3E7D"/>
    <w:rsid w:val="00631733"/>
    <w:rsid w:val="00675C30"/>
    <w:rsid w:val="006A6372"/>
    <w:rsid w:val="006B7602"/>
    <w:rsid w:val="00852AF4"/>
    <w:rsid w:val="008C5638"/>
    <w:rsid w:val="008D5682"/>
    <w:rsid w:val="009301AB"/>
    <w:rsid w:val="00B60351"/>
    <w:rsid w:val="00C6551B"/>
    <w:rsid w:val="00D33693"/>
    <w:rsid w:val="00D91736"/>
    <w:rsid w:val="00DB6B84"/>
    <w:rsid w:val="00E27521"/>
    <w:rsid w:val="00E326B7"/>
    <w:rsid w:val="00EE55E8"/>
    <w:rsid w:val="00F124A5"/>
    <w:rsid w:val="00F40618"/>
    <w:rsid w:val="00F90582"/>
    <w:rsid w:val="00F907BB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E6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E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0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0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BA2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146C9E"/>
    <w:pPr>
      <w:tabs>
        <w:tab w:val="center" w:pos="4500"/>
        <w:tab w:val="right" w:pos="8640"/>
      </w:tabs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E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0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70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BA2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146C9E"/>
    <w:pPr>
      <w:tabs>
        <w:tab w:val="center" w:pos="4500"/>
        <w:tab w:val="right" w:pos="8640"/>
      </w:tabs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Chen</dc:creator>
  <cp:keywords/>
  <dc:description/>
  <cp:lastModifiedBy>Chaoqun Chen</cp:lastModifiedBy>
  <cp:revision>34</cp:revision>
  <dcterms:created xsi:type="dcterms:W3CDTF">2014-08-26T18:42:00Z</dcterms:created>
  <dcterms:modified xsi:type="dcterms:W3CDTF">2014-08-26T19:22:00Z</dcterms:modified>
</cp:coreProperties>
</file>