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9" w:lineRule="auto"/>
        <w:jc w:val="center"/>
      </w:pPr>
      <w:r>
        <w:rPr>
          <w:b/>
          <w:color w:val="666666"/>
          <w:sz w:val="18"/>
        </w:rPr>
        <w:t>INTERNAL DEMO FILE  •  FICTIONAL MATTER  •  ATTORNEY WORKING NOTES</w:t>
      </w:r>
    </w:p>
    <w:p>
      <w:pPr>
        <w:spacing w:before="0" w:after="0" w:line="269" w:lineRule="auto"/>
      </w:pPr>
      <w:r>
        <w:rPr>
          <w:b/>
          <w:color w:val="22385C"/>
          <w:sz w:val="32"/>
        </w:rPr>
        <w:t>Property + Filing Notes</w:t>
      </w:r>
    </w:p>
    <w:p>
      <w:pPr>
        <w:spacing w:before="0" w:after="200" w:line="269" w:lineRule="auto"/>
      </w:pPr>
      <w:r>
        <w:rPr>
          <w:i/>
          <w:color w:val="5A5A5A"/>
          <w:sz w:val="21"/>
        </w:rPr>
        <w:t>Matter: In re Marriage of Emily Anne Carter / Matthew James Carter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  <w:shd w:fill="F4F6F8"/>
          </w:tcPr>
          <w:p>
            <w:r>
              <w:rPr>
                <w:b/>
                <w:color w:val="5A6D7C"/>
                <w:sz w:val="18"/>
              </w:rPr>
              <w:t>Prepared by</w:t>
            </w:r>
          </w:p>
        </w:tc>
        <w:tc>
          <w:tcPr>
            <w:tcW w:type="dxa" w:w="2880"/>
            <w:vAlign w:val="center"/>
            <w:shd w:fill="F4F6F8"/>
          </w:tcPr>
          <w:p>
            <w:r>
              <w:rPr>
                <w:b/>
                <w:color w:val="5A6D7C"/>
                <w:sz w:val="18"/>
              </w:rPr>
              <w:t>Date</w:t>
            </w:r>
          </w:p>
        </w:tc>
        <w:tc>
          <w:tcPr>
            <w:tcW w:type="dxa" w:w="3168"/>
            <w:vAlign w:val="center"/>
            <w:shd w:fill="F4F6F8"/>
          </w:tcPr>
          <w:p>
            <w:r>
              <w:rPr>
                <w:b/>
                <w:color w:val="5A6D7C"/>
                <w:sz w:val="18"/>
              </w:rPr>
              <w:t>File status</w:t>
            </w:r>
          </w:p>
        </w:tc>
      </w:tr>
      <w:tr>
        <w:tc>
          <w:tcPr>
            <w:tcW w:type="dxa" w:w="3168"/>
            <w:vAlign w:val="center"/>
            <w:shd w:fill="F4F6F8"/>
          </w:tcPr>
          <w:p>
            <w:r>
              <w:rPr>
                <w:color w:val="192530"/>
                <w:sz w:val="21"/>
              </w:rPr>
              <w:t>Nora - intake / filing prep</w:t>
            </w:r>
          </w:p>
        </w:tc>
        <w:tc>
          <w:tcPr>
            <w:tcW w:type="dxa" w:w="2880"/>
            <w:vAlign w:val="center"/>
            <w:shd w:fill="F4F6F8"/>
          </w:tcPr>
          <w:p>
            <w:r>
              <w:rPr>
                <w:color w:val="192530"/>
                <w:sz w:val="21"/>
              </w:rPr>
              <w:t>01/14/2026</w:t>
            </w:r>
          </w:p>
        </w:tc>
        <w:tc>
          <w:tcPr>
            <w:tcW w:type="dxa" w:w="3168"/>
            <w:vAlign w:val="center"/>
            <w:shd w:fill="F4F6F8"/>
          </w:tcPr>
          <w:p>
            <w:r>
              <w:rPr>
                <w:color w:val="192530"/>
                <w:sz w:val="21"/>
              </w:rPr>
              <w:t>Pre-filing working notes</w:t>
            </w:r>
          </w:p>
        </w:tc>
      </w:tr>
    </w:tbl>
    <w:p/>
    <w:p>
      <w:pPr>
        <w:spacing w:before="120" w:after="40"/>
      </w:pPr>
      <w:r>
        <w:rPr>
          <w:b/>
          <w:color w:val="2F4F6F"/>
          <w:sz w:val="20"/>
        </w:rPr>
        <w:t>FILING / VENUE / SERVICE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sz w:val="22"/>
        </w:rPr>
        <w:t xml:space="preserve">Travis Co. </w:t>
      </w:r>
      <w:r>
        <w:rPr>
          <w:b/>
          <w:sz w:val="22"/>
        </w:rPr>
        <w:t>district ct.</w:t>
      </w:r>
      <w:r>
        <w:rPr>
          <w:sz w:val="22"/>
        </w:rPr>
        <w:t xml:space="preserve">  </w:t>
      </w:r>
      <w:r>
        <w:rPr>
          <w:strike/>
          <w:color w:val="787878"/>
          <w:sz w:val="22"/>
        </w:rPr>
        <w:t>county ct at law</w:t>
      </w:r>
      <w:r>
        <w:rPr>
          <w:sz w:val="22"/>
        </w:rPr>
        <w:t xml:space="preserve">  leave court no. blank for now.  cause no. blank until filing.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b/>
          <w:sz w:val="22"/>
        </w:rPr>
        <w:t>Waiver probably yes</w:t>
      </w:r>
      <w:r>
        <w:rPr>
          <w:sz w:val="22"/>
        </w:rPr>
        <w:t xml:space="preserve"> based on respondent email, but if not use </w:t>
      </w:r>
      <w:r>
        <w:rPr>
          <w:b/>
          <w:sz w:val="22"/>
        </w:rPr>
        <w:t>Thornton Rd apt</w:t>
      </w:r>
      <w:r>
        <w:rPr>
          <w:sz w:val="22"/>
        </w:rPr>
        <w:t xml:space="preserve"> or employer at </w:t>
      </w:r>
      <w:r>
        <w:rPr>
          <w:b/>
          <w:sz w:val="22"/>
        </w:rPr>
        <w:t>Lone Star Auto Glass</w:t>
      </w:r>
      <w:r>
        <w:rPr>
          <w:sz w:val="22"/>
        </w:rPr>
        <w:t>.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i/>
          <w:color w:val="5A6D7C"/>
          <w:sz w:val="22"/>
        </w:rPr>
        <w:t xml:space="preserve">backup svc: </w:t>
      </w:r>
      <w:r>
        <w:rPr>
          <w:sz w:val="22"/>
        </w:rPr>
        <w:t>2304 Thornton Road, Apt 3B, Austin, TX 78704</w:t>
      </w:r>
      <w:r>
        <w:rPr>
          <w:color w:val="464646"/>
          <w:sz w:val="22"/>
        </w:rPr>
        <w:t xml:space="preserve">  //  work: 611 Industrial Blvd, Austin, TX 78745</w:t>
      </w:r>
    </w:p>
    <w:p>
      <w:pPr>
        <w:spacing w:before="120" w:after="40"/>
      </w:pPr>
      <w:r>
        <w:rPr>
          <w:b/>
          <w:color w:val="2F4F6F"/>
          <w:sz w:val="20"/>
        </w:rPr>
        <w:t>GROUNDS / DATES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sz w:val="22"/>
        </w:rPr>
        <w:t xml:space="preserve">Grounds: </w:t>
      </w:r>
      <w:r>
        <w:rPr>
          <w:b/>
          <w:sz w:val="22"/>
        </w:rPr>
        <w:t>insupportability only</w:t>
      </w:r>
      <w:r>
        <w:rPr>
          <w:color w:val="464646"/>
          <w:sz w:val="22"/>
        </w:rPr>
        <w:t>.  No reason to plead anything else.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i/>
          <w:color w:val="A02222"/>
          <w:sz w:val="22"/>
          <w:highlight w:val="yellow"/>
        </w:rPr>
        <w:t>Use marriage cert for exact DOM</w:t>
      </w:r>
      <w:r>
        <w:rPr>
          <w:color w:val="6E6E6E"/>
          <w:sz w:val="22"/>
        </w:rPr>
        <w:t xml:space="preserve">  - client email had different date from memory.</w:t>
      </w:r>
    </w:p>
    <w:p>
      <w:pPr>
        <w:spacing w:before="120" w:after="40"/>
      </w:pPr>
      <w:r>
        <w:rPr>
          <w:b/>
          <w:color w:val="2F4F6F"/>
          <w:sz w:val="20"/>
        </w:rPr>
        <w:t>ESTATE SNAPSHOT</w:t>
      </w:r>
    </w:p>
    <w:p>
      <w:pPr>
        <w:spacing w:before="0" w:after="4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sz w:val="22"/>
        </w:rPr>
        <w:t xml:space="preserve">Marital estate appears limited: </w:t>
      </w:r>
      <w:r>
        <w:rPr>
          <w:b/>
          <w:sz w:val="22"/>
        </w:rPr>
        <w:t>joint checking</w:t>
      </w:r>
      <w:r>
        <w:rPr>
          <w:sz w:val="22"/>
        </w:rPr>
        <w:t xml:space="preserve"> at Capitol CU, </w:t>
      </w:r>
      <w:r>
        <w:rPr>
          <w:b/>
          <w:sz w:val="22"/>
        </w:rPr>
        <w:t>BlueStar Visa</w:t>
      </w:r>
      <w:r>
        <w:rPr>
          <w:sz w:val="22"/>
        </w:rPr>
        <w:t xml:space="preserve"> balance, </w:t>
      </w:r>
      <w:r>
        <w:rPr>
          <w:b/>
          <w:sz w:val="22"/>
        </w:rPr>
        <w:t>Fidelity 401(k)</w:t>
      </w:r>
      <w:r>
        <w:rPr>
          <w:sz w:val="22"/>
        </w:rPr>
        <w:t>.</w:t>
      </w:r>
    </w:p>
    <w:p>
      <w:pPr>
        <w:spacing w:before="0" w:after="4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sz w:val="22"/>
        </w:rPr>
        <w:t xml:space="preserve">Separate property for Emily: </w:t>
      </w:r>
      <w:r>
        <w:rPr>
          <w:b/>
          <w:sz w:val="22"/>
        </w:rPr>
        <w:t>2017 Corolla</w:t>
      </w:r>
      <w:r>
        <w:rPr>
          <w:sz w:val="22"/>
        </w:rPr>
        <w:t xml:space="preserve"> titled pre-marriage, </w:t>
      </w:r>
      <w:r>
        <w:rPr>
          <w:b/>
          <w:sz w:val="22"/>
        </w:rPr>
        <w:t>Vanguard acct</w:t>
      </w:r>
      <w:r>
        <w:rPr>
          <w:sz w:val="22"/>
        </w:rPr>
        <w:t xml:space="preserve"> opened 2017 under </w:t>
      </w:r>
      <w:r>
        <w:rPr>
          <w:i/>
          <w:sz w:val="22"/>
        </w:rPr>
        <w:t>Reynolds</w:t>
      </w:r>
      <w:r>
        <w:rPr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FAFAFA"/>
          </w:tcPr>
          <w:p>
            <w:r>
              <w:rPr>
                <w:b/>
                <w:color w:val="2F4F6F"/>
                <w:sz w:val="21"/>
              </w:rPr>
              <w:t>Community / likely marital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sz w:val="21"/>
              </w:rPr>
              <w:t>Checking - Capitol CU acct ending 4421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sz w:val="21"/>
              </w:rPr>
              <w:t>BlueStar Visa acct ending 1188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sz w:val="21"/>
              </w:rPr>
              <w:t>Fidelity 401(k) acct ending 9034</w:t>
            </w:r>
          </w:p>
        </w:tc>
        <w:tc>
          <w:tcPr>
            <w:tcW w:type="dxa" w:w="4536"/>
            <w:vAlign w:val="center"/>
            <w:shd w:fill="FAFAFA"/>
          </w:tcPr>
          <w:p>
            <w:r>
              <w:rPr>
                <w:b/>
                <w:color w:val="2F4F6F"/>
                <w:sz w:val="21"/>
              </w:rPr>
              <w:t>Separate / carve-out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sz w:val="21"/>
              </w:rPr>
              <w:t>2017 Toyota Corolla LE - title issued 08/21/2018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sz w:val="21"/>
              </w:rPr>
              <w:t>Vanguard brokerage acct ending 7712 - opened 03/15/2017</w:t>
            </w:r>
          </w:p>
        </w:tc>
      </w:tr>
    </w:tbl>
    <w:p/>
    <w:p>
      <w:pPr>
        <w:spacing w:before="120" w:after="40"/>
      </w:pPr>
      <w:r>
        <w:rPr>
          <w:b/>
          <w:color w:val="2F4F6F"/>
          <w:sz w:val="20"/>
        </w:rPr>
        <w:t>NEGATIVE BRANCHES TO COVER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b/>
          <w:sz w:val="22"/>
        </w:rPr>
        <w:t>None identified for gift / inheritance vehicle.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b/>
          <w:sz w:val="22"/>
        </w:rPr>
        <w:t>None identified for inherited / gift personal property requiring separate confirmation.</w:t>
      </w:r>
    </w:p>
    <w:p>
      <w:pPr>
        <w:spacing w:before="0" w:after="20" w:line="264" w:lineRule="auto"/>
        <w:ind w:left="259" w:hanging="259"/>
      </w:pPr>
      <w:r>
        <w:rPr>
          <w:b/>
          <w:sz w:val="22"/>
        </w:rPr>
        <w:t xml:space="preserve">• </w:t>
      </w:r>
      <w:r>
        <w:rPr>
          <w:b/>
          <w:sz w:val="22"/>
        </w:rPr>
        <w:t>No PI recovery noted.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288"/>
            <w:vAlign w:val="center"/>
            <w:shd w:fill="FFF7E7"/>
          </w:tcPr>
          <w:p>
            <w:pPr>
              <w:spacing w:after="40"/>
            </w:pPr>
            <w:r>
              <w:rPr>
                <w:b/>
                <w:color w:val="7E5820"/>
                <w:sz w:val="21"/>
              </w:rPr>
              <w:t>Scratch / follow-up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i/>
                <w:sz w:val="20"/>
              </w:rPr>
              <w:t>double-check exact marriage date against certificate before final petition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i/>
                <w:sz w:val="20"/>
              </w:rPr>
              <w:t>do not fill court no. or cause no. until filing workflow</w:t>
            </w:r>
          </w:p>
          <w:p>
            <w:pPr>
              <w:spacing w:after="20"/>
              <w:ind w:left="259" w:hanging="259"/>
            </w:pPr>
            <w:r>
              <w:rPr>
                <w:b/>
              </w:rPr>
              <w:t xml:space="preserve">• </w:t>
            </w:r>
            <w:r>
              <w:rPr>
                <w:i/>
                <w:sz w:val="20"/>
              </w:rPr>
              <w:t>waiver path first; if that dies, service by home or employer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