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32"/>
          <w:szCs w:val="32"/>
        </w:rPr>
        <w:t xml:space="preserve">CONFIGURAÇÃO DE ACESSO — MICROSOFT GRAPH API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Acesso de leitura ao SharePoint (site DataHub) para automação de relatórios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26"/>
          <w:szCs w:val="26"/>
        </w:rPr>
        <w:t xml:space="preserve">Objetivo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Precisamos de um acesso automatizado (sem usuário logado) para que um script leia arquivos de uma pasta específica do SharePoint (site DataHub) e gere relatórios em HTML de forma agendada, sem intervenção manual.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O local exato dos arquivos:</w:t>
      </w:r>
    </w:p>
    <w:p>
      <w:pPr>
        <w:shd w:fill="F0F0F0" w:val="clear"/>
        <w:spacing w:after="1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Site:  https://superfrioarmazens.sharepoint.com/sites/DataHub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Pasta: Documentos Compartilhados/00.Dados/00.Bronze/00.Dados_Sistemicos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O caminho da pasta está aqui apenas como contexto — ele não entra em nenhum passo da configuração. A permissão do Microsoft Graph é concedida no nível do site, não da pasta (ver "Escopo do acesso", no final).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Essa configuração é feita UMA ÚNICA VEZ. Depois de concluída, o processo roda sozinho todos os dias — não é necessário repetir nenhum passo abaixo, nem trocar credenciais periodicamente (exceto a renovação anual mencionada na última seção).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26"/>
          <w:szCs w:val="26"/>
        </w:rPr>
        <w:t xml:space="preserve">Antes de começar — conferir se o app já existe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Em 16/07/2026 a TI registrou no Entra ID o app nuvem-ia, com a permissão Sites.Selected e o consentimento de administrador já concedido, apontado para o site https://superfrioarmazens.sharepoint.com/sites/nuvem-ia.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Se esse app ainda existe, reaproveitá-lo em vez de criar um novo: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Passo 1 (criar o app) — já feito. Só anotar o Client ID e o Tenant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Passo 3 (Sites.Selected + admin consent) — já feito. Só conferir na tela de API permissions.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Passos 2, 4 e 5 — ainda precisam ser feitos.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O passo 5 é obrigatório mesmo com o app já existente: a concessão do Sites.Selected é por site. Hoje o app alcança o site nuvem-ia e não alcança o DataHub.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Se o app não existir mais, seguir o passo a passo completo a partir do passo 1.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26"/>
          <w:szCs w:val="26"/>
        </w:rPr>
        <w:t xml:space="preserve">O que vai ser criado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Um registro de aplicação (App Registration) no Microsoft Entra ID (Azure 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Uma credencial de acesso (Client Secret) para essa aplicação.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Uma permissão de leitura (Sites.Selected) limitada apenas ao site DataHub — não dá acesso a mais nada no SharePoint.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Uma liberação de saída de rede (HTTPS) na VM que executa o script, para os endpoints da Microsoft (passo 7).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26"/>
          <w:szCs w:val="26"/>
        </w:rPr>
        <w:t xml:space="preserve">Passo a passo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2"/>
          <w:szCs w:val="22"/>
        </w:rPr>
        <w:t xml:space="preserve">1. Criar o App Registration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No Azure Portal, acesse: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Microsoft Entra ID → App registrations → New registration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Nome: "datahub-kpi-automation" (ou outro nome interno de sua preferência)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Tipo de conta: "Single tenant" (apenas esta organização)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Redirect URI: deixar em branco (não é necessário)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Após criar, na tela de visão geral (Overview), anotar dois valores: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Application (client) 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Directory (tenant) ID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2"/>
          <w:szCs w:val="22"/>
        </w:rPr>
        <w:t xml:space="preserve">2. Gerar o Client Secret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Dentro da mesma aplicação: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Certificates &amp; secrets → New client secret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Definir validade de 12 meses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Copiar o valor ("Value") exibido na tela IMEDIATAMENTE após a criação — ele só aparece uma vez e não pode ser recuperado depois.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2"/>
          <w:szCs w:val="22"/>
        </w:rPr>
        <w:t xml:space="preserve">3. Adicionar a permissão de leitura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Na mesma aplicação:</w:t>
      </w:r>
    </w:p>
    <w:p>
      <w:pPr>
        <w:spacing w:after="140"/>
      </w:pPr>
      <w:r>
        <w:rPr>
          <w:b/>
          <w:bCs/>
          <w:color w:val="1A1A1A"/>
          <w:sz w:val="22"/>
          <w:szCs w:val="22"/>
        </w:rPr>
        <w:t xml:space="preserve">API permissions → Add a permission → Microsoft Graph → Application permissions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Buscar e marcar: "Sites.Selected"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Clicar em "Grant admin consent" para confirmar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Nesse ponto a aplicação tem permissão para existir, mas ainda não tem acesso a nenhum site específico — isso é feito no próximo passo.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2"/>
          <w:szCs w:val="22"/>
        </w:rPr>
        <w:t xml:space="preserve">4. Identificar o site DataHub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No navegador, acessar o Graph Explorer (developer.microsoft.com/graph/graph-explorer), autenticado com uma conta de administrador, e executar:</w:t>
      </w:r>
    </w:p>
    <w:p>
      <w:pPr>
        <w:shd w:fill="F0F0F0" w:val="clear"/>
        <w:spacing w:after="1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GET https://graph.microsoft.com/v1.0/sites/superfrioarmazens.sharepoint.com:/sites/DataHub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Anotar o valor do campo "id" retornado na resposta (é o Site ID).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2"/>
          <w:szCs w:val="22"/>
        </w:rPr>
        <w:t xml:space="preserve">5. Conceder o acesso ao site específico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Ainda no Graph Explorer, executar uma chamada POST:</w:t>
      </w:r>
    </w:p>
    <w:p>
      <w:pPr>
        <w:shd w:fill="F0F0F0" w:val="clear"/>
        <w:spacing w:after="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POST https://graph.microsoft.com/v1.0/sites/{site-id}/permissions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Corpo da requisição — substituir {application-client-id} pelo Client ID do passo 1, e ajustar o "displayName" para o nome real do app (se estiver reaproveitando o existente, é nuvem-ia):</w:t>
      </w:r>
    </w:p>
    <w:p>
      <w:pPr>
        <w:shd w:fill="F0F0F0" w:val="clear"/>
        <w:spacing w:after="1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{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"roles": ["read"],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"grantedToIdentities": [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{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  "application": {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    "id": "{application-client-id}",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    "displayName": "datahub-kpi-automation"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  }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  }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]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}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Essa concessão é por site: precisa ser executada com o Site ID do DataHub obtido no passo 4, mesmo que o app já tenha acesso a outros sites.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Para este projeto são duas concessões, no mesmo app: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Site DataHub — apenas ["read"]. É de onde as bases são lidas; o script não escreve nada nesse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Site nuvem-ia — ["read", "write"]. Site dedicado ao projeto, já existente. É onde o script grava o backup do banco e a cópia dos arquivos já processados.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Para a segunda concessão, repetir o passo 4 trocando DataHub por nuvem-ia (para obter o outro Site ID) e depois o passo 5 com "roles": ["read", "write"].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2"/>
          <w:szCs w:val="22"/>
        </w:rPr>
        <w:t xml:space="preserve">6. Testar o acesso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Confirmar que a autenticação funciona rodando o comando abaixo — de preferência já de dentro da VM que vai executar o script (ver passo 7):</w:t>
      </w:r>
    </w:p>
    <w:p>
      <w:pPr>
        <w:shd w:fill="F0F0F0" w:val="clear"/>
        <w:spacing w:after="140"/>
      </w:pPr>
      <w:r>
        <w:rPr>
          <w:rFonts w:ascii="Consolas" w:cs="Consolas" w:eastAsia="Consolas" w:hAnsi="Consolas"/>
          <w:color w:val="1A1A1A"/>
          <w:sz w:val="21"/>
          <w:szCs w:val="21"/>
        </w:rPr>
        <w:t xml:space="preserve">curl -X POST "https://login.microsoftonline.com/{tenant-id}/oauth2/v2.0/token" \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-d "client_id={client-id}" \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-d "client_secret={client-secret}" \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-d "scope=https://graph.microsoft.com/.default" \</w:t>
      </w:r>
      <w:r>
        <w:rPr>
          <w:rFonts w:ascii="Consolas" w:cs="Consolas" w:eastAsia="Consolas" w:hAnsi="Consolas"/>
          <w:color w:val="1A1A1A"/>
          <w:sz w:val="21"/>
          <w:szCs w:val="21"/>
        </w:rPr>
        <w:br/>
      </w:r>
      <w:r>
        <w:rPr>
          <w:rFonts w:ascii="Consolas" w:cs="Consolas" w:eastAsia="Consolas" w:hAnsi="Consolas"/>
          <w:color w:val="1A1A1A"/>
          <w:sz w:val="21"/>
          <w:szCs w:val="21"/>
        </w:rPr>
        <w:t xml:space="preserve">  -d "grant_type=client_credentials"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Se a resposta trouxer um campo "access_token", a configuração está correta e completa.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2"/>
          <w:szCs w:val="22"/>
        </w:rPr>
        <w:t xml:space="preserve">7. Liberar a saída de rede na VM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O script não roda numa máquina de usuário: roda numa VM da rede interna (172.31.49.141). Para ela alcançar o Microsoft Graph, é preciso liberar tráfego de saída HTTPS (porta 443) para: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login.microsoftonline.com — obtenção do token de acesso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graph.microsoft.com — chamadas da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*.sharepoint.com e *.svc.ms — o download do conteúdo dos arquivos é redirecionado (HTTP 302) para esses domínios. Sem eles, a listagem da pasta funciona e o download falha.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Se a saída dessa VM passa por proxy, informar host, porta e se exige autenticação.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Validação: executar o curl do passo 6 de dentro da VM. É o único lugar onde ele precisa funcionar — sucesso a partir de uma máquina da rede corporativa não garante o acesso da VM.</w:t>
      </w:r>
    </w:p>
    <w:p>
      <w:pPr>
        <w:pStyle w:val="Heading1"/>
        <w:spacing w:after="160" w:before="300"/>
      </w:pPr>
      <w:r>
        <w:rPr>
          <w:b/>
          <w:bCs/>
          <w:color w:val="1A1A1A"/>
          <w:sz w:val="26"/>
          <w:szCs w:val="26"/>
        </w:rPr>
        <w:t xml:space="preserve">Informações a serem entregues após a configuração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Ao concluir os passos acima, enviar de volta os itens abaixo. Eles são a única coisa necessária para o script funcionar — nenhuma outra ação será exigida da equipe de infraestrutura no dia a dia.</w:t>
      </w:r>
    </w:p>
    <w:tbl>
      <w:tblPr>
        <w:tblW w:type="pct" w:w="100%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single" w:color="D0D0D0" w:sz="2"/>
          <w:insideV w:val="single" w:color="D0D0D0" w:sz="2"/>
        </w:tblBorders>
      </w:tblPr>
      <w:tblGrid>
        <w:gridCol w:w="100"/>
        <w:gridCol w:w="100"/>
        <w:gridCol w:w="100"/>
      </w:tblGrid>
      <w:tr>
        <w:tc>
          <w:tcPr>
            <w:tcW w:type="pct" w:w="22%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Valor</w:t>
            </w:r>
          </w:p>
        </w:tc>
        <w:tc>
          <w:tcPr>
            <w:tcW w:type="pct" w:w="40%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O que é / onde encontrar</w:t>
            </w:r>
          </w:p>
        </w:tc>
        <w:tc>
          <w:tcPr>
            <w:tcW w:type="pct" w:w="38%"/>
            <w:shd w:fill="F0F0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A1A1A"/>
                <w:sz w:val="21"/>
                <w:szCs w:val="21"/>
              </w:rPr>
              <w:t xml:space="preserve">Cuidado necessário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Tenant ID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Directory (tenant) ID — tela de overview do App Registration (passo 1).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Não é sigiloso, mas deve ser enviado junto aos demais.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 ID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Application (client) ID — mesma tela do passo 1.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Não é sigiloso, funciona como um "nome de usuário" da aplicação.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Client Secret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Valor gerado no passo 2 — ESTE É O SEGREDO. Funciona como uma senha.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Sigiloso. Enviar por canal seguro (gerenciador de senhas ou similar), nunca por e-mail ou chat aberto. Só é exibido uma vez pelo Azure — se for perdido, é necessário gerar um novo.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Site ID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Retornado na consulta do passo 4 — o do site DataHub. Se a concessão no site nuvem-ia também for feita, enviar o Site ID dele.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Não é sigiloso.</w:t>
            </w:r>
          </w:p>
        </w:tc>
      </w:tr>
      <w:tr>
        <w:tc>
          <w:tcPr>
            <w:tcW w:type="pct" w:w="22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Confirmação da concessão</w:t>
            </w:r>
          </w:p>
        </w:tc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Resposta do POST do passo 5, ou o retorno de GET /sites/{site-id}/permissions.</w:t>
            </w:r>
          </w:p>
        </w:tc>
        <w:tc>
          <w:tcPr>
            <w:tcW w:type="pct" w:w="38%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/>
            </w:pPr>
            <w:r>
              <w:rPr>
                <w:color w:val="1A1A1A"/>
                <w:sz w:val="21"/>
                <w:szCs w:val="21"/>
              </w:rPr>
              <w:t xml:space="preserve">Não é sigiloso. Sem esse passo o token é emitido normalmente, mas toda leitura retorna 403 — é a falha mais comum nessa configuração.</w:t>
            </w:r>
          </w:p>
        </w:tc>
      </w:tr>
    </w:tbl>
    <w:p>
      <w:pPr>
        <w:spacing w:before="240"/>
      </w:pPr>
    </w:p>
    <w:p>
      <w:pPr>
        <w:pStyle w:val="Heading1"/>
        <w:spacing w:after="160" w:before="300"/>
      </w:pPr>
      <w:r>
        <w:rPr>
          <w:b/>
          <w:bCs/>
          <w:color w:val="1A1A1A"/>
          <w:sz w:val="26"/>
          <w:szCs w:val="26"/>
        </w:rPr>
        <w:t xml:space="preserve">Observações de segurança e manutenção</w:t>
      </w:r>
    </w:p>
    <w:p>
      <w:pPr>
        <w:pStyle w:val="Heading2"/>
        <w:spacing w:after="120" w:before="260"/>
      </w:pPr>
      <w:r>
        <w:rPr>
          <w:b/>
          <w:bCs/>
          <w:color w:val="1A1A1A"/>
          <w:sz w:val="22"/>
          <w:szCs w:val="22"/>
        </w:rPr>
        <w:t xml:space="preserve">Escopo do acesso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O Sites.Selected é a permissão mais restrita disponível para acesso sem usuário logado: a aplicação só alcança os sites explicitamente concedidos no passo 5, e nenhum outro.</w:t>
      </w:r>
    </w:p>
    <w:p>
      <w:pPr>
        <w:spacing w:after="140"/>
      </w:pPr>
      <w:r>
        <w:rPr>
          <w:color w:val="1A1A1A"/>
          <w:sz w:val="22"/>
          <w:szCs w:val="22"/>
        </w:rPr>
        <w:t xml:space="preserve">Não existe, porém, escopo por pasta nessa modalidade. A concessão de "read" no site DataHub dá leitura a todo o conteúdo desse site, e não apenas à pasta 00.Dados_Sistemicos. Se isso for restritivo demais para o que o DataHub hospeda, a alternativa é mover as bases para um site ou biblioteca dedicada e conceder o acesso lá.</w:t>
      </w:r>
    </w:p>
    <w:tbl>
      <w:tblPr>
        <w:tblW w:type="pct" w:w="100%"/>
        <w:tblBorders>
          <w:top w:val="single" w:color="1A1A1A" w:sz="4"/>
          <w:left w:val="single" w:color="1A1A1A" w:sz="4"/>
          <w:bottom w:val="single" w:color="1A1A1A" w:sz="4"/>
          <w:right w:val="single" w:color="1A1A1A" w:sz="4"/>
          <w:insideH w:val="none" w:color="1A1A1A" w:sz="0"/>
          <w:insideV w:val="none" w:color="1A1A1A" w:sz="0"/>
        </w:tblBorders>
      </w:tblPr>
      <w:tblGrid>
        <w:gridCol w:w="100"/>
      </w:tblGrid>
      <w:tr>
        <w:tc>
          <w:tcPr>
            <w:shd w:fill="F0F0F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A1A1A"/>
                <w:sz w:val="22"/>
                <w:szCs w:val="22"/>
              </w:rPr>
              <w:t xml:space="preserve">Resumo do que é único e do que se repete</w:t>
            </w:r>
          </w:p>
          <w:p>
            <w:pPr>
              <w:spacing w:after="40"/>
            </w:pPr>
            <w:r>
              <w:rPr>
                <w:color w:val="1A1A1A"/>
                <w:sz w:val="21"/>
                <w:szCs w:val="21"/>
              </w:rPr>
              <w:t xml:space="preserve">• Configuração (passos 1 a 7): feita uma única vez.</w:t>
            </w:r>
          </w:p>
          <w:p>
            <w:pPr>
              <w:spacing w:after="40"/>
            </w:pPr>
            <w:r>
              <w:rPr>
                <w:color w:val="1A1A1A"/>
                <w:sz w:val="21"/>
                <w:szCs w:val="21"/>
              </w:rPr>
              <w:t xml:space="preserve">• Uso diário do script: 100% automático, sem qualquer ação manual.</w:t>
            </w:r>
          </w:p>
          <w:p>
            <w:pPr>
              <w:spacing w:after="40"/>
            </w:pPr>
            <w:r>
              <w:rPr>
                <w:color w:val="1A1A1A"/>
                <w:sz w:val="21"/>
                <w:szCs w:val="21"/>
              </w:rPr>
              <w:t xml:space="preserve">• O Client Secret expira em 12 meses (prazo definido no passo 2) — quando isso ocorrer, a infraestrutura precisa gerar um novo secret e reenviá-lo. É a única manutenção periódica esperada.</w:t>
            </w:r>
          </w:p>
          <w:p>
            <w:pPr>
              <w:spacing w:after="40"/>
            </w:pPr>
            <w:r>
              <w:rPr>
                <w:color w:val="1A1A1A"/>
                <w:sz w:val="21"/>
                <w:szCs w:val="21"/>
              </w:rPr>
              <w:t xml:space="preserve">• Alternativa para reduzir essa manutenção: usar um certificado no lugar do Client Secret (não expira no mesmo prazo). Pode ser avaliado depois, não é necessário para a primeira versão.</w:t>
            </w:r>
          </w:p>
          <w:p>
            <w:pPr>
              <w:spacing w:after="40"/>
            </w:pPr>
            <w:r>
              <w:rPr>
                <w:color w:val="1A1A1A"/>
                <w:sz w:val="21"/>
                <w:szCs w:val="21"/>
              </w:rPr>
              <w:t xml:space="preserve">• A liberação de rede do passo 7 também é permanente — só precisa ser revista se a regra de firewall/proxy da VM mudar.</w:t>
            </w:r>
          </w:p>
        </w:tc>
      </w:tr>
    </w:tbl>
    <w:p>
      <w:pPr>
        <w:spacing w:before="200"/>
      </w:pPr>
    </w:p>
    <w:p>
      <w:pPr>
        <w:spacing w:after="140"/>
      </w:pPr>
      <w:r>
        <w:rPr>
          <w:i/>
          <w:iCs/>
          <w:color w:val="595959"/>
          <w:sz w:val="22"/>
          <w:szCs w:val="22"/>
        </w:rPr>
        <w:t xml:space="preserve">Qualquer dúvida durante a configuração, retornar antes de prosseguir — em especial nos passos 4 e 5, que dependem do Site ID correto para restringir o acesso apenas ao site DataHub.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2026-07-28T19:06:35.213Z</dcterms:created>
  <dcterms:modified xsi:type="dcterms:W3CDTF">2026-07-28T19:06:35.234Z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