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t8b66o7se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CONFIDENTIALITY UNDERTAKING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(the “Agreement”)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Effective Date:</w:t>
      </w:r>
      <w:r w:rsidDel="00000000" w:rsidR="00000000" w:rsidRPr="00000000">
        <w:rPr>
          <w:rtl w:val="0"/>
        </w:rPr>
        <w:t xml:space="preserve">  [April 27, 2025]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os1ho3z0t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SuperMarty B.V.</w:t>
      </w:r>
      <w:r w:rsidDel="00000000" w:rsidR="00000000" w:rsidRPr="00000000">
        <w:rPr>
          <w:rtl w:val="0"/>
        </w:rPr>
        <w:t xml:space="preserve"> – Melis Stokelaan 23, 2533 CM Den Haag, The Netherlands, KvK 80123456, represented by Mr Amir Nayeri.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Ultra Wide Turbo Company</w:t>
      </w:r>
      <w:r w:rsidDel="00000000" w:rsidR="00000000" w:rsidRPr="00000000">
        <w:rPr>
          <w:rtl w:val="0"/>
        </w:rPr>
        <w:t xml:space="preserve"> – Dedemsvaartweg 726, 2544 AX Den Haag, The Netherlands, KvK 74982303, represented by Mr Brian Manuputty.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Mahmoud Consultancy B.V.</w:t>
      </w:r>
      <w:r w:rsidDel="00000000" w:rsidR="00000000" w:rsidRPr="00000000">
        <w:rPr>
          <w:rtl w:val="0"/>
        </w:rPr>
        <w:t xml:space="preserve"> – Holterberg 145, 2905 TA Capelle a/d IJssel, The Netherlands, KvK 96651709, represented by Mr Mahmoud Sarkout.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is a “</w:t>
      </w:r>
      <w:r w:rsidDel="00000000" w:rsidR="00000000" w:rsidRPr="00000000">
        <w:rPr>
          <w:b w:val="1"/>
          <w:rtl w:val="0"/>
        </w:rPr>
        <w:t xml:space="preserve">Party</w:t>
      </w:r>
      <w:r w:rsidDel="00000000" w:rsidR="00000000" w:rsidRPr="00000000">
        <w:rPr>
          <w:rtl w:val="0"/>
        </w:rPr>
        <w:t xml:space="preserve">”; when a Party discloses Confidential Information it is the “</w:t>
      </w:r>
      <w:r w:rsidDel="00000000" w:rsidR="00000000" w:rsidRPr="00000000">
        <w:rPr>
          <w:b w:val="1"/>
          <w:rtl w:val="0"/>
        </w:rPr>
        <w:t xml:space="preserve">Discloser</w:t>
      </w:r>
      <w:r w:rsidDel="00000000" w:rsidR="00000000" w:rsidRPr="00000000">
        <w:rPr>
          <w:rtl w:val="0"/>
        </w:rPr>
        <w:t xml:space="preserve">” and when it receives Confidential Information it is the “</w:t>
      </w:r>
      <w:r w:rsidDel="00000000" w:rsidR="00000000" w:rsidRPr="00000000">
        <w:rPr>
          <w:b w:val="1"/>
          <w:rtl w:val="0"/>
        </w:rPr>
        <w:t xml:space="preserve">Recipient</w:t>
      </w:r>
      <w:r w:rsidDel="00000000" w:rsidR="00000000" w:rsidRPr="00000000">
        <w:rPr>
          <w:rtl w:val="0"/>
        </w:rPr>
        <w:t xml:space="preserve">”. Ultra Wide Turbo Company and Mahmoud Consultancy B.V. are together also referred to as the “</w:t>
      </w: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vmkj7a1g4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1 Project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Parties are exploring – and may subsequently perform – software-development services for SuperMarty’s grocery-shopping application for mobile and desktop platforms (the “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”).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gl3z3rgb8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2 Definitions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7055"/>
        <w:tblGridChange w:id="0">
          <w:tblGrid>
            <w:gridCol w:w="2165"/>
            <w:gridCol w:w="70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Confidential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(in any form) that is </w:t>
            </w:r>
            <w:r w:rsidDel="00000000" w:rsidR="00000000" w:rsidRPr="00000000">
              <w:rPr>
                <w:b w:val="1"/>
                <w:rtl w:val="0"/>
              </w:rPr>
              <w:t xml:space="preserve">(i)</w:t>
            </w:r>
            <w:r w:rsidDel="00000000" w:rsidR="00000000" w:rsidRPr="00000000">
              <w:rPr>
                <w:rtl w:val="0"/>
              </w:rPr>
              <w:t xml:space="preserve"> clearly marked “Confidential” at disclosure, or </w:t>
            </w:r>
            <w:r w:rsidDel="00000000" w:rsidR="00000000" w:rsidRPr="00000000">
              <w:rPr>
                <w:b w:val="1"/>
                <w:rtl w:val="0"/>
              </w:rPr>
              <w:t xml:space="preserve">(ii)</w:t>
            </w:r>
            <w:r w:rsidDel="00000000" w:rsidR="00000000" w:rsidRPr="00000000">
              <w:rPr>
                <w:rtl w:val="0"/>
              </w:rPr>
              <w:t xml:space="preserve"> identified in writing as confidential within 30 days of an oral or visual disclosure, including any copies or summaries.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Confidential Material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media or objects containing Confidential Information, e.g. documents, source code, data files, diagrams, prototypes, storage devices.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 Representatives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Party’s or its Affiliates’ employees, directors, freelancers, advisers and subcontractors who </w:t>
            </w:r>
            <w:r w:rsidDel="00000000" w:rsidR="00000000" w:rsidRPr="00000000">
              <w:rPr>
                <w:b w:val="1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  <w:t xml:space="preserve"> need to know Confidential Information for the Project </w:t>
            </w:r>
            <w:r w:rsidDel="00000000" w:rsidR="00000000" w:rsidRPr="00000000">
              <w:rPr>
                <w:b w:val="1"/>
                <w:rtl w:val="0"/>
              </w:rPr>
              <w:t xml:space="preserve">and (b)</w:t>
            </w:r>
            <w:r w:rsidDel="00000000" w:rsidR="00000000" w:rsidRPr="00000000">
              <w:rPr>
                <w:rtl w:val="0"/>
              </w:rPr>
              <w:t xml:space="preserve"> are bound by written confidentiality obligations at least as protective as this Agreement.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 Residual Knowledge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that a Party’s personnel retain in unaided memory and do not deliberately memorise to circumvent this Agreement.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mpkcfypo6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3 Confidentiality Obligations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b w:val="1"/>
          <w:rtl w:val="0"/>
        </w:rPr>
        <w:t xml:space="preserve">Non-Use.</w:t>
      </w:r>
      <w:r w:rsidDel="00000000" w:rsidR="00000000" w:rsidRPr="00000000">
        <w:rPr>
          <w:rtl w:val="0"/>
        </w:rPr>
        <w:t xml:space="preserve"> A Recipient may use Confidential Information </w:t>
      </w:r>
      <w:r w:rsidDel="00000000" w:rsidR="00000000" w:rsidRPr="00000000">
        <w:rPr>
          <w:b w:val="1"/>
          <w:rtl w:val="0"/>
        </w:rPr>
        <w:t xml:space="preserve">solely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evaluating the Project;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preparing proposals or quotations; and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  <w:t xml:space="preserve"> performing the Project under a subsequently executed services agreement.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b w:val="1"/>
          <w:rtl w:val="0"/>
        </w:rPr>
        <w:t xml:space="preserve">Non-Disclosure.</w:t>
      </w:r>
      <w:r w:rsidDel="00000000" w:rsidR="00000000" w:rsidRPr="00000000">
        <w:rPr>
          <w:rtl w:val="0"/>
        </w:rPr>
        <w:t xml:space="preserve"> Recipient shall not disclose Confidential Information except to its Representatives on a need-to-know basis. The Recipient shall ensure their compliance and remains liable for any breach by them.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3.3 </w:t>
      </w:r>
      <w:r w:rsidDel="00000000" w:rsidR="00000000" w:rsidRPr="00000000">
        <w:rPr>
          <w:b w:val="1"/>
          <w:rtl w:val="0"/>
        </w:rPr>
        <w:t xml:space="preserve">Care.</w:t>
      </w:r>
      <w:r w:rsidDel="00000000" w:rsidR="00000000" w:rsidRPr="00000000">
        <w:rPr>
          <w:rtl w:val="0"/>
        </w:rPr>
        <w:t xml:space="preserve"> Recipient will protect Confidential Information with at least the same degree of care it applies to its own confidential information (never less than reasonable care).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3.4 </w:t>
      </w:r>
      <w:r w:rsidDel="00000000" w:rsidR="00000000" w:rsidRPr="00000000">
        <w:rPr>
          <w:b w:val="1"/>
          <w:rtl w:val="0"/>
        </w:rPr>
        <w:t xml:space="preserve">Residual Knowledge.</w:t>
      </w:r>
      <w:r w:rsidDel="00000000" w:rsidR="00000000" w:rsidRPr="00000000">
        <w:rPr>
          <w:rtl w:val="0"/>
        </w:rPr>
        <w:t xml:space="preserve"> Nothing prevents either Party’s personnel from using Residual Knowledge, provided they do not intentionally memorise Confidential Information to avoid this Agreement.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1udfphdqi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4 Exceptions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Obligations in Section 3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apply to information a Recipient can demonstrate: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is or becomes public other than through breach;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was lawfully in its possession before disclosure (supported by contemporaneous records);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  <w:t xml:space="preserve"> is independently developed without reference to the Discloser’s Confidential Information;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(d)</w:t>
      </w:r>
      <w:r w:rsidDel="00000000" w:rsidR="00000000" w:rsidRPr="00000000">
        <w:rPr>
          <w:rtl w:val="0"/>
        </w:rPr>
        <w:t xml:space="preserve"> is rightfully received from a third party without restriction; or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(e)</w:t>
      </w:r>
      <w:r w:rsidDel="00000000" w:rsidR="00000000" w:rsidRPr="00000000">
        <w:rPr>
          <w:rtl w:val="0"/>
        </w:rPr>
        <w:t xml:space="preserve"> must be disclosed by law or court order (Recipient shall give prompt notice and cooperate to seek confidential treatment). NDA Supermarty 2.pdf](file-service://file-TN1wvK7oetm87r7dNziH1H)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49cazep98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5 Return / Destruction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Within </w:t>
      </w:r>
      <w:r w:rsidDel="00000000" w:rsidR="00000000" w:rsidRPr="00000000">
        <w:rPr>
          <w:b w:val="1"/>
          <w:rtl w:val="0"/>
        </w:rPr>
        <w:t xml:space="preserve">30 days</w:t>
      </w:r>
      <w:r w:rsidDel="00000000" w:rsidR="00000000" w:rsidRPr="00000000">
        <w:rPr>
          <w:rtl w:val="0"/>
        </w:rPr>
        <w:t xml:space="preserve"> after written request of the Discloser, Recipient shall return or securely destroy all Confidential Information </w:t>
      </w:r>
      <w:r w:rsidDel="00000000" w:rsidR="00000000" w:rsidRPr="00000000">
        <w:rPr>
          <w:b w:val="1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one encrypted archival copy retained solely for legal- or compliance-record purposes.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dmu86zjpl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6 No Grant of Rights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Confidential Information remains property of the Discloser. No licence or other right is granted except as expressly provided in this Agreement.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fj7qys67x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7 Warranties and Liability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7.1 </w:t>
      </w:r>
      <w:r w:rsidDel="00000000" w:rsidR="00000000" w:rsidRPr="00000000">
        <w:rPr>
          <w:b w:val="1"/>
          <w:rtl w:val="0"/>
        </w:rPr>
        <w:t xml:space="preserve">Disclaimer.</w:t>
      </w:r>
      <w:r w:rsidDel="00000000" w:rsidR="00000000" w:rsidRPr="00000000">
        <w:rPr>
          <w:rtl w:val="0"/>
        </w:rPr>
        <w:t xml:space="preserve"> All Confidential Information is provided </w:t>
      </w:r>
      <w:r w:rsidDel="00000000" w:rsidR="00000000" w:rsidRPr="00000000">
        <w:rPr>
          <w:i w:val="1"/>
          <w:rtl w:val="0"/>
        </w:rPr>
        <w:t xml:space="preserve">“as is”</w:t>
      </w:r>
      <w:r w:rsidDel="00000000" w:rsidR="00000000" w:rsidRPr="00000000">
        <w:rPr>
          <w:rtl w:val="0"/>
        </w:rPr>
        <w:t xml:space="preserve"> without warranty of completeness or accuracy.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7.2 </w:t>
      </w:r>
      <w:r w:rsidDel="00000000" w:rsidR="00000000" w:rsidRPr="00000000">
        <w:rPr>
          <w:b w:val="1"/>
          <w:rtl w:val="0"/>
        </w:rPr>
        <w:t xml:space="preserve">Limitation.</w:t>
      </w:r>
      <w:r w:rsidDel="00000000" w:rsidR="00000000" w:rsidRPr="00000000">
        <w:rPr>
          <w:rtl w:val="0"/>
        </w:rPr>
        <w:t xml:space="preserve"> Neither Party shall be liable for any indirect, incidental or consequential damages arising under this Agreement.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7.3 </w:t>
      </w:r>
      <w:r w:rsidDel="00000000" w:rsidR="00000000" w:rsidRPr="00000000">
        <w:rPr>
          <w:b w:val="1"/>
          <w:rtl w:val="0"/>
        </w:rPr>
        <w:t xml:space="preserve">Cap.</w:t>
      </w:r>
      <w:r w:rsidDel="00000000" w:rsidR="00000000" w:rsidRPr="00000000">
        <w:rPr>
          <w:rtl w:val="0"/>
        </w:rPr>
        <w:t xml:space="preserve"> For any proven direct damages resulting from a breach of this Agreement, each Party’s aggregate liability shall not exceed the greater of </w:t>
      </w:r>
      <w:r w:rsidDel="00000000" w:rsidR="00000000" w:rsidRPr="00000000">
        <w:rPr>
          <w:b w:val="1"/>
          <w:rtl w:val="0"/>
        </w:rPr>
        <w:t xml:space="preserve">(i)</w:t>
      </w:r>
      <w:r w:rsidDel="00000000" w:rsidR="00000000" w:rsidRPr="00000000">
        <w:rPr>
          <w:rtl w:val="0"/>
        </w:rPr>
        <w:t xml:space="preserve"> €25 000 or </w:t>
      </w:r>
      <w:r w:rsidDel="00000000" w:rsidR="00000000" w:rsidRPr="00000000">
        <w:rPr>
          <w:b w:val="1"/>
          <w:rtl w:val="0"/>
        </w:rPr>
        <w:t xml:space="preserve">(ii)</w:t>
      </w:r>
      <w:r w:rsidDel="00000000" w:rsidR="00000000" w:rsidRPr="00000000">
        <w:rPr>
          <w:rtl w:val="0"/>
        </w:rPr>
        <w:t xml:space="preserve"> the total fees paid under the Project.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8nq745tu3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8 Breach Assistance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Recipient will reasonably assist the Discloser to limit, remedy or recover from any unauthorised use or disclosure, including taking appropriate action against responsible personnel.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lplst4kq0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9 Term and Survival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9.1 This Agreement enters into force on the Effective Date and terminates automatically </w:t>
      </w:r>
      <w:r w:rsidDel="00000000" w:rsidR="00000000" w:rsidRPr="00000000">
        <w:rPr>
          <w:b w:val="1"/>
          <w:rtl w:val="0"/>
        </w:rPr>
        <w:t xml:space="preserve">five (5) years</w:t>
      </w:r>
      <w:r w:rsidDel="00000000" w:rsidR="00000000" w:rsidRPr="00000000">
        <w:rPr>
          <w:rtl w:val="0"/>
        </w:rPr>
        <w:t xml:space="preserve"> thereafter unless earlier terminated in writing.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9.2 Confidentiality obligations survive for </w:t>
      </w:r>
      <w:r w:rsidDel="00000000" w:rsidR="00000000" w:rsidRPr="00000000">
        <w:rPr>
          <w:b w:val="1"/>
          <w:rtl w:val="0"/>
        </w:rPr>
        <w:t xml:space="preserve">three (3) years</w:t>
      </w:r>
      <w:r w:rsidDel="00000000" w:rsidR="00000000" w:rsidRPr="00000000">
        <w:rPr>
          <w:rtl w:val="0"/>
        </w:rPr>
        <w:t xml:space="preserve"> after termination, or until the Confidential Information enters the public domain, whichever occurs first.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us5hw6o7l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10 Miscellaneous</w:t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7340"/>
        <w:tblGridChange w:id="0">
          <w:tblGrid>
            <w:gridCol w:w="1880"/>
            <w:gridCol w:w="73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Execution via DocuSign or comparable e-signature platform constitutes a “writing”. Email delivery of a fully signed PDF to the addresses above is sufficient notice of acceptance.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10.2 Amendments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Any amendment or waiver must be in writing and signed by authorised representatives of all Parties.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10.3 Severability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any provision is invalid, it shall be replaced by a valid provision that most closely reflects the original intent; the rest of the Agreement remains in force.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10.4 Governing Law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Dutch law (Burgerlijk Wetboek) governs this Agreement, excluding conflict-of-law rules.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10.5 Dispute Resolution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Any dispute shall be submitted </w:t>
            </w:r>
            <w:r w:rsidDel="00000000" w:rsidR="00000000" w:rsidRPr="00000000">
              <w:rPr>
                <w:b w:val="1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  <w:t xml:space="preserve"> to the competent court of the defendant’s domicile </w:t>
            </w:r>
            <w:r w:rsidDel="00000000" w:rsidR="00000000" w:rsidRPr="00000000">
              <w:rPr>
                <w:i w:val="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, at the claimant’s option, </w:t>
            </w:r>
            <w:r w:rsidDel="00000000" w:rsidR="00000000" w:rsidRPr="00000000">
              <w:rPr>
                <w:b w:val="1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  <w:t xml:space="preserve"> to arbitration under the Netherlands Arbitration Institute (NAI) Rules, seat The Hague, language English.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10.6 Entire Agreement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document is the Parties’ entire understanding regarding its subject matter and supersedes all prior NDAs concerning the Project.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8ejx9n22w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Signatures</w:t>
      </w:r>
    </w:p>
    <w:tbl>
      <w:tblPr>
        <w:tblStyle w:val="Table3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5"/>
        <w:gridCol w:w="4595"/>
        <w:tblGridChange w:id="0">
          <w:tblGrid>
            <w:gridCol w:w="4625"/>
            <w:gridCol w:w="459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SuperMarty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Ultra Wide Turbo Company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  </w:t>
            </w:r>
            <w:r w:rsidDel="00000000" w:rsidR="00000000" w:rsidRPr="00000000">
              <w:rPr>
                <w:i w:val="1"/>
                <w:rtl w:val="0"/>
              </w:rPr>
              <w:t xml:space="preserve">Amir Nayeri</w:t>
            </w:r>
            <w:r w:rsidDel="00000000" w:rsidR="00000000" w:rsidRPr="00000000">
              <w:rPr>
                <w:rtl w:val="0"/>
              </w:rPr>
              <w:t xml:space="preserve">  Director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  </w:t>
            </w:r>
            <w:r w:rsidDel="00000000" w:rsidR="00000000" w:rsidRPr="00000000">
              <w:rPr>
                <w:i w:val="1"/>
                <w:rtl w:val="0"/>
              </w:rPr>
              <w:t xml:space="preserve">Brian Manuputty</w:t>
            </w:r>
            <w:r w:rsidDel="00000000" w:rsidR="00000000" w:rsidRPr="00000000">
              <w:rPr>
                <w:rtl w:val="0"/>
              </w:rPr>
              <w:t xml:space="preserve">  Director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Mahmoud Consultancy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  </w:t>
            </w:r>
            <w:r w:rsidDel="00000000" w:rsidR="00000000" w:rsidRPr="00000000">
              <w:rPr>
                <w:i w:val="1"/>
                <w:rtl w:val="0"/>
              </w:rPr>
              <w:t xml:space="preserve">Mahmoud Sarkout</w:t>
            </w:r>
            <w:r w:rsidDel="00000000" w:rsidR="00000000" w:rsidRPr="00000000">
              <w:rPr>
                <w:rtl w:val="0"/>
              </w:rPr>
              <w:t xml:space="preserve">  Director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