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A45DC" w14:textId="46225C65" w:rsidR="00720545" w:rsidRDefault="00A20696" w:rsidP="00A20696">
      <w:pPr>
        <w:jc w:val="center"/>
        <w:rPr>
          <w:rFonts w:ascii="Cambria" w:eastAsia="Cambria" w:hAnsi="Cambria" w:cs="Cambria"/>
          <w:b/>
          <w:color w:val="000000"/>
          <w:sz w:val="32"/>
          <w:szCs w:val="32"/>
        </w:rPr>
      </w:pPr>
      <w:r>
        <w:rPr>
          <w:rFonts w:ascii="Cambria" w:eastAsia="Cambria" w:hAnsi="Cambria" w:cs="Cambria"/>
          <w:b/>
          <w:color w:val="000000"/>
          <w:sz w:val="32"/>
          <w:szCs w:val="32"/>
        </w:rPr>
        <w:t>Report</w:t>
      </w:r>
    </w:p>
    <w:p w14:paraId="66070560" w14:textId="77777777" w:rsidR="00720545" w:rsidRDefault="00720545">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720545" w14:paraId="223028FB" w14:textId="77777777">
        <w:trPr>
          <w:jc w:val="center"/>
        </w:trPr>
        <w:tc>
          <w:tcPr>
            <w:tcW w:w="4508" w:type="dxa"/>
          </w:tcPr>
          <w:p w14:paraId="366628D7" w14:textId="77777777" w:rsidR="00720545" w:rsidRDefault="00000000">
            <w:pPr>
              <w:rPr>
                <w:rFonts w:ascii="Arial" w:eastAsia="Arial" w:hAnsi="Arial" w:cs="Arial"/>
              </w:rPr>
            </w:pPr>
            <w:r>
              <w:rPr>
                <w:rFonts w:ascii="Arial" w:eastAsia="Arial" w:hAnsi="Arial" w:cs="Arial"/>
              </w:rPr>
              <w:t>Date</w:t>
            </w:r>
          </w:p>
        </w:tc>
        <w:tc>
          <w:tcPr>
            <w:tcW w:w="4843" w:type="dxa"/>
          </w:tcPr>
          <w:p w14:paraId="08398857" w14:textId="57887E6D" w:rsidR="00720545" w:rsidRDefault="00000000">
            <w:pPr>
              <w:rPr>
                <w:rFonts w:ascii="Arial" w:eastAsia="Arial" w:hAnsi="Arial" w:cs="Arial"/>
              </w:rPr>
            </w:pPr>
            <w:r>
              <w:rPr>
                <w:rFonts w:ascii="Arial" w:eastAsia="Arial" w:hAnsi="Arial" w:cs="Arial"/>
              </w:rPr>
              <w:t>2</w:t>
            </w:r>
            <w:r w:rsidR="007C688A">
              <w:rPr>
                <w:rFonts w:ascii="Arial" w:eastAsia="Arial" w:hAnsi="Arial" w:cs="Arial"/>
              </w:rPr>
              <w:t>6</w:t>
            </w:r>
            <w:r>
              <w:rPr>
                <w:rFonts w:ascii="Arial" w:eastAsia="Arial" w:hAnsi="Arial" w:cs="Arial"/>
              </w:rPr>
              <w:t xml:space="preserve"> </w:t>
            </w:r>
            <w:r w:rsidR="007C688A">
              <w:rPr>
                <w:rFonts w:ascii="Arial" w:eastAsia="Arial" w:hAnsi="Arial" w:cs="Arial"/>
              </w:rPr>
              <w:t>June</w:t>
            </w:r>
            <w:r w:rsidR="00642171">
              <w:rPr>
                <w:rFonts w:ascii="Arial" w:eastAsia="Arial" w:hAnsi="Arial" w:cs="Arial"/>
              </w:rPr>
              <w:t xml:space="preserve"> </w:t>
            </w:r>
            <w:r>
              <w:rPr>
                <w:rFonts w:ascii="Arial" w:eastAsia="Arial" w:hAnsi="Arial" w:cs="Arial"/>
              </w:rPr>
              <w:t>202</w:t>
            </w:r>
            <w:r w:rsidR="007C688A">
              <w:rPr>
                <w:rFonts w:ascii="Arial" w:eastAsia="Arial" w:hAnsi="Arial" w:cs="Arial"/>
              </w:rPr>
              <w:t>5</w:t>
            </w:r>
          </w:p>
        </w:tc>
      </w:tr>
      <w:tr w:rsidR="00720545" w14:paraId="55E5A78E" w14:textId="77777777">
        <w:trPr>
          <w:jc w:val="center"/>
        </w:trPr>
        <w:tc>
          <w:tcPr>
            <w:tcW w:w="4508" w:type="dxa"/>
          </w:tcPr>
          <w:p w14:paraId="2CA0E194" w14:textId="77777777" w:rsidR="00720545" w:rsidRDefault="00000000">
            <w:pPr>
              <w:rPr>
                <w:rFonts w:ascii="Arial" w:eastAsia="Arial" w:hAnsi="Arial" w:cs="Arial"/>
              </w:rPr>
            </w:pPr>
            <w:r>
              <w:rPr>
                <w:rFonts w:ascii="Arial" w:eastAsia="Arial" w:hAnsi="Arial" w:cs="Arial"/>
              </w:rPr>
              <w:t>Team ID</w:t>
            </w:r>
          </w:p>
        </w:tc>
        <w:tc>
          <w:tcPr>
            <w:tcW w:w="4843" w:type="dxa"/>
          </w:tcPr>
          <w:p w14:paraId="32FAADAD" w14:textId="77777777" w:rsidR="00720545" w:rsidRDefault="00000000">
            <w:pPr>
              <w:rPr>
                <w:rFonts w:ascii="Arial" w:eastAsia="Arial" w:hAnsi="Arial" w:cs="Arial"/>
              </w:rPr>
            </w:pPr>
            <w:r>
              <w:rPr>
                <w:rFonts w:ascii="Arial" w:eastAsia="Arial" w:hAnsi="Arial" w:cs="Arial"/>
              </w:rPr>
              <w:t>PNT2022TMIDxxxxxx</w:t>
            </w:r>
          </w:p>
        </w:tc>
      </w:tr>
      <w:tr w:rsidR="00720545" w14:paraId="20C7BF55" w14:textId="77777777">
        <w:trPr>
          <w:jc w:val="center"/>
        </w:trPr>
        <w:tc>
          <w:tcPr>
            <w:tcW w:w="4508" w:type="dxa"/>
          </w:tcPr>
          <w:p w14:paraId="6659C707" w14:textId="77777777" w:rsidR="00720545" w:rsidRDefault="00000000">
            <w:pPr>
              <w:rPr>
                <w:rFonts w:ascii="Arial" w:eastAsia="Arial" w:hAnsi="Arial" w:cs="Arial"/>
              </w:rPr>
            </w:pPr>
            <w:r>
              <w:rPr>
                <w:rFonts w:ascii="Arial" w:eastAsia="Arial" w:hAnsi="Arial" w:cs="Arial"/>
              </w:rPr>
              <w:t>Project Name</w:t>
            </w:r>
          </w:p>
        </w:tc>
        <w:tc>
          <w:tcPr>
            <w:tcW w:w="4843" w:type="dxa"/>
          </w:tcPr>
          <w:p w14:paraId="1D354C95" w14:textId="1992BC52" w:rsidR="00720545" w:rsidRDefault="00642171">
            <w:pPr>
              <w:rPr>
                <w:rFonts w:ascii="Arial" w:eastAsia="Arial" w:hAnsi="Arial" w:cs="Arial"/>
              </w:rPr>
            </w:pPr>
            <w:r>
              <w:rPr>
                <w:rFonts w:ascii="Arial" w:eastAsia="Arial" w:hAnsi="Arial" w:cs="Arial"/>
              </w:rPr>
              <w:t>Title</w:t>
            </w:r>
          </w:p>
        </w:tc>
      </w:tr>
      <w:tr w:rsidR="00720545" w14:paraId="52F170A6" w14:textId="77777777">
        <w:trPr>
          <w:jc w:val="center"/>
        </w:trPr>
        <w:tc>
          <w:tcPr>
            <w:tcW w:w="4508" w:type="dxa"/>
          </w:tcPr>
          <w:p w14:paraId="2A03D322" w14:textId="77777777" w:rsidR="00720545" w:rsidRDefault="00000000">
            <w:pPr>
              <w:rPr>
                <w:rFonts w:ascii="Arial" w:eastAsia="Arial" w:hAnsi="Arial" w:cs="Arial"/>
              </w:rPr>
            </w:pPr>
            <w:r>
              <w:rPr>
                <w:rFonts w:ascii="Arial" w:eastAsia="Arial" w:hAnsi="Arial" w:cs="Arial"/>
              </w:rPr>
              <w:t>Maximum Marks</w:t>
            </w:r>
          </w:p>
        </w:tc>
        <w:tc>
          <w:tcPr>
            <w:tcW w:w="4843" w:type="dxa"/>
          </w:tcPr>
          <w:p w14:paraId="6FC77C1E" w14:textId="70451DDC" w:rsidR="00720545" w:rsidRDefault="00A20696">
            <w:pPr>
              <w:rPr>
                <w:rFonts w:ascii="Arial" w:eastAsia="Arial" w:hAnsi="Arial" w:cs="Arial"/>
              </w:rPr>
            </w:pPr>
            <w:r>
              <w:rPr>
                <w:rFonts w:ascii="Arial" w:eastAsia="Arial" w:hAnsi="Arial" w:cs="Arial"/>
              </w:rPr>
              <w:t>5 Marks</w:t>
            </w:r>
          </w:p>
        </w:tc>
      </w:tr>
    </w:tbl>
    <w:p w14:paraId="137B83EC" w14:textId="77777777" w:rsidR="00720545" w:rsidRDefault="00720545">
      <w:pPr>
        <w:rPr>
          <w:rFonts w:ascii="Cambria" w:eastAsia="Cambria" w:hAnsi="Cambria" w:cs="Cambria"/>
          <w:color w:val="000000"/>
          <w:sz w:val="24"/>
          <w:szCs w:val="24"/>
          <w:highlight w:val="white"/>
        </w:rPr>
      </w:pPr>
    </w:p>
    <w:p w14:paraId="1BD7BD2C" w14:textId="77777777" w:rsidR="007C688A" w:rsidRPr="007C688A" w:rsidRDefault="007C688A" w:rsidP="007C688A">
      <w:pPr>
        <w:shd w:val="clear" w:color="auto" w:fill="FFFFFF"/>
        <w:rPr>
          <w:rFonts w:asciiTheme="minorHAnsi" w:eastAsia="Times New Roman" w:hAnsiTheme="minorHAnsi" w:cstheme="minorHAnsi"/>
          <w:lang w:val="en-US"/>
        </w:rPr>
      </w:pPr>
      <w:r w:rsidRPr="007C688A">
        <w:rPr>
          <w:rFonts w:asciiTheme="minorHAnsi" w:eastAsia="Times New Roman" w:hAnsiTheme="minorHAnsi" w:cstheme="minorHAnsi"/>
          <w:lang w:val="en-US"/>
        </w:rPr>
        <w:t xml:space="preserve">A report is a structured document that explains the data analysis, visualizations, and key findings. In this project, Power BI was used to visualize a Kaggle dataset related </w:t>
      </w:r>
      <w:r w:rsidRPr="007C688A">
        <w:rPr>
          <w:rFonts w:asciiTheme="minorHAnsi" w:eastAsia="Times New Roman" w:hAnsiTheme="minorHAnsi" w:cstheme="minorHAnsi"/>
          <w:b/>
          <w:bCs/>
          <w:lang w:val="en-US"/>
        </w:rPr>
        <w:t>to global food production</w:t>
      </w:r>
      <w:r w:rsidRPr="007C688A">
        <w:rPr>
          <w:rFonts w:asciiTheme="minorHAnsi" w:eastAsia="Times New Roman" w:hAnsiTheme="minorHAnsi" w:cstheme="minorHAnsi"/>
          <w:lang w:val="en-US"/>
        </w:rPr>
        <w:t>. The goal was to help users easily understand food trends using charts and filters. The report is useful for policymakers, analysts, and students who want to explore food production across countries and crops.</w:t>
      </w:r>
    </w:p>
    <w:p w14:paraId="3E8114C1" w14:textId="77777777" w:rsidR="007C688A" w:rsidRPr="007C688A" w:rsidRDefault="007C688A" w:rsidP="007C688A">
      <w:pPr>
        <w:shd w:val="clear" w:color="auto" w:fill="FFFFFF"/>
        <w:rPr>
          <w:rFonts w:asciiTheme="minorHAnsi" w:eastAsia="Times New Roman" w:hAnsiTheme="minorHAnsi" w:cstheme="minorHAnsi"/>
          <w:lang w:val="en-US"/>
        </w:rPr>
      </w:pPr>
      <w:r w:rsidRPr="007C688A">
        <w:rPr>
          <w:rFonts w:asciiTheme="minorHAnsi" w:eastAsia="Times New Roman" w:hAnsiTheme="minorHAnsi" w:cstheme="minorHAnsi"/>
          <w:lang w:val="en-US"/>
        </w:rPr>
        <w:t>In Power BI, the dataset was imported directly without coding or preprocessing. Charts like column charts, card, ribbon chart, donut chart, gauge, area chart, and funnel chart were used. These visuals were organized clearly, and slicers were added to allow filtering by year, country, and crop. The report was designed to be interactive and simple to use.</w:t>
      </w:r>
    </w:p>
    <w:p w14:paraId="25FA8D47" w14:textId="58DC52BC" w:rsidR="00720545" w:rsidRDefault="00000000" w:rsidP="007C688A">
      <w:pPr>
        <w:shd w:val="clear" w:color="auto" w:fill="FFFFFF"/>
        <w:rPr>
          <w:sz w:val="20"/>
          <w:szCs w:val="20"/>
          <w:highlight w:val="white"/>
        </w:rPr>
      </w:pPr>
      <w:r>
        <w:rPr>
          <w:sz w:val="20"/>
          <w:szCs w:val="20"/>
        </w:rPr>
        <w:t xml:space="preserve">                </w:t>
      </w:r>
      <w:r w:rsidR="007C688A" w:rsidRPr="007C688A">
        <w:rPr>
          <w:sz w:val="20"/>
          <w:szCs w:val="20"/>
        </w:rPr>
        <w:drawing>
          <wp:inline distT="0" distB="0" distL="0" distR="0" wp14:anchorId="175EE63E" wp14:editId="699D72CE">
            <wp:extent cx="5731510" cy="3178175"/>
            <wp:effectExtent l="0" t="0" r="2540" b="3175"/>
            <wp:docPr id="1880320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20795" name=""/>
                    <pic:cNvPicPr/>
                  </pic:nvPicPr>
                  <pic:blipFill>
                    <a:blip r:embed="rId6"/>
                    <a:stretch>
                      <a:fillRect/>
                    </a:stretch>
                  </pic:blipFill>
                  <pic:spPr>
                    <a:xfrm>
                      <a:off x="0" y="0"/>
                      <a:ext cx="5731510" cy="3178175"/>
                    </a:xfrm>
                    <a:prstGeom prst="rect">
                      <a:avLst/>
                    </a:prstGeom>
                  </pic:spPr>
                </pic:pic>
              </a:graphicData>
            </a:graphic>
          </wp:inline>
        </w:drawing>
      </w:r>
      <w:r>
        <w:rPr>
          <w:sz w:val="20"/>
          <w:szCs w:val="20"/>
        </w:rPr>
        <w:t xml:space="preserve">    </w:t>
      </w:r>
    </w:p>
    <w:p w14:paraId="180A9E95" w14:textId="77777777" w:rsidR="00720545" w:rsidRDefault="00720545">
      <w:pPr>
        <w:pBdr>
          <w:top w:val="nil"/>
          <w:left w:val="nil"/>
          <w:bottom w:val="nil"/>
          <w:right w:val="nil"/>
          <w:between w:val="nil"/>
        </w:pBdr>
        <w:spacing w:after="200" w:line="240" w:lineRule="auto"/>
        <w:ind w:left="1440"/>
        <w:rPr>
          <w:rFonts w:ascii="Arial" w:eastAsia="Arial" w:hAnsi="Arial" w:cs="Arial"/>
          <w:color w:val="000000"/>
          <w:sz w:val="20"/>
          <w:szCs w:val="20"/>
        </w:rPr>
      </w:pPr>
    </w:p>
    <w:p w14:paraId="29E6CBAE" w14:textId="61FDBE99" w:rsidR="00720545" w:rsidRDefault="00720545">
      <w:pPr>
        <w:pBdr>
          <w:top w:val="nil"/>
          <w:left w:val="nil"/>
          <w:bottom w:val="nil"/>
          <w:right w:val="nil"/>
          <w:between w:val="nil"/>
        </w:pBdr>
        <w:spacing w:after="200" w:line="240" w:lineRule="auto"/>
        <w:rPr>
          <w:rFonts w:ascii="Arial" w:eastAsia="Arial" w:hAnsi="Arial" w:cs="Arial"/>
          <w:color w:val="000000"/>
          <w:sz w:val="20"/>
          <w:szCs w:val="20"/>
        </w:rPr>
      </w:pPr>
    </w:p>
    <w:p w14:paraId="5E678C7C" w14:textId="673E2B5E" w:rsidR="00720545" w:rsidRDefault="00A20696">
      <w:pPr>
        <w:pBdr>
          <w:top w:val="nil"/>
          <w:left w:val="nil"/>
          <w:bottom w:val="nil"/>
          <w:right w:val="nil"/>
          <w:between w:val="nil"/>
        </w:pBdr>
        <w:spacing w:after="200" w:line="240" w:lineRule="auto"/>
        <w:rPr>
          <w:rFonts w:ascii="Arial" w:eastAsia="Arial" w:hAnsi="Arial" w:cs="Arial"/>
          <w:color w:val="000000"/>
          <w:sz w:val="20"/>
          <w:szCs w:val="20"/>
        </w:rPr>
      </w:pPr>
      <w:r w:rsidRPr="00A20696">
        <w:rPr>
          <w:rFonts w:ascii="Arial" w:eastAsia="Arial" w:hAnsi="Arial" w:cs="Arial"/>
          <w:color w:val="000000"/>
          <w:sz w:val="20"/>
          <w:szCs w:val="20"/>
        </w:rPr>
        <w:t>Observations drawn from reports in Power BI can provide valuable insights into business performance and trends.</w:t>
      </w:r>
    </w:p>
    <w:p w14:paraId="533E08FA" w14:textId="39D2A095" w:rsidR="007C688A" w:rsidRPr="007C688A" w:rsidRDefault="007C688A" w:rsidP="007C688A">
      <w:pPr>
        <w:numPr>
          <w:ilvl w:val="0"/>
          <w:numId w:val="10"/>
        </w:numPr>
        <w:pBdr>
          <w:top w:val="nil"/>
          <w:left w:val="nil"/>
          <w:bottom w:val="nil"/>
          <w:right w:val="nil"/>
          <w:between w:val="nil"/>
        </w:pBdr>
        <w:spacing w:after="200"/>
        <w:rPr>
          <w:rFonts w:ascii="Arial" w:eastAsia="Arial" w:hAnsi="Arial" w:cs="Arial"/>
          <w:color w:val="000000"/>
          <w:sz w:val="20"/>
          <w:szCs w:val="20"/>
          <w:lang w:val="en-US"/>
        </w:rPr>
      </w:pPr>
      <w:r w:rsidRPr="007C688A">
        <w:rPr>
          <w:rFonts w:ascii="Arial" w:eastAsia="Arial" w:hAnsi="Arial" w:cs="Arial"/>
          <w:b/>
          <w:color w:val="000000"/>
          <w:sz w:val="20"/>
          <w:szCs w:val="20"/>
          <w:lang w:val="en-US"/>
        </w:rPr>
        <w:t>Trends Over Time:</w:t>
      </w:r>
      <w:r w:rsidRPr="007C688A">
        <w:rPr>
          <w:rFonts w:ascii="Arial" w:eastAsia="Arial" w:hAnsi="Arial" w:cs="Arial"/>
          <w:color w:val="000000"/>
          <w:sz w:val="20"/>
          <w:szCs w:val="20"/>
          <w:lang w:val="en-US"/>
        </w:rPr>
        <w:br/>
        <w:t xml:space="preserve">• The area and line charts show how food production has changed from </w:t>
      </w:r>
      <w:r>
        <w:rPr>
          <w:rFonts w:ascii="Arial" w:eastAsia="Arial" w:hAnsi="Arial" w:cs="Arial"/>
          <w:color w:val="000000"/>
          <w:sz w:val="20"/>
          <w:szCs w:val="20"/>
          <w:lang w:val="en-US"/>
        </w:rPr>
        <w:t>1961</w:t>
      </w:r>
      <w:r w:rsidRPr="007C688A">
        <w:rPr>
          <w:rFonts w:ascii="Arial" w:eastAsia="Arial" w:hAnsi="Arial" w:cs="Arial"/>
          <w:color w:val="000000"/>
          <w:sz w:val="20"/>
          <w:szCs w:val="20"/>
          <w:lang w:val="en-US"/>
        </w:rPr>
        <w:t xml:space="preserve"> to 2020. Crops like wheat and rice showed steady growth until 2015, followed by a slight dip. This trend helps identify production peaks and possible seasonal patterns.</w:t>
      </w:r>
    </w:p>
    <w:p w14:paraId="0DEB4C25" w14:textId="77777777" w:rsidR="007C688A" w:rsidRPr="007C688A" w:rsidRDefault="007C688A" w:rsidP="007C688A">
      <w:pPr>
        <w:numPr>
          <w:ilvl w:val="0"/>
          <w:numId w:val="10"/>
        </w:numPr>
        <w:pBdr>
          <w:top w:val="nil"/>
          <w:left w:val="nil"/>
          <w:bottom w:val="nil"/>
          <w:right w:val="nil"/>
          <w:between w:val="nil"/>
        </w:pBdr>
        <w:spacing w:after="200" w:line="240" w:lineRule="auto"/>
        <w:rPr>
          <w:rFonts w:ascii="Arial" w:eastAsia="Arial" w:hAnsi="Arial" w:cs="Arial"/>
          <w:color w:val="000000"/>
          <w:sz w:val="20"/>
          <w:szCs w:val="20"/>
          <w:lang w:val="en-US"/>
        </w:rPr>
      </w:pPr>
      <w:r w:rsidRPr="007C688A">
        <w:rPr>
          <w:rFonts w:ascii="Arial" w:eastAsia="Arial" w:hAnsi="Arial" w:cs="Arial"/>
          <w:b/>
          <w:bCs/>
          <w:color w:val="000000"/>
          <w:sz w:val="20"/>
          <w:szCs w:val="20"/>
          <w:lang w:val="en-US"/>
        </w:rPr>
        <w:t>Performance Comparisons:</w:t>
      </w:r>
      <w:r w:rsidRPr="007C688A">
        <w:rPr>
          <w:rFonts w:ascii="Arial" w:eastAsia="Arial" w:hAnsi="Arial" w:cs="Arial"/>
          <w:color w:val="000000"/>
          <w:sz w:val="20"/>
          <w:szCs w:val="20"/>
          <w:lang w:val="en-US"/>
        </w:rPr>
        <w:br/>
        <w:t xml:space="preserve">• The column and ribbon charts allow comparison between countries. India and China have </w:t>
      </w:r>
      <w:r w:rsidRPr="007C688A">
        <w:rPr>
          <w:rFonts w:ascii="Arial" w:eastAsia="Arial" w:hAnsi="Arial" w:cs="Arial"/>
          <w:color w:val="000000"/>
          <w:sz w:val="20"/>
          <w:szCs w:val="20"/>
          <w:lang w:val="en-US"/>
        </w:rPr>
        <w:lastRenderedPageBreak/>
        <w:t>remained top producers of rice and wheat, while some African nations showed lower production levels. This helps identify both leading and underperforming regions.</w:t>
      </w:r>
    </w:p>
    <w:p w14:paraId="16D4DB72" w14:textId="77777777" w:rsidR="007C688A" w:rsidRPr="007C688A" w:rsidRDefault="007C688A" w:rsidP="007C688A">
      <w:pPr>
        <w:numPr>
          <w:ilvl w:val="0"/>
          <w:numId w:val="10"/>
        </w:numPr>
        <w:pBdr>
          <w:top w:val="nil"/>
          <w:left w:val="nil"/>
          <w:bottom w:val="nil"/>
          <w:right w:val="nil"/>
          <w:between w:val="nil"/>
        </w:pBdr>
        <w:spacing w:after="200" w:line="240" w:lineRule="auto"/>
        <w:rPr>
          <w:rFonts w:ascii="Arial" w:eastAsia="Arial" w:hAnsi="Arial" w:cs="Arial"/>
          <w:color w:val="000000"/>
          <w:sz w:val="20"/>
          <w:szCs w:val="20"/>
          <w:lang w:val="en-US"/>
        </w:rPr>
      </w:pPr>
      <w:r w:rsidRPr="007C688A">
        <w:rPr>
          <w:rFonts w:ascii="Arial" w:eastAsia="Arial" w:hAnsi="Arial" w:cs="Arial"/>
          <w:b/>
          <w:bCs/>
          <w:color w:val="000000"/>
          <w:sz w:val="20"/>
          <w:szCs w:val="20"/>
          <w:lang w:val="en-US"/>
        </w:rPr>
        <w:t>Category Share (Crop Segmentation):</w:t>
      </w:r>
      <w:r w:rsidRPr="007C688A">
        <w:rPr>
          <w:rFonts w:ascii="Arial" w:eastAsia="Arial" w:hAnsi="Arial" w:cs="Arial"/>
          <w:color w:val="000000"/>
          <w:sz w:val="20"/>
          <w:szCs w:val="20"/>
          <w:lang w:val="en-US"/>
        </w:rPr>
        <w:br/>
        <w:t xml:space="preserve">• The donut chart shows crop-wise distribution. Rice, wheat, and maize account for </w:t>
      </w:r>
      <w:proofErr w:type="gramStart"/>
      <w:r w:rsidRPr="007C688A">
        <w:rPr>
          <w:rFonts w:ascii="Arial" w:eastAsia="Arial" w:hAnsi="Arial" w:cs="Arial"/>
          <w:color w:val="000000"/>
          <w:sz w:val="20"/>
          <w:szCs w:val="20"/>
          <w:lang w:val="en-US"/>
        </w:rPr>
        <w:t>the majority of</w:t>
      </w:r>
      <w:proofErr w:type="gramEnd"/>
      <w:r w:rsidRPr="007C688A">
        <w:rPr>
          <w:rFonts w:ascii="Arial" w:eastAsia="Arial" w:hAnsi="Arial" w:cs="Arial"/>
          <w:color w:val="000000"/>
          <w:sz w:val="20"/>
          <w:szCs w:val="20"/>
          <w:lang w:val="en-US"/>
        </w:rPr>
        <w:t xml:space="preserve"> global production. This segmentation helps focus policies and research on the most impactful crops.</w:t>
      </w:r>
    </w:p>
    <w:p w14:paraId="7EF35A22" w14:textId="77777777" w:rsidR="007C688A" w:rsidRPr="007C688A" w:rsidRDefault="007C688A" w:rsidP="007C688A">
      <w:pPr>
        <w:numPr>
          <w:ilvl w:val="0"/>
          <w:numId w:val="10"/>
        </w:numPr>
        <w:pBdr>
          <w:top w:val="nil"/>
          <w:left w:val="nil"/>
          <w:bottom w:val="nil"/>
          <w:right w:val="nil"/>
          <w:between w:val="nil"/>
        </w:pBdr>
        <w:spacing w:after="200" w:line="240" w:lineRule="auto"/>
        <w:rPr>
          <w:rFonts w:ascii="Arial" w:eastAsia="Arial" w:hAnsi="Arial" w:cs="Arial"/>
          <w:color w:val="000000"/>
          <w:sz w:val="20"/>
          <w:szCs w:val="20"/>
          <w:lang w:val="en-US"/>
        </w:rPr>
      </w:pPr>
      <w:r w:rsidRPr="007C688A">
        <w:rPr>
          <w:rFonts w:ascii="Arial" w:eastAsia="Arial" w:hAnsi="Arial" w:cs="Arial"/>
          <w:b/>
          <w:bCs/>
          <w:color w:val="000000"/>
          <w:sz w:val="20"/>
          <w:szCs w:val="20"/>
          <w:lang w:val="en-US"/>
        </w:rPr>
        <w:t>Goal Achievement:</w:t>
      </w:r>
      <w:r w:rsidRPr="007C688A">
        <w:rPr>
          <w:rFonts w:ascii="Arial" w:eastAsia="Arial" w:hAnsi="Arial" w:cs="Arial"/>
          <w:color w:val="000000"/>
          <w:sz w:val="20"/>
          <w:szCs w:val="20"/>
          <w:lang w:val="en-US"/>
        </w:rPr>
        <w:br/>
        <w:t>• The gauge chart shows that global food production is close to or exceeding the expected threshold. It indicates that key food security goals are being met in many regions.</w:t>
      </w:r>
    </w:p>
    <w:p w14:paraId="1EFDA559" w14:textId="58D5D39E" w:rsidR="00AF7735" w:rsidRPr="00642171" w:rsidRDefault="00AF7735" w:rsidP="007C688A">
      <w:pPr>
        <w:pBdr>
          <w:top w:val="nil"/>
          <w:left w:val="nil"/>
          <w:bottom w:val="nil"/>
          <w:right w:val="nil"/>
          <w:between w:val="nil"/>
        </w:pBdr>
        <w:spacing w:after="200" w:line="240" w:lineRule="auto"/>
        <w:rPr>
          <w:rFonts w:ascii="Times New Roman" w:eastAsia="Times New Roman" w:hAnsi="Times New Roman" w:cs="Times New Roman"/>
          <w:b/>
          <w:bCs/>
          <w:color w:val="4472C4" w:themeColor="accent1"/>
          <w:sz w:val="24"/>
          <w:szCs w:val="24"/>
        </w:rPr>
      </w:pPr>
      <w:r w:rsidRPr="00642171">
        <w:rPr>
          <w:rFonts w:ascii="Times New Roman" w:eastAsia="Times New Roman" w:hAnsi="Times New Roman" w:cs="Times New Roman"/>
          <w:b/>
          <w:bCs/>
          <w:color w:val="4472C4" w:themeColor="accent1"/>
          <w:sz w:val="24"/>
          <w:szCs w:val="24"/>
        </w:rPr>
        <w:t>Example:</w:t>
      </w:r>
    </w:p>
    <w:p w14:paraId="184D9124" w14:textId="77777777" w:rsidR="007C688A" w:rsidRDefault="007C688A" w:rsidP="007C688A">
      <w:pPr>
        <w:pStyle w:val="NormalWeb"/>
        <w:numPr>
          <w:ilvl w:val="0"/>
          <w:numId w:val="8"/>
        </w:numPr>
      </w:pPr>
      <w:r>
        <w:rPr>
          <w:rStyle w:val="Strong"/>
        </w:rPr>
        <w:t>Top Producer Country:</w:t>
      </w:r>
      <w:r>
        <w:br/>
        <w:t xml:space="preserve">• The card visual shows that </w:t>
      </w:r>
      <w:r>
        <w:rPr>
          <w:rStyle w:val="Strong"/>
        </w:rPr>
        <w:t>India</w:t>
      </w:r>
      <w:r>
        <w:t xml:space="preserve"> is the highest producer in the dataset, especially in rice and wheat production.</w:t>
      </w:r>
    </w:p>
    <w:p w14:paraId="72C5D8BC" w14:textId="77777777" w:rsidR="007C688A" w:rsidRDefault="007C688A" w:rsidP="007C688A">
      <w:pPr>
        <w:pStyle w:val="NormalWeb"/>
        <w:numPr>
          <w:ilvl w:val="0"/>
          <w:numId w:val="8"/>
        </w:numPr>
      </w:pPr>
      <w:r>
        <w:rPr>
          <w:rStyle w:val="Strong"/>
        </w:rPr>
        <w:t>Crop Contribution:</w:t>
      </w:r>
      <w:r>
        <w:br/>
        <w:t xml:space="preserve">• The donut chart highlights that </w:t>
      </w:r>
      <w:r>
        <w:rPr>
          <w:rStyle w:val="Strong"/>
        </w:rPr>
        <w:t>rice</w:t>
      </w:r>
      <w:r>
        <w:t xml:space="preserve"> holds the largest share in global food production, followed by wheat and maize.</w:t>
      </w:r>
    </w:p>
    <w:p w14:paraId="2B188927" w14:textId="05FF9BF8" w:rsidR="007C688A" w:rsidRDefault="007C688A" w:rsidP="007C688A">
      <w:pPr>
        <w:pStyle w:val="NormalWeb"/>
        <w:numPr>
          <w:ilvl w:val="0"/>
          <w:numId w:val="8"/>
        </w:numPr>
      </w:pPr>
      <w:r>
        <w:rPr>
          <w:rStyle w:val="Strong"/>
        </w:rPr>
        <w:t>Production by Year:</w:t>
      </w:r>
      <w:r>
        <w:br/>
        <w:t xml:space="preserve">• The area chart shows </w:t>
      </w:r>
      <w:r>
        <w:rPr>
          <w:rStyle w:val="Strong"/>
        </w:rPr>
        <w:t>increasing trends</w:t>
      </w:r>
      <w:r>
        <w:t xml:space="preserve"> in crop output from </w:t>
      </w:r>
      <w:r>
        <w:t>1961</w:t>
      </w:r>
      <w:r>
        <w:t>–20</w:t>
      </w:r>
      <w:r>
        <w:t>23</w:t>
      </w:r>
      <w:r>
        <w:t>, with stability or slight decrease afterward. This helps plan for future yield management.</w:t>
      </w:r>
    </w:p>
    <w:p w14:paraId="619F5C80" w14:textId="425AA5C9" w:rsidR="00AF7735" w:rsidRPr="007C688A" w:rsidRDefault="007C688A" w:rsidP="007C688A">
      <w:pPr>
        <w:pStyle w:val="NormalWeb"/>
        <w:numPr>
          <w:ilvl w:val="0"/>
          <w:numId w:val="8"/>
        </w:numPr>
      </w:pPr>
      <w:r>
        <w:rPr>
          <w:rStyle w:val="Strong"/>
        </w:rPr>
        <w:t>Filtering with Funnel:</w:t>
      </w:r>
      <w:r>
        <w:br/>
        <w:t xml:space="preserve">• The funnel chart filters data from total production → region → country → specific crop. This allows focused analysis at each </w:t>
      </w:r>
      <w:proofErr w:type="gramStart"/>
      <w:r>
        <w:t>level.</w:t>
      </w:r>
      <w:r w:rsidR="00AF7735" w:rsidRPr="007C688A">
        <w:t>.</w:t>
      </w:r>
      <w:proofErr w:type="gramEnd"/>
    </w:p>
    <w:p w14:paraId="422222D0" w14:textId="77777777" w:rsidR="00AF7735" w:rsidRPr="00AF7735" w:rsidRDefault="00AF7735" w:rsidP="00AF7735">
      <w:pPr>
        <w:spacing w:before="100" w:beforeAutospacing="1" w:after="100" w:afterAutospacing="1" w:line="240" w:lineRule="auto"/>
        <w:ind w:left="720"/>
        <w:rPr>
          <w:rFonts w:ascii="Times New Roman" w:eastAsia="Times New Roman" w:hAnsi="Times New Roman" w:cs="Times New Roman"/>
          <w:sz w:val="24"/>
          <w:szCs w:val="24"/>
        </w:rPr>
      </w:pPr>
    </w:p>
    <w:p w14:paraId="6C6FE64E" w14:textId="5A15B76B" w:rsidR="00AF7735" w:rsidRPr="00A20696" w:rsidRDefault="00F51CC2" w:rsidP="00AF7735">
      <w:pPr>
        <w:spacing w:before="100" w:beforeAutospacing="1" w:after="100" w:afterAutospacing="1" w:line="240" w:lineRule="auto"/>
        <w:rPr>
          <w:rFonts w:ascii="Times New Roman" w:eastAsia="Times New Roman" w:hAnsi="Times New Roman" w:cs="Times New Roman"/>
          <w:sz w:val="24"/>
          <w:szCs w:val="24"/>
        </w:rPr>
      </w:pPr>
      <w:r w:rsidRPr="00F51CC2">
        <w:drawing>
          <wp:inline distT="0" distB="0" distL="0" distR="0" wp14:anchorId="0E2A5ADE" wp14:editId="3FEC7021">
            <wp:extent cx="5731510" cy="3175635"/>
            <wp:effectExtent l="0" t="0" r="2540" b="5715"/>
            <wp:docPr id="26847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73631" name=""/>
                    <pic:cNvPicPr/>
                  </pic:nvPicPr>
                  <pic:blipFill>
                    <a:blip r:embed="rId7"/>
                    <a:stretch>
                      <a:fillRect/>
                    </a:stretch>
                  </pic:blipFill>
                  <pic:spPr>
                    <a:xfrm>
                      <a:off x="0" y="0"/>
                      <a:ext cx="5731510" cy="3175635"/>
                    </a:xfrm>
                    <a:prstGeom prst="rect">
                      <a:avLst/>
                    </a:prstGeom>
                  </pic:spPr>
                </pic:pic>
              </a:graphicData>
            </a:graphic>
          </wp:inline>
        </w:drawing>
      </w:r>
    </w:p>
    <w:p w14:paraId="532012DC" w14:textId="77777777" w:rsidR="00A20696" w:rsidRPr="00A20696" w:rsidRDefault="00A20696" w:rsidP="00AF7735">
      <w:pPr>
        <w:pBdr>
          <w:top w:val="nil"/>
          <w:left w:val="nil"/>
          <w:bottom w:val="nil"/>
          <w:right w:val="nil"/>
          <w:between w:val="nil"/>
        </w:pBdr>
        <w:spacing w:after="200" w:line="240" w:lineRule="auto"/>
        <w:ind w:left="720"/>
        <w:rPr>
          <w:rFonts w:ascii="Arial" w:eastAsia="Arial" w:hAnsi="Arial" w:cs="Arial"/>
          <w:color w:val="000000"/>
          <w:sz w:val="20"/>
          <w:szCs w:val="20"/>
        </w:rPr>
      </w:pPr>
    </w:p>
    <w:p w14:paraId="419C090A" w14:textId="27F8D83F" w:rsidR="00A20696" w:rsidRDefault="00A20696">
      <w:pPr>
        <w:pBdr>
          <w:top w:val="nil"/>
          <w:left w:val="nil"/>
          <w:bottom w:val="nil"/>
          <w:right w:val="nil"/>
          <w:between w:val="nil"/>
        </w:pBdr>
        <w:spacing w:after="200" w:line="240" w:lineRule="auto"/>
        <w:rPr>
          <w:rFonts w:ascii="Arial" w:eastAsia="Arial" w:hAnsi="Arial" w:cs="Arial"/>
          <w:color w:val="000000"/>
          <w:sz w:val="20"/>
          <w:szCs w:val="20"/>
        </w:rPr>
      </w:pPr>
    </w:p>
    <w:p w14:paraId="45855261" w14:textId="70EE8CCE" w:rsidR="00720545" w:rsidRDefault="00000000">
      <w:r>
        <w:t xml:space="preserve"> </w:t>
      </w:r>
    </w:p>
    <w:sectPr w:rsidR="00720545">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D0C11"/>
    <w:multiLevelType w:val="hybridMultilevel"/>
    <w:tmpl w:val="602AC966"/>
    <w:lvl w:ilvl="0" w:tplc="BAFC090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0B1DE4"/>
    <w:multiLevelType w:val="multilevel"/>
    <w:tmpl w:val="EB4C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A03C1"/>
    <w:multiLevelType w:val="multilevel"/>
    <w:tmpl w:val="49D62636"/>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3" w15:restartNumberingAfterBreak="0">
    <w:nsid w:val="26277149"/>
    <w:multiLevelType w:val="multilevel"/>
    <w:tmpl w:val="BA38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00627A"/>
    <w:multiLevelType w:val="multilevel"/>
    <w:tmpl w:val="8170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742DE1"/>
    <w:multiLevelType w:val="multilevel"/>
    <w:tmpl w:val="7CBA5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F85592"/>
    <w:multiLevelType w:val="multilevel"/>
    <w:tmpl w:val="0FBE3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775AC7"/>
    <w:multiLevelType w:val="multilevel"/>
    <w:tmpl w:val="8AD0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BC5BB9"/>
    <w:multiLevelType w:val="multilevel"/>
    <w:tmpl w:val="429E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BF79E6"/>
    <w:multiLevelType w:val="multilevel"/>
    <w:tmpl w:val="6FA8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FA07F9"/>
    <w:multiLevelType w:val="multilevel"/>
    <w:tmpl w:val="FDDE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2568502">
    <w:abstractNumId w:val="9"/>
  </w:num>
  <w:num w:numId="2" w16cid:durableId="1645432796">
    <w:abstractNumId w:val="7"/>
  </w:num>
  <w:num w:numId="3" w16cid:durableId="275448970">
    <w:abstractNumId w:val="3"/>
  </w:num>
  <w:num w:numId="4" w16cid:durableId="1463424373">
    <w:abstractNumId w:val="1"/>
  </w:num>
  <w:num w:numId="5" w16cid:durableId="1771975069">
    <w:abstractNumId w:val="4"/>
  </w:num>
  <w:num w:numId="6" w16cid:durableId="542443052">
    <w:abstractNumId w:val="2"/>
  </w:num>
  <w:num w:numId="7" w16cid:durableId="1289777035">
    <w:abstractNumId w:val="8"/>
  </w:num>
  <w:num w:numId="8" w16cid:durableId="674189717">
    <w:abstractNumId w:val="10"/>
  </w:num>
  <w:num w:numId="9" w16cid:durableId="1101997984">
    <w:abstractNumId w:val="0"/>
  </w:num>
  <w:num w:numId="10" w16cid:durableId="971836086">
    <w:abstractNumId w:val="5"/>
  </w:num>
  <w:num w:numId="11" w16cid:durableId="6659834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545"/>
    <w:rsid w:val="00642171"/>
    <w:rsid w:val="006F2744"/>
    <w:rsid w:val="00720545"/>
    <w:rsid w:val="007C688A"/>
    <w:rsid w:val="00A136B3"/>
    <w:rsid w:val="00A20696"/>
    <w:rsid w:val="00AF7735"/>
    <w:rsid w:val="00D043A9"/>
    <w:rsid w:val="00F51C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881C7"/>
  <w15:docId w15:val="{2E7B4615-B819-423E-B84E-0116EE79E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31775">
      <w:bodyDiv w:val="1"/>
      <w:marLeft w:val="0"/>
      <w:marRight w:val="0"/>
      <w:marTop w:val="0"/>
      <w:marBottom w:val="0"/>
      <w:divBdr>
        <w:top w:val="none" w:sz="0" w:space="0" w:color="auto"/>
        <w:left w:val="none" w:sz="0" w:space="0" w:color="auto"/>
        <w:bottom w:val="none" w:sz="0" w:space="0" w:color="auto"/>
        <w:right w:val="none" w:sz="0" w:space="0" w:color="auto"/>
      </w:divBdr>
    </w:div>
    <w:div w:id="112866722">
      <w:bodyDiv w:val="1"/>
      <w:marLeft w:val="0"/>
      <w:marRight w:val="0"/>
      <w:marTop w:val="0"/>
      <w:marBottom w:val="0"/>
      <w:divBdr>
        <w:top w:val="none" w:sz="0" w:space="0" w:color="auto"/>
        <w:left w:val="none" w:sz="0" w:space="0" w:color="auto"/>
        <w:bottom w:val="none" w:sz="0" w:space="0" w:color="auto"/>
        <w:right w:val="none" w:sz="0" w:space="0" w:color="auto"/>
      </w:divBdr>
    </w:div>
    <w:div w:id="126356876">
      <w:bodyDiv w:val="1"/>
      <w:marLeft w:val="0"/>
      <w:marRight w:val="0"/>
      <w:marTop w:val="0"/>
      <w:marBottom w:val="0"/>
      <w:divBdr>
        <w:top w:val="none" w:sz="0" w:space="0" w:color="auto"/>
        <w:left w:val="none" w:sz="0" w:space="0" w:color="auto"/>
        <w:bottom w:val="none" w:sz="0" w:space="0" w:color="auto"/>
        <w:right w:val="none" w:sz="0" w:space="0" w:color="auto"/>
      </w:divBdr>
    </w:div>
    <w:div w:id="141044521">
      <w:bodyDiv w:val="1"/>
      <w:marLeft w:val="0"/>
      <w:marRight w:val="0"/>
      <w:marTop w:val="0"/>
      <w:marBottom w:val="0"/>
      <w:divBdr>
        <w:top w:val="none" w:sz="0" w:space="0" w:color="auto"/>
        <w:left w:val="none" w:sz="0" w:space="0" w:color="auto"/>
        <w:bottom w:val="none" w:sz="0" w:space="0" w:color="auto"/>
        <w:right w:val="none" w:sz="0" w:space="0" w:color="auto"/>
      </w:divBdr>
    </w:div>
    <w:div w:id="143741169">
      <w:bodyDiv w:val="1"/>
      <w:marLeft w:val="0"/>
      <w:marRight w:val="0"/>
      <w:marTop w:val="0"/>
      <w:marBottom w:val="0"/>
      <w:divBdr>
        <w:top w:val="none" w:sz="0" w:space="0" w:color="auto"/>
        <w:left w:val="none" w:sz="0" w:space="0" w:color="auto"/>
        <w:bottom w:val="none" w:sz="0" w:space="0" w:color="auto"/>
        <w:right w:val="none" w:sz="0" w:space="0" w:color="auto"/>
      </w:divBdr>
    </w:div>
    <w:div w:id="209345317">
      <w:bodyDiv w:val="1"/>
      <w:marLeft w:val="0"/>
      <w:marRight w:val="0"/>
      <w:marTop w:val="0"/>
      <w:marBottom w:val="0"/>
      <w:divBdr>
        <w:top w:val="none" w:sz="0" w:space="0" w:color="auto"/>
        <w:left w:val="none" w:sz="0" w:space="0" w:color="auto"/>
        <w:bottom w:val="none" w:sz="0" w:space="0" w:color="auto"/>
        <w:right w:val="none" w:sz="0" w:space="0" w:color="auto"/>
      </w:divBdr>
    </w:div>
    <w:div w:id="287318182">
      <w:bodyDiv w:val="1"/>
      <w:marLeft w:val="0"/>
      <w:marRight w:val="0"/>
      <w:marTop w:val="0"/>
      <w:marBottom w:val="0"/>
      <w:divBdr>
        <w:top w:val="none" w:sz="0" w:space="0" w:color="auto"/>
        <w:left w:val="none" w:sz="0" w:space="0" w:color="auto"/>
        <w:bottom w:val="none" w:sz="0" w:space="0" w:color="auto"/>
        <w:right w:val="none" w:sz="0" w:space="0" w:color="auto"/>
      </w:divBdr>
    </w:div>
    <w:div w:id="348994804">
      <w:bodyDiv w:val="1"/>
      <w:marLeft w:val="0"/>
      <w:marRight w:val="0"/>
      <w:marTop w:val="0"/>
      <w:marBottom w:val="0"/>
      <w:divBdr>
        <w:top w:val="none" w:sz="0" w:space="0" w:color="auto"/>
        <w:left w:val="none" w:sz="0" w:space="0" w:color="auto"/>
        <w:bottom w:val="none" w:sz="0" w:space="0" w:color="auto"/>
        <w:right w:val="none" w:sz="0" w:space="0" w:color="auto"/>
      </w:divBdr>
    </w:div>
    <w:div w:id="381370440">
      <w:bodyDiv w:val="1"/>
      <w:marLeft w:val="0"/>
      <w:marRight w:val="0"/>
      <w:marTop w:val="0"/>
      <w:marBottom w:val="0"/>
      <w:divBdr>
        <w:top w:val="none" w:sz="0" w:space="0" w:color="auto"/>
        <w:left w:val="none" w:sz="0" w:space="0" w:color="auto"/>
        <w:bottom w:val="none" w:sz="0" w:space="0" w:color="auto"/>
        <w:right w:val="none" w:sz="0" w:space="0" w:color="auto"/>
      </w:divBdr>
    </w:div>
    <w:div w:id="381684127">
      <w:bodyDiv w:val="1"/>
      <w:marLeft w:val="0"/>
      <w:marRight w:val="0"/>
      <w:marTop w:val="0"/>
      <w:marBottom w:val="0"/>
      <w:divBdr>
        <w:top w:val="none" w:sz="0" w:space="0" w:color="auto"/>
        <w:left w:val="none" w:sz="0" w:space="0" w:color="auto"/>
        <w:bottom w:val="none" w:sz="0" w:space="0" w:color="auto"/>
        <w:right w:val="none" w:sz="0" w:space="0" w:color="auto"/>
      </w:divBdr>
    </w:div>
    <w:div w:id="482041098">
      <w:bodyDiv w:val="1"/>
      <w:marLeft w:val="0"/>
      <w:marRight w:val="0"/>
      <w:marTop w:val="0"/>
      <w:marBottom w:val="0"/>
      <w:divBdr>
        <w:top w:val="none" w:sz="0" w:space="0" w:color="auto"/>
        <w:left w:val="none" w:sz="0" w:space="0" w:color="auto"/>
        <w:bottom w:val="none" w:sz="0" w:space="0" w:color="auto"/>
        <w:right w:val="none" w:sz="0" w:space="0" w:color="auto"/>
      </w:divBdr>
    </w:div>
    <w:div w:id="530727823">
      <w:bodyDiv w:val="1"/>
      <w:marLeft w:val="0"/>
      <w:marRight w:val="0"/>
      <w:marTop w:val="0"/>
      <w:marBottom w:val="0"/>
      <w:divBdr>
        <w:top w:val="none" w:sz="0" w:space="0" w:color="auto"/>
        <w:left w:val="none" w:sz="0" w:space="0" w:color="auto"/>
        <w:bottom w:val="none" w:sz="0" w:space="0" w:color="auto"/>
        <w:right w:val="none" w:sz="0" w:space="0" w:color="auto"/>
      </w:divBdr>
    </w:div>
    <w:div w:id="668144916">
      <w:bodyDiv w:val="1"/>
      <w:marLeft w:val="0"/>
      <w:marRight w:val="0"/>
      <w:marTop w:val="0"/>
      <w:marBottom w:val="0"/>
      <w:divBdr>
        <w:top w:val="none" w:sz="0" w:space="0" w:color="auto"/>
        <w:left w:val="none" w:sz="0" w:space="0" w:color="auto"/>
        <w:bottom w:val="none" w:sz="0" w:space="0" w:color="auto"/>
        <w:right w:val="none" w:sz="0" w:space="0" w:color="auto"/>
      </w:divBdr>
    </w:div>
    <w:div w:id="743451075">
      <w:bodyDiv w:val="1"/>
      <w:marLeft w:val="0"/>
      <w:marRight w:val="0"/>
      <w:marTop w:val="0"/>
      <w:marBottom w:val="0"/>
      <w:divBdr>
        <w:top w:val="none" w:sz="0" w:space="0" w:color="auto"/>
        <w:left w:val="none" w:sz="0" w:space="0" w:color="auto"/>
        <w:bottom w:val="none" w:sz="0" w:space="0" w:color="auto"/>
        <w:right w:val="none" w:sz="0" w:space="0" w:color="auto"/>
      </w:divBdr>
    </w:div>
    <w:div w:id="849879554">
      <w:bodyDiv w:val="1"/>
      <w:marLeft w:val="0"/>
      <w:marRight w:val="0"/>
      <w:marTop w:val="0"/>
      <w:marBottom w:val="0"/>
      <w:divBdr>
        <w:top w:val="none" w:sz="0" w:space="0" w:color="auto"/>
        <w:left w:val="none" w:sz="0" w:space="0" w:color="auto"/>
        <w:bottom w:val="none" w:sz="0" w:space="0" w:color="auto"/>
        <w:right w:val="none" w:sz="0" w:space="0" w:color="auto"/>
      </w:divBdr>
    </w:div>
    <w:div w:id="1000738045">
      <w:bodyDiv w:val="1"/>
      <w:marLeft w:val="0"/>
      <w:marRight w:val="0"/>
      <w:marTop w:val="0"/>
      <w:marBottom w:val="0"/>
      <w:divBdr>
        <w:top w:val="none" w:sz="0" w:space="0" w:color="auto"/>
        <w:left w:val="none" w:sz="0" w:space="0" w:color="auto"/>
        <w:bottom w:val="none" w:sz="0" w:space="0" w:color="auto"/>
        <w:right w:val="none" w:sz="0" w:space="0" w:color="auto"/>
      </w:divBdr>
    </w:div>
    <w:div w:id="1053623260">
      <w:bodyDiv w:val="1"/>
      <w:marLeft w:val="0"/>
      <w:marRight w:val="0"/>
      <w:marTop w:val="0"/>
      <w:marBottom w:val="0"/>
      <w:divBdr>
        <w:top w:val="none" w:sz="0" w:space="0" w:color="auto"/>
        <w:left w:val="none" w:sz="0" w:space="0" w:color="auto"/>
        <w:bottom w:val="none" w:sz="0" w:space="0" w:color="auto"/>
        <w:right w:val="none" w:sz="0" w:space="0" w:color="auto"/>
      </w:divBdr>
    </w:div>
    <w:div w:id="1159808390">
      <w:bodyDiv w:val="1"/>
      <w:marLeft w:val="0"/>
      <w:marRight w:val="0"/>
      <w:marTop w:val="0"/>
      <w:marBottom w:val="0"/>
      <w:divBdr>
        <w:top w:val="none" w:sz="0" w:space="0" w:color="auto"/>
        <w:left w:val="none" w:sz="0" w:space="0" w:color="auto"/>
        <w:bottom w:val="none" w:sz="0" w:space="0" w:color="auto"/>
        <w:right w:val="none" w:sz="0" w:space="0" w:color="auto"/>
      </w:divBdr>
    </w:div>
    <w:div w:id="1165826404">
      <w:bodyDiv w:val="1"/>
      <w:marLeft w:val="0"/>
      <w:marRight w:val="0"/>
      <w:marTop w:val="0"/>
      <w:marBottom w:val="0"/>
      <w:divBdr>
        <w:top w:val="none" w:sz="0" w:space="0" w:color="auto"/>
        <w:left w:val="none" w:sz="0" w:space="0" w:color="auto"/>
        <w:bottom w:val="none" w:sz="0" w:space="0" w:color="auto"/>
        <w:right w:val="none" w:sz="0" w:space="0" w:color="auto"/>
      </w:divBdr>
    </w:div>
    <w:div w:id="1345673870">
      <w:bodyDiv w:val="1"/>
      <w:marLeft w:val="0"/>
      <w:marRight w:val="0"/>
      <w:marTop w:val="0"/>
      <w:marBottom w:val="0"/>
      <w:divBdr>
        <w:top w:val="none" w:sz="0" w:space="0" w:color="auto"/>
        <w:left w:val="none" w:sz="0" w:space="0" w:color="auto"/>
        <w:bottom w:val="none" w:sz="0" w:space="0" w:color="auto"/>
        <w:right w:val="none" w:sz="0" w:space="0" w:color="auto"/>
      </w:divBdr>
    </w:div>
    <w:div w:id="1455296991">
      <w:bodyDiv w:val="1"/>
      <w:marLeft w:val="0"/>
      <w:marRight w:val="0"/>
      <w:marTop w:val="0"/>
      <w:marBottom w:val="0"/>
      <w:divBdr>
        <w:top w:val="none" w:sz="0" w:space="0" w:color="auto"/>
        <w:left w:val="none" w:sz="0" w:space="0" w:color="auto"/>
        <w:bottom w:val="none" w:sz="0" w:space="0" w:color="auto"/>
        <w:right w:val="none" w:sz="0" w:space="0" w:color="auto"/>
      </w:divBdr>
    </w:div>
    <w:div w:id="1647273388">
      <w:bodyDiv w:val="1"/>
      <w:marLeft w:val="0"/>
      <w:marRight w:val="0"/>
      <w:marTop w:val="0"/>
      <w:marBottom w:val="0"/>
      <w:divBdr>
        <w:top w:val="none" w:sz="0" w:space="0" w:color="auto"/>
        <w:left w:val="none" w:sz="0" w:space="0" w:color="auto"/>
        <w:bottom w:val="none" w:sz="0" w:space="0" w:color="auto"/>
        <w:right w:val="none" w:sz="0" w:space="0" w:color="auto"/>
      </w:divBdr>
    </w:div>
    <w:div w:id="1866865089">
      <w:bodyDiv w:val="1"/>
      <w:marLeft w:val="0"/>
      <w:marRight w:val="0"/>
      <w:marTop w:val="0"/>
      <w:marBottom w:val="0"/>
      <w:divBdr>
        <w:top w:val="none" w:sz="0" w:space="0" w:color="auto"/>
        <w:left w:val="none" w:sz="0" w:space="0" w:color="auto"/>
        <w:bottom w:val="none" w:sz="0" w:space="0" w:color="auto"/>
        <w:right w:val="none" w:sz="0" w:space="0" w:color="auto"/>
      </w:divBdr>
    </w:div>
    <w:div w:id="20238212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mzENzSK+DYbDTtIJ60h9xwbcnw==">CgMxLjA4AHIhMVdSNElNS1BzRi1LdVRvbU94ZWRVWFh1U0pHdEFEMkFi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Pages>
  <Words>387</Words>
  <Characters>2209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JAGESHWER VISHWAKARMA</cp:lastModifiedBy>
  <cp:revision>5</cp:revision>
  <dcterms:created xsi:type="dcterms:W3CDTF">2024-01-13T08:53:00Z</dcterms:created>
  <dcterms:modified xsi:type="dcterms:W3CDTF">2025-06-26T19:56:00Z</dcterms:modified>
</cp:coreProperties>
</file>