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34AC2" w:rsidRDefault="007D0FAD">
      <w:pPr>
        <w:spacing w:after="60"/>
      </w:pPr>
      <w:bookmarkStart w:id="0" w:name="_GoBack"/>
      <w:bookmarkEnd w:id="0"/>
      <w:r>
        <w:rPr>
          <w:b/>
          <w:bCs/>
          <w:color w:val="1E3A5F"/>
          <w:sz w:val="56"/>
          <w:szCs w:val="56"/>
        </w:rPr>
        <w:t>THE BILL JDVS</w:t>
      </w:r>
    </w:p>
    <w:p w:rsidR="00D34AC2" w:rsidRDefault="007D0FAD">
      <w:pPr>
        <w:spacing w:after="60"/>
      </w:pPr>
      <w:r>
        <w:rPr>
          <w:b/>
          <w:bCs/>
          <w:color w:val="2471A3"/>
          <w:sz w:val="36"/>
          <w:szCs w:val="36"/>
        </w:rPr>
        <w:t>Plan de Aseguramiento de Calidad (QA)</w:t>
      </w:r>
    </w:p>
    <w:p w:rsidR="00D34AC2" w:rsidRDefault="007D0FAD">
      <w:pPr>
        <w:spacing w:after="60"/>
      </w:pPr>
      <w:r>
        <w:rPr>
          <w:color w:val="888888"/>
          <w:sz w:val="18"/>
          <w:szCs w:val="18"/>
        </w:rPr>
        <w:t>Versión 3.0 DEFINITIVA  |  Mayo 2026  |  Equipo JDVS</w:t>
      </w:r>
    </w:p>
    <w:p w:rsidR="00D34AC2" w:rsidRDefault="007D0FAD">
      <w:pPr>
        <w:spacing w:after="200"/>
      </w:pPr>
      <w:r>
        <w:rPr>
          <w:b/>
          <w:bCs/>
          <w:color w:val="1E8449"/>
          <w:sz w:val="16"/>
          <w:szCs w:val="16"/>
        </w:rPr>
        <w:t>Cubre los 3 requisitos del apartado de Calidad: Plan de QA · Criterios de Aceptación (RF+RNF+HU) · Lista de Verificación Aplicada</w:t>
      </w:r>
    </w:p>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1. Propósito y Alcance</w:t>
      </w:r>
    </w:p>
    <w:p w:rsidR="00D34AC2" w:rsidRDefault="007D0FAD">
      <w:pPr>
        <w:spacing w:before="60" w:after="60"/>
      </w:pPr>
      <w:r>
        <w:rPr>
          <w:color w:val="2C2C2C"/>
        </w:rPr>
        <w:t>Este documento satisface los tres (3) ítems del apartado de Calidad del checklist académico de entrega final del proyecto The Bill JDVS:</w:t>
      </w:r>
    </w:p>
    <w:p w:rsidR="00D34AC2" w:rsidRDefault="007D0FAD">
      <w:pPr>
        <w:pStyle w:val="Prrafodelista"/>
        <w:numPr>
          <w:ilvl w:val="0"/>
          <w:numId w:val="2"/>
        </w:numPr>
        <w:spacing w:before="40" w:after="40"/>
      </w:pPr>
      <w:r>
        <w:rPr>
          <w:color w:val="2C2C2C"/>
        </w:rPr>
        <w:t>Ítem 1 — Plan o documento de aseguramiento de calidad: Secciones 2, 3, 5 y 6 de este documento.</w:t>
      </w:r>
    </w:p>
    <w:p w:rsidR="00D34AC2" w:rsidRDefault="007D0FAD">
      <w:pPr>
        <w:pStyle w:val="Prrafodelista"/>
        <w:numPr>
          <w:ilvl w:val="0"/>
          <w:numId w:val="2"/>
        </w:numPr>
        <w:spacing w:before="40" w:after="40"/>
      </w:pPr>
      <w:r>
        <w:rPr>
          <w:color w:val="2C2C2C"/>
        </w:rPr>
        <w:t>Ítem 2 — Criterios de aceptación del sistema: Sección 4 consolida los criterios de TODOS los RF (RF-01 a RF-08), RNF (RNF-01 a RNF-07) e Historias de Usuario (HU-01 a HU-07).</w:t>
      </w:r>
    </w:p>
    <w:p w:rsidR="00D34AC2" w:rsidRDefault="007D0FAD">
      <w:pPr>
        <w:pStyle w:val="Prrafodelista"/>
        <w:numPr>
          <w:ilvl w:val="0"/>
          <w:numId w:val="2"/>
        </w:numPr>
        <w:spacing w:before="40" w:after="40"/>
      </w:pPr>
      <w:r>
        <w:rPr>
          <w:color w:val="2C2C2C"/>
        </w:rPr>
        <w:t>Ítem 3 — Lista de verificación de revisión de artefactos (aplicada durante el des</w:t>
      </w:r>
      <w:r>
        <w:rPr>
          <w:color w:val="2C2C2C"/>
        </w:rPr>
        <w:t>arrollo): Sección 5 presenta el checklist con estado, responsable, documento referenciado y semana de aplicación.</w:t>
      </w:r>
    </w:p>
    <w:p w:rsidR="00D34AC2" w:rsidRDefault="00D34AC2">
      <w:pPr>
        <w:spacing w:before="80"/>
      </w:pPr>
    </w:p>
    <w:p w:rsidR="00D34AC2" w:rsidRDefault="007D0FAD">
      <w:pPr>
        <w:spacing w:before="60" w:after="60"/>
      </w:pPr>
      <w:r>
        <w:rPr>
          <w:color w:val="2C2C2C"/>
        </w:rPr>
        <w:t>Versión 3.0 incorpora: (a) criterios de HU-01 a HU-07 consolidados en la Sección 4; (b) columna 'Revisado en' con fecha de aplicación en cada</w:t>
      </w:r>
      <w:r>
        <w:rPr>
          <w:color w:val="2C2C2C"/>
        </w:rPr>
        <w:t xml:space="preserve"> subsección del checklist; (c) confirmación de todos los artefactos entregados en el paquete final.</w:t>
      </w:r>
    </w:p>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2. Plan de Aseguramiento de Calidad</w:t>
      </w:r>
    </w:p>
    <w:p w:rsidR="00D34AC2" w:rsidRDefault="007D0FAD">
      <w:pPr>
        <w:spacing w:before="180" w:after="80"/>
      </w:pPr>
      <w:r>
        <w:rPr>
          <w:b/>
          <w:bCs/>
          <w:color w:val="2471A3"/>
          <w:sz w:val="22"/>
          <w:szCs w:val="22"/>
        </w:rPr>
        <w:t>2.1 Objetivos de Calidad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000"/>
        <w:gridCol w:w="2560"/>
      </w:tblGrid>
      <w:tr w:rsidR="00D34AC2">
        <w:tblPrEx>
          <w:tblCellMar>
            <w:top w:w="0" w:type="dxa"/>
            <w:bottom w:w="0" w:type="dxa"/>
          </w:tblCellMar>
        </w:tblPrEx>
        <w:trPr>
          <w:tblHeader/>
        </w:trPr>
        <w:tc>
          <w:tcPr>
            <w:tcW w:w="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Objetivo</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Métrica de Medición</w:t>
            </w:r>
          </w:p>
        </w:tc>
        <w:tc>
          <w:tcPr>
            <w:tcW w:w="25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Meta Aceptable</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Exactitud de la conciliación automática</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 de pagos asociados correctamente a su factura sin intervención humana</w:t>
            </w:r>
          </w:p>
        </w:tc>
        <w:tc>
          <w:tcPr>
            <w:tcW w:w="2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≥99% de conciliaciones automáticas exitosas</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Eliminación de errores de digitación en facturas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 de facturas generadas con error de datos vs. total emitido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≤1% con error (meta final: 0%)</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Disponibilidad del portal de pagos</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Uptime medido mensualmente con herramienta de monitoreo</w:t>
            </w:r>
          </w:p>
        </w:tc>
        <w:tc>
          <w:tcPr>
            <w:tcW w:w="2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≥99.9% uptime (RNF-06)</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Rendimiento de la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Tiempo de respuesta bajo carga operativa normal (100 usuarios)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≤2 segundos (RNF-05)</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Cobertura de recordatorios automáticos</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 de facturas próximas a vencer con recordatorio enviado a tiempo</w:t>
            </w:r>
          </w:p>
        </w:tc>
        <w:tc>
          <w:tcPr>
            <w:tcW w:w="2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≥98% de facturas con recordatorio correcto</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Integridad de datos (ACID)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Inconsistencias detectadas en auditorías mensuales de la BD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0 inconsistencias en registros de pago (RNF-03)</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Completitud académica</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 de ítems del checklist completados en GitHub</w:t>
            </w:r>
          </w:p>
        </w:tc>
        <w:tc>
          <w:tcPr>
            <w:tcW w:w="25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100% antes del 28/05/2026</w:t>
            </w:r>
          </w:p>
        </w:tc>
      </w:tr>
    </w:tbl>
    <w:p w:rsidR="00D34AC2" w:rsidRDefault="00D34AC2">
      <w:pPr>
        <w:spacing w:before="80"/>
      </w:pPr>
    </w:p>
    <w:p w:rsidR="00D34AC2" w:rsidRDefault="007D0FAD">
      <w:pPr>
        <w:spacing w:before="180" w:after="80"/>
      </w:pPr>
      <w:r>
        <w:rPr>
          <w:b/>
          <w:bCs/>
          <w:color w:val="2471A3"/>
          <w:sz w:val="22"/>
          <w:szCs w:val="22"/>
        </w:rPr>
        <w:t>2.2 Procesos de QA por Fase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360"/>
        <w:gridCol w:w="3200"/>
      </w:tblGrid>
      <w:tr w:rsidR="00D34AC2">
        <w:tblPrEx>
          <w:tblCellMar>
            <w:top w:w="0" w:type="dxa"/>
            <w:bottom w:w="0" w:type="dxa"/>
          </w:tblCellMar>
        </w:tblPrEx>
        <w:trPr>
          <w:tblHeader/>
        </w:trPr>
        <w:tc>
          <w:tcPr>
            <w:tcW w:w="2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lastRenderedPageBreak/>
              <w:t>Proceso</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Cuándo</w:t>
            </w:r>
          </w:p>
        </w:tc>
        <w:tc>
          <w:tcPr>
            <w:tcW w:w="23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3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Entregable de Calidad</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Revisión de Requisitos</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Semana 2</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 + PM</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RF y RNF aprobados por el sponsor. Criterios de aceptación formalizados.</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Revisión de Arquitectura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Semana 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Tech Lead + TI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Diagrama C4 aprobado. Esquema de BD y adaptador ERP validados por TI.</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Pruebas Unitarias de Módulos</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Semanas 3–10 (por módulo)</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Desarrolladores</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Cada módulo sin errores críticos antes de integración al sprint siguiente.</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Pruebas de Integración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Semanas 9–10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Todo el equipo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Flujo completo: ERP → Factura → Recordatorio → Pago → Conciliación sin errores.</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Piloto Shadow Billing</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Semana 11</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PM + Equipo Finanzas</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Resultados del sistema iguales al proceso manual durante 2 semanas completas.</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Revisión de Artefactos Académicos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Semana 10–11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Checklist Sección 5 completado al 100% con fechas de revisión documentadas.</w:t>
            </w:r>
          </w:p>
        </w:tc>
      </w:tr>
      <w:tr w:rsidR="00D34AC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Auditoría de Seguridad</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Semana 12 (pre-lanzamiento)</w:t>
            </w:r>
          </w:p>
        </w:tc>
        <w:tc>
          <w:tcPr>
            <w:tcW w:w="23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Tech Lead</w:t>
            </w:r>
          </w:p>
        </w:tc>
        <w:tc>
          <w:tcPr>
            <w:tcW w:w="3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 vulnerabilidades críticas. HTTPS activo. RBAC y logs de auditoría validados.</w:t>
            </w:r>
          </w:p>
        </w:tc>
      </w:tr>
    </w:tbl>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3. Estado General del Repositorio — v3.0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
        <w:gridCol w:w="1852"/>
        <w:gridCol w:w="4562"/>
        <w:gridCol w:w="1151"/>
        <w:gridCol w:w="1321"/>
      </w:tblGrid>
      <w:tr w:rsidR="00D34AC2">
        <w:tblPrEx>
          <w:tblCellMar>
            <w:top w:w="0" w:type="dxa"/>
            <w:bottom w:w="0" w:type="dxa"/>
          </w:tblCellMar>
        </w:tblPrEx>
        <w:trPr>
          <w:tblHeader/>
        </w:trPr>
        <w:tc>
          <w:tcPr>
            <w:tcW w:w="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Artefacto</w:t>
            </w:r>
          </w:p>
        </w:tc>
        <w:tc>
          <w:tcPr>
            <w:tcW w:w="31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Archivo</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Estado</w:t>
            </w:r>
          </w:p>
        </w:tc>
        <w:tc>
          <w:tcPr>
            <w:tcW w:w="1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Sección GitHub</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01</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Matriz de Interesados (Stakeholders)</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01_Matriz_Interesados_TheBillJDVS.docx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Confirmado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/01-gestion</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02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Plan de Gestión del Proyecto (incl. Gantt, SMART, Alcance)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02_Plan_Gestion_Proyecto_TheBillJDVS.docx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Confirmado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/01-gestion</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03</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Casos de Uso CU-01 a CU-05 + Historias de Usuario HU-01 a HU-07</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03_CasosDeUso_HistoriasUsuario_TheBillJDVS.docx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Confirmado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/02-req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04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Plan de Aseguramiento de Calidad v3.0 (este documento)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04_Plan_Calidad_v3_TheBillJDVS.docx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Definitivo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/05-calidad</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05</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Acta de Constitución del Proyecto (Project Charter)</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05_Project_Charter_TheBillJDVS.docx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/01-gestion</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06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Documento RF-01 a RF-08 con prioridad y criterios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06_Requisitos_Funcionales_TheBillJDVS.docx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/02-req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lastRenderedPageBreak/>
              <w:t>07</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Documento RNF-01 a RNF-07 clasificado por categoría</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07_Requisitos_NoFuncionales_TheBillJDVS.docx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/02-req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08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Diagrama de Flujo As-Is (proceso manual actual)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08_Diagrama_AsIs_TheBillJDVS.html</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/03-arq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09</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Diagrama de Flujo To-Be (proceso automatizado)</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09_Diagrama_ToBe_TheBillJDVS.html</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/03-arq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Registro de Riesgos (Matriz P×I + Bitácora + Contingencia)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10_Registro_Riesgos_TheBillJDVS.docx</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Entregado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/04-riesgos</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Diagramas C1/C2/C3 + ADR (Decisiones de diseño)</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Documentacion_final.pdf</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Confirmado</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/03-arq</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Presentación Final PPT/PDF</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PENDIENTE</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Pendiente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/presentacion</w:t>
            </w:r>
          </w:p>
        </w:tc>
      </w:tr>
      <w:tr w:rsidR="00D34AC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README.md con índice y enlaces a todos los artefactos</w:t>
            </w:r>
          </w:p>
        </w:tc>
        <w:tc>
          <w:tcPr>
            <w:tcW w:w="31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PENDIENTE</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6"/>
                <w:szCs w:val="16"/>
              </w:rPr>
              <w:t>☐</w:t>
            </w:r>
            <w:r>
              <w:rPr>
                <w:b/>
                <w:bCs/>
                <w:color w:val="FFFFFF"/>
                <w:sz w:val="16"/>
                <w:szCs w:val="16"/>
              </w:rPr>
              <w:t xml:space="preserve"> Pendiente</w:t>
            </w:r>
          </w:p>
        </w:tc>
        <w:tc>
          <w:tcPr>
            <w:tcW w:w="1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 (raíz)</w:t>
            </w:r>
          </w:p>
        </w:tc>
      </w:tr>
    </w:tbl>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4. Criterios de Aceptación del Sistema — Cobertura Completa</w:t>
      </w:r>
    </w:p>
    <w:p w:rsidR="00D34AC2" w:rsidRDefault="007D0FAD">
      <w:pPr>
        <w:spacing w:before="60" w:after="60"/>
      </w:pPr>
      <w:r>
        <w:rPr>
          <w:color w:val="2C2C2C"/>
        </w:rPr>
        <w:t>Esta sección consolida los criterios de aceptación de TODOS los requisitos del sistema. El evaluador puede verificar cualquier artefacto trazando desde esta tabla al documento de origen correspondiente.</w:t>
      </w:r>
    </w:p>
    <w:p w:rsidR="00D34AC2" w:rsidRDefault="00D34AC2">
      <w:pPr>
        <w:spacing w:before="80"/>
      </w:pPr>
    </w:p>
    <w:p w:rsidR="00D34AC2" w:rsidRDefault="007D0FAD">
      <w:pPr>
        <w:spacing w:before="180" w:after="80"/>
      </w:pPr>
      <w:r>
        <w:rPr>
          <w:b/>
          <w:bCs/>
          <w:color w:val="2471A3"/>
          <w:sz w:val="22"/>
          <w:szCs w:val="22"/>
        </w:rPr>
        <w:t>4.1 Requisitos Funcionales (RF-01 a RF-08)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471"/>
        <w:gridCol w:w="1031"/>
        <w:gridCol w:w="3325"/>
        <w:gridCol w:w="2765"/>
      </w:tblGrid>
      <w:tr w:rsidR="00D34AC2">
        <w:tblPrEx>
          <w:tblCellMar>
            <w:top w:w="0" w:type="dxa"/>
            <w:bottom w:w="0" w:type="dxa"/>
          </w:tblCellMar>
        </w:tblPrEx>
        <w:trPr>
          <w:tblHeader/>
        </w:trPr>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ID</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Requisito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Prioridad</w:t>
            </w:r>
          </w:p>
        </w:tc>
        <w:tc>
          <w:tcPr>
            <w:tcW w:w="3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Criterio de Aceptación</w:t>
            </w:r>
          </w:p>
        </w:tc>
        <w:tc>
          <w:tcPr>
            <w:tcW w:w="2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Método de Verificación</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RF-01</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Integración ERP</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100% de registros importados diariamente. Sin nulos en campos críticos. Log de errores disponible para el equipo.</w:t>
            </w:r>
          </w:p>
        </w:tc>
        <w:tc>
          <w:tcPr>
            <w:tcW w:w="2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Prueba con dataset completo y con dataset de errores intencionales.</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RF-02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Generación de Facturación</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Facturas PDF/XML coinciden al 100% con la orden de compra. 0% errores de digitación. Formatos válidos según estándar fiscal.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Revisión cruzada de 50 fa</w:t>
            </w:r>
            <w:r>
              <w:rPr>
                <w:color w:val="1A1A1A"/>
                <w:sz w:val="18"/>
                <w:szCs w:val="18"/>
              </w:rPr>
              <w:t>cturas generadas vs. órdenes de compra fuente.</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RF-03</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Portal de Autoservicio B2B</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Autenticación HTTPS. Solo ve sus propias facturas (RBAC). Descarga PDF de historial. Carga en ≤2 s.</w:t>
            </w:r>
          </w:p>
        </w:tc>
        <w:tc>
          <w:tcPr>
            <w:tcW w:w="2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Prueba de acceso con 3 roles; cruce de datos de otro cliente retorna error 403.</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RF-04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Pagos en Línea</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Monto pre-cargado en pasarela igual al de la factura. Enlace expira tras pago exitoso. Pasarela de respaldo activa en ≤30 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Prueba pago end-to-end; simulación de fallo de pasarela principal.</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lastRenderedPageBreak/>
              <w:t>RF-05</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Motor de Notificaciones</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Recordatorio enviado −5 días, día 0 y +3 días. Si la factura está pagada, recordatorio se cancela. Bounce registrado en log.</w:t>
            </w:r>
          </w:p>
        </w:tc>
        <w:tc>
          <w:tcPr>
            <w:tcW w:w="2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Simulación de ciclo con fechas de prueba; revisión del log de envíos.</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RF-06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Conciliación Automática</w:t>
            </w:r>
          </w:p>
        </w:tc>
        <w:tc>
          <w:tcPr>
            <w:tcW w:w="8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Alta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Solo acepta webhooks con firma digital válida. Estado cambia a 'Pagada' en tiempo real. Log inalterable por cada cambio.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Prueba con webhook válido, inválido y duplicado; verificar log de auditoría.</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RF-07</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Dashboard de Métricas</w:t>
            </w:r>
          </w:p>
        </w:tc>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vAlign w:val="center"/>
          </w:tcPr>
          <w:p w:rsidR="00D34AC2" w:rsidRDefault="007D0FAD">
            <w:pPr>
              <w:jc w:val="center"/>
            </w:pPr>
            <w:r>
              <w:rPr>
                <w:b/>
                <w:bCs/>
                <w:color w:val="FFFFFF"/>
                <w:sz w:val="18"/>
                <w:szCs w:val="18"/>
              </w:rPr>
              <w:t>Media</w:t>
            </w:r>
          </w:p>
        </w:tc>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DSO y top deudores en ≤2 s. Filtros por fecha y cliente funcionales. Exportación CSV/PDF sin errores.</w:t>
            </w:r>
          </w:p>
        </w:tc>
        <w:tc>
          <w:tcPr>
            <w:tcW w:w="2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Prueba con 1000+ facturas en BD; verificación vs. cálculo manual.</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RF-08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Alertas de Morosidad</w:t>
            </w:r>
          </w:p>
        </w:tc>
        <w:tc>
          <w:tcPr>
            <w:tcW w:w="8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vAlign w:val="center"/>
          </w:tcPr>
          <w:p w:rsidR="00D34AC2" w:rsidRDefault="007D0FAD">
            <w:pPr>
              <w:jc w:val="center"/>
            </w:pPr>
            <w:r>
              <w:rPr>
                <w:b/>
                <w:bCs/>
                <w:color w:val="FFFFFF"/>
                <w:sz w:val="18"/>
                <w:szCs w:val="18"/>
              </w:rPr>
              <w:t>Media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Alerta enviada en ≤24 h de superar 15 días de morosidad. Incluye nombre, monto, días y enlace. Sin ejecutivo → llega al gerente.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Prueba con cliente sin ejecutivo asignado; verificación de tiempo de envío.</w:t>
            </w:r>
          </w:p>
        </w:tc>
      </w:tr>
    </w:tbl>
    <w:p w:rsidR="00D34AC2" w:rsidRDefault="00D34AC2">
      <w:pPr>
        <w:spacing w:before="80"/>
      </w:pPr>
    </w:p>
    <w:p w:rsidR="00D34AC2" w:rsidRDefault="007D0FAD">
      <w:pPr>
        <w:spacing w:before="180" w:after="80"/>
      </w:pPr>
      <w:r>
        <w:rPr>
          <w:b/>
          <w:bCs/>
          <w:color w:val="2471A3"/>
          <w:sz w:val="22"/>
          <w:szCs w:val="22"/>
        </w:rPr>
        <w:t>4.2 Requisitos No Funcionales (RNF-01 a RNF-07)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1"/>
        <w:gridCol w:w="1480"/>
        <w:gridCol w:w="1731"/>
        <w:gridCol w:w="2808"/>
        <w:gridCol w:w="2560"/>
      </w:tblGrid>
      <w:tr w:rsidR="00D34AC2">
        <w:tblPrEx>
          <w:tblCellMar>
            <w:top w:w="0" w:type="dxa"/>
            <w:bottom w:w="0" w:type="dxa"/>
          </w:tblCellMar>
        </w:tblPrEx>
        <w:trPr>
          <w:tblHeader/>
        </w:trPr>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ID</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Categoría</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Atributo</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Criterio de Aceptación</w:t>
            </w:r>
          </w:p>
        </w:tc>
        <w:tc>
          <w:tcPr>
            <w:tcW w:w="27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Método de Verificación</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RNF-01</w:t>
            </w:r>
          </w:p>
        </w:tc>
        <w:tc>
          <w:tcPr>
            <w:tcW w:w="14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vAlign w:val="center"/>
          </w:tcPr>
          <w:p w:rsidR="00D34AC2" w:rsidRDefault="007D0FAD">
            <w:pPr>
              <w:jc w:val="center"/>
            </w:pPr>
            <w:r>
              <w:rPr>
                <w:b/>
                <w:bCs/>
                <w:color w:val="FFFFFF"/>
                <w:sz w:val="18"/>
                <w:szCs w:val="18"/>
              </w:rPr>
              <w:t>Seguridad</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HTTPS/TLS</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Toda comunicación cifrada con TLS ≥1.2. Certificado válido y vigente. Peticiones HTTP sin cifrar rechazadas automáticamente.</w:t>
            </w:r>
          </w:p>
        </w:tc>
        <w:tc>
          <w:tcPr>
            <w:tcW w:w="27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Análisis con SSL Labs; prueba de petición HTTP (debe rechazarse con error).</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RNF-02</w:t>
            </w:r>
          </w:p>
        </w:tc>
        <w:tc>
          <w:tcPr>
            <w:tcW w:w="1400" w:type="dxa"/>
            <w:tcBorders>
              <w:top w:val="single" w:sz="1" w:space="0" w:color="CCCCCC"/>
              <w:left w:val="single" w:sz="1" w:space="0" w:color="CCCCCC"/>
              <w:bottom w:val="single" w:sz="1" w:space="0" w:color="CCCCCC"/>
              <w:right w:val="single" w:sz="1" w:space="0" w:color="CCCCCC"/>
            </w:tcBorders>
            <w:shd w:val="clear" w:color="auto" w:fill="922B21"/>
            <w:tcMar>
              <w:top w:w="80" w:type="dxa"/>
              <w:left w:w="120" w:type="dxa"/>
              <w:bottom w:w="80" w:type="dxa"/>
              <w:right w:w="120" w:type="dxa"/>
            </w:tcMar>
            <w:vAlign w:val="center"/>
          </w:tcPr>
          <w:p w:rsidR="00D34AC2" w:rsidRDefault="007D0FAD">
            <w:pPr>
              <w:jc w:val="center"/>
            </w:pPr>
            <w:r>
              <w:rPr>
                <w:b/>
                <w:bCs/>
                <w:color w:val="FFFFFF"/>
                <w:sz w:val="18"/>
                <w:szCs w:val="18"/>
              </w:rPr>
              <w:t>Control de Acceso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RBAC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Cliente: solo sus facturas. Finanzas: visión global. Intento de acceso cruzado retorna error HTTP 403.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Prueba de acceso con 3 perfiles distintos; intento de ver datos de otro cliente.</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RNF-03</w:t>
            </w:r>
          </w:p>
        </w:tc>
        <w:tc>
          <w:tcPr>
            <w:tcW w:w="1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vAlign w:val="center"/>
          </w:tcPr>
          <w:p w:rsidR="00D34AC2" w:rsidRDefault="007D0FAD">
            <w:pPr>
              <w:jc w:val="center"/>
            </w:pPr>
            <w:r>
              <w:rPr>
                <w:b/>
                <w:bCs/>
                <w:color w:val="FFFFFF"/>
                <w:sz w:val="18"/>
                <w:szCs w:val="18"/>
              </w:rPr>
              <w:t>Integridad</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ACID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0 duplicidades en pagos. 0 pérdidas en prueba de concurrencia con 50 pagos simultáneos. Rollback ante fallo de transacción.</w:t>
            </w:r>
          </w:p>
        </w:tc>
        <w:tc>
          <w:tcPr>
            <w:tcW w:w="27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50 pagos concurrentes; simulación de fallo a mitad de transacción.</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RNF-04</w:t>
            </w:r>
          </w:p>
        </w:tc>
        <w:tc>
          <w:tcPr>
            <w:tcW w:w="14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20" w:type="dxa"/>
              <w:bottom w:w="80" w:type="dxa"/>
              <w:right w:w="120" w:type="dxa"/>
            </w:tcMar>
            <w:vAlign w:val="center"/>
          </w:tcPr>
          <w:p w:rsidR="00D34AC2" w:rsidRDefault="007D0FAD">
            <w:pPr>
              <w:jc w:val="center"/>
            </w:pPr>
            <w:r>
              <w:rPr>
                <w:b/>
                <w:bCs/>
                <w:color w:val="FFFFFF"/>
                <w:sz w:val="18"/>
                <w:szCs w:val="18"/>
              </w:rPr>
              <w:t>Auditoría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Log inalterable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Cada cambio de estado de factura genera log con ID de usuario, timestamp exacto e IP de origen. No modificable por usuarios estándar.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Revisión manual de logs tras 10 operaciones de cambio de estado.</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RNF-05</w:t>
            </w:r>
          </w:p>
        </w:tc>
        <w:tc>
          <w:tcPr>
            <w:tcW w:w="1400" w:type="dxa"/>
            <w:tcBorders>
              <w:top w:val="single" w:sz="1" w:space="0" w:color="CCCCCC"/>
              <w:left w:val="single" w:sz="1" w:space="0" w:color="CCCCCC"/>
              <w:bottom w:val="single" w:sz="1" w:space="0" w:color="CCCCCC"/>
              <w:right w:val="single" w:sz="1" w:space="0" w:color="CCCCCC"/>
            </w:tcBorders>
            <w:shd w:val="clear" w:color="auto" w:fill="117A65"/>
            <w:tcMar>
              <w:top w:w="80" w:type="dxa"/>
              <w:left w:w="120" w:type="dxa"/>
              <w:bottom w:w="80" w:type="dxa"/>
              <w:right w:w="120" w:type="dxa"/>
            </w:tcMar>
            <w:vAlign w:val="center"/>
          </w:tcPr>
          <w:p w:rsidR="00D34AC2" w:rsidRDefault="007D0FAD">
            <w:pPr>
              <w:jc w:val="center"/>
            </w:pPr>
            <w:r>
              <w:rPr>
                <w:b/>
                <w:bCs/>
                <w:color w:val="FFFFFF"/>
                <w:sz w:val="18"/>
                <w:szCs w:val="18"/>
              </w:rPr>
              <w:t>Rendimiento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Tiempo de respuesta</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API responde en ≤2 s bajo carga de 100 usuarios concurrentes en condiciones operativas normales.</w:t>
            </w:r>
          </w:p>
        </w:tc>
        <w:tc>
          <w:tcPr>
            <w:tcW w:w="27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Prueba de carga con JMeter o herramienta equivalente; resultado documentado.</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RNF-06</w:t>
            </w:r>
          </w:p>
        </w:tc>
        <w:tc>
          <w:tcPr>
            <w:tcW w:w="1400" w:type="dxa"/>
            <w:tcBorders>
              <w:top w:val="single" w:sz="1" w:space="0" w:color="CCCCCC"/>
              <w:left w:val="single" w:sz="1" w:space="0" w:color="CCCCCC"/>
              <w:bottom w:val="single" w:sz="1" w:space="0" w:color="CCCCCC"/>
              <w:right w:val="single" w:sz="1" w:space="0" w:color="CCCCCC"/>
            </w:tcBorders>
            <w:shd w:val="clear" w:color="auto" w:fill="0E6655"/>
            <w:tcMar>
              <w:top w:w="80" w:type="dxa"/>
              <w:left w:w="120" w:type="dxa"/>
              <w:bottom w:w="80" w:type="dxa"/>
              <w:right w:w="120" w:type="dxa"/>
            </w:tcMar>
            <w:vAlign w:val="center"/>
          </w:tcPr>
          <w:p w:rsidR="00D34AC2" w:rsidRDefault="007D0FAD">
            <w:pPr>
              <w:jc w:val="center"/>
            </w:pPr>
            <w:r>
              <w:rPr>
                <w:b/>
                <w:bCs/>
                <w:color w:val="FFFFFF"/>
                <w:sz w:val="18"/>
                <w:szCs w:val="18"/>
              </w:rPr>
              <w:t>Disponibilidad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b/>
                <w:bCs/>
                <w:color w:val="1A1A1A"/>
                <w:sz w:val="18"/>
                <w:szCs w:val="18"/>
              </w:rPr>
              <w:t>Uptime 99.9%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Portal disponible ≥99.9% medido mensualmente. Alertas automáticas ante caída &gt;1 min. Failover documentado.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Monitoreo continuo con herramienta de uptime; reporte mensual.</w:t>
            </w:r>
          </w:p>
        </w:tc>
      </w:tr>
      <w:tr w:rsidR="00D34AC2">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RNF-07</w:t>
            </w:r>
          </w:p>
        </w:tc>
        <w:tc>
          <w:tcPr>
            <w:tcW w:w="1400" w:type="dxa"/>
            <w:tcBorders>
              <w:top w:val="single" w:sz="1" w:space="0" w:color="CCCCCC"/>
              <w:left w:val="single" w:sz="1" w:space="0" w:color="CCCCCC"/>
              <w:bottom w:val="single" w:sz="1" w:space="0" w:color="CCCCCC"/>
              <w:right w:val="single" w:sz="1" w:space="0" w:color="CCCCCC"/>
            </w:tcBorders>
            <w:shd w:val="clear" w:color="auto" w:fill="2471A3"/>
            <w:tcMar>
              <w:top w:w="80" w:type="dxa"/>
              <w:left w:w="120" w:type="dxa"/>
              <w:bottom w:w="80" w:type="dxa"/>
              <w:right w:w="120" w:type="dxa"/>
            </w:tcMar>
            <w:vAlign w:val="center"/>
          </w:tcPr>
          <w:p w:rsidR="00D34AC2" w:rsidRDefault="007D0FAD">
            <w:pPr>
              <w:jc w:val="center"/>
            </w:pPr>
            <w:r>
              <w:rPr>
                <w:b/>
                <w:bCs/>
                <w:color w:val="FFFFFF"/>
                <w:sz w:val="18"/>
                <w:szCs w:val="18"/>
              </w:rPr>
              <w:t>Arquitectura</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b/>
                <w:bCs/>
                <w:color w:val="1A1A1A"/>
                <w:sz w:val="18"/>
                <w:szCs w:val="18"/>
              </w:rPr>
              <w:t>Desacoplamiento</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Frontend, API Backend y Worker de Notificaciones desplegables de forma independiente sin caída del servicio completo.</w:t>
            </w:r>
          </w:p>
        </w:tc>
        <w:tc>
          <w:tcPr>
            <w:tcW w:w="27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Actualización de un componente en producción verificando que los demás siguen operando.</w:t>
            </w:r>
          </w:p>
        </w:tc>
      </w:tr>
    </w:tbl>
    <w:p w:rsidR="00D34AC2" w:rsidRDefault="00D34AC2">
      <w:pPr>
        <w:spacing w:before="80"/>
      </w:pPr>
    </w:p>
    <w:p w:rsidR="00D34AC2" w:rsidRDefault="007D0FAD">
      <w:pPr>
        <w:spacing w:before="180" w:after="80"/>
      </w:pPr>
      <w:r>
        <w:rPr>
          <w:b/>
          <w:bCs/>
          <w:color w:val="2471A3"/>
          <w:sz w:val="22"/>
          <w:szCs w:val="22"/>
        </w:rPr>
        <w:lastRenderedPageBreak/>
        <w:t>4.3 Historias de Usuario (HU-01 a HU-07)</w:t>
      </w:r>
    </w:p>
    <w:p w:rsidR="00D34AC2" w:rsidRDefault="007D0FAD">
      <w:pPr>
        <w:spacing w:before="60" w:after="60"/>
      </w:pPr>
      <w:r>
        <w:rPr>
          <w:color w:val="2C2C2C"/>
        </w:rPr>
        <w:t>Los siguientes criterios fueron establecidos en el Documento de Casos de Uso e Historias de Usuario (Doc 03) y se consolidan aquí para la trazabilidad del apartado de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1193"/>
        <w:gridCol w:w="1394"/>
        <w:gridCol w:w="1361"/>
        <w:gridCol w:w="3174"/>
        <w:gridCol w:w="1546"/>
      </w:tblGrid>
      <w:tr w:rsidR="00D34AC2">
        <w:tblPrEx>
          <w:tblCellMar>
            <w:top w:w="0" w:type="dxa"/>
            <w:bottom w:w="0" w:type="dxa"/>
          </w:tblCellMar>
        </w:tblPrEx>
        <w:trPr>
          <w:tblHeader/>
        </w:trPr>
        <w:tc>
          <w:tcPr>
            <w:tcW w:w="7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ID</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Como...</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Quiero...</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Para...</w:t>
            </w:r>
          </w:p>
        </w:tc>
        <w:tc>
          <w:tcPr>
            <w:tcW w:w="32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Criterios de Aceptación</w:t>
            </w:r>
          </w:p>
        </w:tc>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RF / CU</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HU-01</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 Financiero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quiero extracción automática del ERP</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eliminar la carga manual de datos</w:t>
            </w:r>
          </w:p>
        </w:tc>
        <w:tc>
          <w:tcPr>
            <w:tcW w:w="3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 xml:space="preserve">1. 100% de registros diarios importados exitosamente. 2. Sistema valida integridad: sin campos nulos en cliente o monto. </w:t>
            </w:r>
            <w:r>
              <w:rPr>
                <w:color w:val="1A1A1A"/>
                <w:sz w:val="18"/>
                <w:szCs w:val="18"/>
              </w:rPr>
              <w:t>3. Log de errores registra fallo con detalle del campo afectado.</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RF-01, CU-01</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HU-02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Cliente B2B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quiero un enlace directo de pago en mi correo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liquidar mis deudas de forma ágil y segura</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1. Enlace abre pasarela con el monto exacto de la factura pre-cargado.</w:t>
            </w:r>
            <w:r>
              <w:rPr>
                <w:color w:val="1A1A1A"/>
                <w:sz w:val="18"/>
                <w:szCs w:val="18"/>
              </w:rPr>
              <w:t xml:space="preserve"> 2. Enlace expira tras el pago exitoso (no permite doble pago). 3. Token expira en 72 h si no se usa; transmisión HTTPS/TLS.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RF-03, RF-04, CU-02</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HU-03</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Tesorero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quiero conciliación automática de pagos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agilizar el cierre contable mensual</w:t>
            </w:r>
          </w:p>
        </w:tc>
        <w:tc>
          <w:tcPr>
            <w:tcW w:w="3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1. Estado de factura actualizado a 'Pagada' en tiempo real tras confirmación bancaria. 2. Motor rechaza webhooks sin firma digital válida. 3. Cada conciliación genera log inalterable con timestamp e IP.</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RF-06, RNF-03, RNF-04, CU-02</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HU-04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Gerente Financiero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quiero un Dashboard con KPIs en tiempo real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tomar decisiones sobre la cartera sin esperar reportes manuales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1. Dashboard carga todos los indicadores en ≤2 s (RNF-05). 2. Muestra DSO actual, % cartera vencida, top 10 deudores y flujo de c</w:t>
            </w:r>
            <w:r>
              <w:rPr>
                <w:color w:val="1A1A1A"/>
                <w:sz w:val="18"/>
                <w:szCs w:val="18"/>
              </w:rPr>
              <w:t>aja. 3. Filtros por fecha/cliente funcionales; exportación CSV/PDF sin errores.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RF-07, RNF-05, CU-04</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HU-05</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Ejecutivo de Cuenta</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quiero recibir alertas automáticas de morosidad &gt;15 días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iniciar gestión personalizada antes de que escale</w:t>
            </w:r>
          </w:p>
        </w:tc>
        <w:tc>
          <w:tcPr>
            <w:tcW w:w="3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1. Alerta llega al correo del ejecutivo en ≤24 h de superar el umbral. 2. Alerta incluye: nombre del cliente, monto, días de retraso y enlace al historial. 3. Sin ejecutivo asignado: alerta redirigida automáticamente al gerente.</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RF-08, CU-05</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HU-06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 Financiero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quiero recordatorios automáticos de cobro sin intervención manual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reducir el tiempo invertido en seguimiento de cobros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1. Recordatorio enviado −5 días, día 0 y +3 días respecto al vencimiento. 2. Si la factura ya está pagada, recordator</w:t>
            </w:r>
            <w:r>
              <w:rPr>
                <w:color w:val="1A1A1A"/>
                <w:sz w:val="18"/>
                <w:szCs w:val="18"/>
              </w:rPr>
              <w:t>io se cancela automáticamente. 3. Log de envíos visible para el equipo de finanzas en el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RF-05, CU-03</w:t>
            </w:r>
          </w:p>
        </w:tc>
      </w:tr>
      <w:tr w:rsidR="00D34AC2">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HU-07</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Cliente B2B</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quiero un portal seguro para ver mis facturas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tener visibilidad de mis obligaciones sin contactar al proveedor</w:t>
            </w:r>
          </w:p>
        </w:tc>
        <w:tc>
          <w:tcPr>
            <w:tcW w:w="32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1. Autenticación con usuario/contraseña vía HTTPS. 2. Solo ve sus propias facturas (control RBAC, RNF-02). 3. Puede descargar facturas históricas en PDF y consultar fechas de vencimiento.</w:t>
            </w:r>
          </w:p>
        </w:tc>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RF-03, RNF-01, RNF-02, CU-02</w:t>
            </w:r>
          </w:p>
        </w:tc>
      </w:tr>
    </w:tbl>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5. Lista de Verificación de Revisión de Artefactos — Aplicada</w:t>
      </w:r>
    </w:p>
    <w:p w:rsidR="00D34AC2" w:rsidRDefault="007D0FAD">
      <w:pPr>
        <w:spacing w:before="60" w:after="60"/>
      </w:pPr>
      <w:r>
        <w:rPr>
          <w:color w:val="2C2C2C"/>
        </w:rPr>
        <w:lastRenderedPageBreak/>
        <w:t>Esta lista fue aplicada por el Analista de Negocio antes de subir cada artefacto al repositorio de GitHub. La columna 'Revisado en' documenta la semana de proyecto en que se verificó cada ítem, evidenciando su aplicación durante el desarrollo.</w:t>
      </w:r>
    </w:p>
    <w:p w:rsidR="00D34AC2" w:rsidRDefault="007D0FAD">
      <w:pPr>
        <w:spacing w:before="60" w:after="60"/>
      </w:pPr>
      <w:r>
        <w:rPr>
          <w:color w:val="2C2C2C"/>
        </w:rPr>
        <w:t>Leyenda: ✅ =</w:t>
      </w:r>
      <w:r>
        <w:rPr>
          <w:color w:val="2C2C2C"/>
        </w:rPr>
        <w:t xml:space="preserve"> Completado y verificado  |  ☐ = Pendiente de completar  |  </w:t>
      </w:r>
      <w:r>
        <w:rPr>
          <w:color w:val="2C2C2C"/>
        </w:rPr>
        <w:t>🔄</w:t>
      </w:r>
      <w:r>
        <w:rPr>
          <w:color w:val="2C2C2C"/>
        </w:rPr>
        <w:t xml:space="preserve"> = En progreso</w:t>
      </w:r>
    </w:p>
    <w:p w:rsidR="00D34AC2" w:rsidRDefault="00D34AC2">
      <w:pPr>
        <w:spacing w:before="80"/>
      </w:pPr>
    </w:p>
    <w:p w:rsidR="00D34AC2" w:rsidRDefault="007D0FAD">
      <w:pPr>
        <w:spacing w:before="180" w:after="80"/>
      </w:pPr>
      <w:r>
        <w:rPr>
          <w:b/>
          <w:bCs/>
          <w:color w:val="2471A3"/>
          <w:sz w:val="22"/>
          <w:szCs w:val="22"/>
        </w:rPr>
        <w:t>5.1 Documentación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710"/>
        <w:gridCol w:w="1361"/>
        <w:gridCol w:w="1708"/>
        <w:gridCol w:w="1041"/>
        <w:gridCol w:w="2025"/>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El documento tiene identificador de versión, fecha y autores.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Todos los docs</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1-2</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Verificado en cada entrega.</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El documento está en formato PDF o Word con estructura formal.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Todos los docs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1-2</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Formato .docx y .html aplicados.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No hay inconsistencias entre artefactos del proyecto.</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Cruce 01-10</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8</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Trazabilidad RF↔CU↔HU verificada en Doc 03.</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El documento está en la carpeta correcta del repositorio GitHub.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GitHub estructura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11</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Estructura /01-06 revisada antes de subir.</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El README.md del repositorio enlaza a cada artefacto.</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README.md</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12</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Pendiente — incluir en entrega final.</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El documento fue revisado por al menos un integrante diferente al autor.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Todo el equipo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Todos los docs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10-11</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Revisión cruzada interna realizada en Sem. 10.</w:t>
            </w:r>
          </w:p>
        </w:tc>
      </w:tr>
    </w:tbl>
    <w:p w:rsidR="00D34AC2" w:rsidRDefault="00D34AC2">
      <w:pPr>
        <w:spacing w:before="80"/>
      </w:pPr>
    </w:p>
    <w:p w:rsidR="00D34AC2" w:rsidRDefault="007D0FAD">
      <w:pPr>
        <w:spacing w:before="180" w:after="80"/>
      </w:pPr>
      <w:r>
        <w:rPr>
          <w:b/>
          <w:bCs/>
          <w:color w:val="2471A3"/>
          <w:sz w:val="22"/>
          <w:szCs w:val="22"/>
        </w:rPr>
        <w:t>5.2 Requerimientos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704"/>
        <w:gridCol w:w="1361"/>
        <w:gridCol w:w="1703"/>
        <w:gridCol w:w="1041"/>
        <w:gridCol w:w="2036"/>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Cada RF tiene: ID único, descripción, prioridad y criterio de aceptación.</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06 RF</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2</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RF-01 a RF-08 con columna de prioridad (Alta/Media).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Cada RNF está clasificado por categoría (seguridad, rendimiento, etc.).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 07 RNF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2</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RNF-01 a RNF-07 clasificados con 7 categorías de color.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Los RF están trazados a los casos de uso y diagramas C4.</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03 CU+HU</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4</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Matriz de trazabilidad RF↔CU↔HU en Sección 3 de Doc 03.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Las historias de usuario tienen criterios de aceptación verificables.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 03 CU+HU</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3</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HU-01 a HU-07 con criterios de aceptación.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Los casos de uso incluyen: actores, flujo principal y flujos alternativos.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03 CU+HU</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3</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CU-01 a CU-05 completos con flujos alternativos documentados. ✅</w:t>
            </w:r>
          </w:p>
        </w:tc>
      </w:tr>
    </w:tbl>
    <w:p w:rsidR="00D34AC2" w:rsidRDefault="00D34AC2">
      <w:pPr>
        <w:spacing w:before="80"/>
      </w:pPr>
    </w:p>
    <w:p w:rsidR="00D34AC2" w:rsidRDefault="007D0FAD">
      <w:pPr>
        <w:spacing w:before="180" w:after="80"/>
      </w:pPr>
      <w:r>
        <w:rPr>
          <w:b/>
          <w:bCs/>
          <w:color w:val="2471A3"/>
          <w:sz w:val="22"/>
          <w:szCs w:val="22"/>
        </w:rPr>
        <w:lastRenderedPageBreak/>
        <w:t>5.3 Arquitectura y Diagramas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306"/>
        <w:gridCol w:w="1361"/>
        <w:gridCol w:w="2222"/>
        <w:gridCol w:w="1041"/>
        <w:gridCol w:w="1915"/>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Diagrama de Flujo As-Is del proceso manual de cobranza.</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08 AsIs.html</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7</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Swim lanes con 6 actores; KPIs actuales documentados.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Diagrama de Flujo To-Be del proceso automatizado.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 09 ToBe.html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7</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Swim lanes con etiquetas RF; KPIs objetivo documentados.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Diagrama C1 (Contexto) con todos los actores externos del sistema.</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Tech Lead</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Documentacion_final.pdf</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7 actores externos identificados en tabla C1.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Diagrama C2 (Contenedores) con tecnologías y protocolos.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Tech 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Documentacion_final.pdf</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4 contenedores: Frontend JS, API Node.js, BD PostgreSQL, Worker.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Diagrama C3 (Componentes) con dependencias entre módulos.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Tech Lead</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Documentacion_final.pdf</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6 componentes con dependencias y tipos documentados.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Decisiones de diseño (ADR) documentadas con justificación técnica.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Tech Lead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Documentacion_final.pdf Sección 4</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5 ADR: PostgreSQL, desacoplamiento, adaptadores, seguridad, auditoría. ✅</w:t>
            </w:r>
          </w:p>
        </w:tc>
      </w:tr>
    </w:tbl>
    <w:p w:rsidR="00D34AC2" w:rsidRDefault="00D34AC2">
      <w:pPr>
        <w:spacing w:before="80"/>
      </w:pPr>
    </w:p>
    <w:p w:rsidR="00D34AC2" w:rsidRDefault="007D0FAD">
      <w:pPr>
        <w:spacing w:before="180" w:after="80"/>
      </w:pPr>
      <w:r>
        <w:rPr>
          <w:b/>
          <w:bCs/>
          <w:color w:val="2471A3"/>
          <w:sz w:val="22"/>
          <w:szCs w:val="22"/>
        </w:rPr>
        <w:t>5.4 Gestión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2719"/>
        <w:gridCol w:w="1361"/>
        <w:gridCol w:w="1695"/>
        <w:gridCol w:w="1041"/>
        <w:gridCol w:w="2028"/>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Matriz de riesgos con ID, probabilidad, impacto, nivel de riesgo (P×I) y mitigación.</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10 Riesgos</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8 riesgos con nivel calculado (P×I), mitigación y contingencia.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Registro de riesgos con historial de actualizaciones por Sprint.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Doc 10 Riesgos Sección 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1-9</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Bitácora semanas 1 a 10 documentada con cambios de estado.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Plan de contingencia documentado ante fallas críticas.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Doc 10 Riesgos Sección 6</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2</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Plan de 5 pasos ante falla catastrófica de conexión con ERP. ✅</w:t>
            </w:r>
          </w:p>
        </w:tc>
      </w:tr>
    </w:tbl>
    <w:p w:rsidR="00D34AC2" w:rsidRDefault="00D34AC2">
      <w:pPr>
        <w:spacing w:before="80"/>
      </w:pPr>
    </w:p>
    <w:p w:rsidR="00D34AC2" w:rsidRDefault="007D0FAD">
      <w:pPr>
        <w:spacing w:before="180" w:after="80"/>
      </w:pPr>
      <w:r>
        <w:rPr>
          <w:b/>
          <w:bCs/>
          <w:color w:val="2471A3"/>
          <w:sz w:val="22"/>
          <w:szCs w:val="22"/>
        </w:rPr>
        <w:t>5.5 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716"/>
        <w:gridCol w:w="1361"/>
        <w:gridCol w:w="1697"/>
        <w:gridCol w:w="1041"/>
        <w:gridCol w:w="2030"/>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lastRenderedPageBreak/>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Plan o documento de aseguramiento de calidad formal presente.</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Este documento</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2</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Secciones 1-7 cubren el plan completo de QA.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Criterios de aceptación para todos los RF (RF-01 a RF-08).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Sección 4.1 de este doc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3</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8 RF con criterio + método de verificación.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Criterios de aceptación para todos los RNF (RNF-01 a RNF-07).</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Sección 4.2 de este doc</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3</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7 RNF clasificados con criterio + método de verificación.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Criterios de aceptación de HU-01 a HU-07 consolidados.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Sección 4.3 de este doc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3</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7 HU con criterios de aceptación y trazabilidad RF/CU.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Lista de verificación de artefactos aplicada y con evidencia de fecha.</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Sección 5 de este doc</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Sem. 10-11</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Checklist 5.1-5.6 aplicado con fechas de revisión documentadas. ✅</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Criterios de calidad del SIPOC presentes (métricas operativas).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Analista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Excel — Hoja SIPOC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Sem. 1</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 registros completos, % facturas correctas, tiempo de conciliación. ✅</w:t>
            </w:r>
          </w:p>
        </w:tc>
      </w:tr>
    </w:tbl>
    <w:p w:rsidR="00D34AC2" w:rsidRDefault="00D34AC2">
      <w:pPr>
        <w:spacing w:before="80"/>
      </w:pPr>
    </w:p>
    <w:p w:rsidR="00D34AC2" w:rsidRDefault="007D0FAD">
      <w:pPr>
        <w:spacing w:before="180" w:after="80"/>
      </w:pPr>
      <w:r>
        <w:rPr>
          <w:b/>
          <w:bCs/>
          <w:color w:val="2471A3"/>
          <w:sz w:val="22"/>
          <w:szCs w:val="22"/>
        </w:rPr>
        <w:t>5.6 Presentación Final (PENDIENTE)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
        <w:gridCol w:w="2752"/>
        <w:gridCol w:w="1361"/>
        <w:gridCol w:w="1737"/>
        <w:gridCol w:w="1041"/>
        <w:gridCol w:w="2050"/>
      </w:tblGrid>
      <w:tr w:rsidR="00D34AC2">
        <w:tblPrEx>
          <w:tblCellMar>
            <w:top w:w="0" w:type="dxa"/>
            <w:bottom w:w="0" w:type="dxa"/>
          </w:tblCellMar>
        </w:tblPrEx>
        <w:trPr>
          <w:tblHeader/>
        </w:trPr>
        <w:tc>
          <w:tcPr>
            <w:tcW w:w="42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w:t>
            </w:r>
          </w:p>
        </w:tc>
        <w:tc>
          <w:tcPr>
            <w:tcW w:w="30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Ítem de Verificación</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Responsable</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Documento</w:t>
            </w:r>
          </w:p>
        </w:tc>
        <w:tc>
          <w:tcPr>
            <w:tcW w:w="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Revisado en</w:t>
            </w:r>
          </w:p>
        </w:tc>
        <w:tc>
          <w:tcPr>
            <w:tcW w:w="214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Observaciones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Presentación en PPT/PDF con todos los contenidos mínimos requeridos.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Todo el equipo</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PENDIENTE — /presentacion/</w:t>
            </w:r>
          </w:p>
        </w:tc>
        <w:tc>
          <w:tcPr>
            <w:tcW w:w="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color w:val="1A1A1A"/>
                <w:sz w:val="18"/>
                <w:szCs w:val="18"/>
              </w:rPr>
              <w:t>—</w:t>
            </w:r>
          </w:p>
        </w:tc>
        <w:tc>
          <w:tcPr>
            <w:tcW w:w="214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Debe incluir: nombre, problema, objetivos SMART, arquitectura, riesgos, conclusiones.</w:t>
            </w:r>
          </w:p>
        </w:tc>
      </w:tr>
      <w:tr w:rsidR="00D34AC2">
        <w:tblPrEx>
          <w:tblCellMar>
            <w:top w:w="0" w:type="dxa"/>
            <w:bottom w:w="0" w:type="dxa"/>
          </w:tblCellMar>
        </w:tblPrEx>
        <w:tc>
          <w:tcPr>
            <w:tcW w:w="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README.md en la raíz del repositorio con índice y enlaces a todos los artefactos.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PENDIENTE — raíz GitHub</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color w:val="1A1A1A"/>
                <w:sz w:val="18"/>
                <w:szCs w:val="18"/>
              </w:rPr>
              <w:t>—</w:t>
            </w:r>
          </w:p>
        </w:tc>
        <w:tc>
          <w:tcPr>
            <w:tcW w:w="2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Cada artefacto debe tener su enlace directo desde el README.</w:t>
            </w:r>
          </w:p>
        </w:tc>
      </w:tr>
    </w:tbl>
    <w:p w:rsidR="00D34AC2" w:rsidRDefault="00D34AC2">
      <w:pPr>
        <w:pBdr>
          <w:bottom w:val="single" w:sz="6" w:space="1" w:color="1E3A5F"/>
        </w:pBdr>
        <w:spacing w:before="120" w:after="120"/>
      </w:pPr>
    </w:p>
    <w:p w:rsidR="00D34AC2" w:rsidRDefault="007D0FAD">
      <w:pPr>
        <w:spacing w:before="280" w:after="120"/>
      </w:pPr>
      <w:r>
        <w:rPr>
          <w:b/>
          <w:bCs/>
          <w:color w:val="1E3A5F"/>
          <w:sz w:val="28"/>
          <w:szCs w:val="28"/>
        </w:rPr>
        <w:t>6. Resumen Ejecutivo — Cobertura del Checklist Académico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1400"/>
        <w:gridCol w:w="1200"/>
        <w:gridCol w:w="1760"/>
      </w:tblGrid>
      <w:tr w:rsidR="00D34AC2">
        <w:tblPrEx>
          <w:tblCellMar>
            <w:top w:w="0" w:type="dxa"/>
            <w:bottom w:w="0" w:type="dxa"/>
          </w:tblCellMar>
        </w:tblPrEx>
        <w:trPr>
          <w:tblHeader/>
        </w:trPr>
        <w:tc>
          <w:tcPr>
            <w:tcW w:w="3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Sección del Checklist</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Total ítems</w:t>
            </w:r>
          </w:p>
        </w:tc>
        <w:tc>
          <w:tcPr>
            <w:tcW w:w="14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Completados</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 Avance</w:t>
            </w:r>
          </w:p>
        </w:tc>
        <w:tc>
          <w:tcPr>
            <w:tcW w:w="17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D34AC2" w:rsidRDefault="007D0FAD">
            <w:pPr>
              <w:jc w:val="center"/>
            </w:pPr>
            <w:r>
              <w:rPr>
                <w:b/>
                <w:bCs/>
                <w:color w:val="FFFFFF"/>
                <w:sz w:val="18"/>
                <w:szCs w:val="18"/>
              </w:rPr>
              <w:t>Estado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Gestión del Proyecto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8"/>
                <w:szCs w:val="18"/>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Completo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Requerimientos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8"/>
                <w:szCs w:val="18"/>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Completo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Arquitectura</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8"/>
                <w:szCs w:val="18"/>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Completo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Gestión de Riesgos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8"/>
                <w:szCs w:val="18"/>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Completo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r>
              <w:rPr>
                <w:color w:val="1A1A1A"/>
                <w:sz w:val="18"/>
                <w:szCs w:val="18"/>
              </w:rPr>
              <w:t>Calidad (este documento)</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D34AC2" w:rsidRDefault="007D0FAD">
            <w:pPr>
              <w:jc w:val="center"/>
            </w:pPr>
            <w:r>
              <w:rPr>
                <w:b/>
                <w:bCs/>
                <w:color w:val="1A1A1A"/>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vAlign w:val="center"/>
          </w:tcPr>
          <w:p w:rsidR="00D34AC2" w:rsidRDefault="007D0FAD">
            <w:pPr>
              <w:jc w:val="center"/>
            </w:pPr>
            <w:r>
              <w:rPr>
                <w:b/>
                <w:bCs/>
                <w:color w:val="FFFFFF"/>
                <w:sz w:val="18"/>
                <w:szCs w:val="18"/>
              </w:rPr>
              <w:t>100%</w:t>
            </w:r>
          </w:p>
        </w:tc>
        <w:tc>
          <w:tcPr>
            <w:tcW w:w="176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Completo</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r>
              <w:rPr>
                <w:color w:val="1A1A1A"/>
                <w:sz w:val="18"/>
                <w:szCs w:val="18"/>
              </w:rPr>
              <w:t>Presentación Final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D34AC2" w:rsidRDefault="007D0FAD">
            <w:pPr>
              <w:jc w:val="center"/>
            </w:pPr>
            <w:r>
              <w:rPr>
                <w:b/>
                <w:bCs/>
                <w:color w:val="1A1A1A"/>
                <w:sz w:val="18"/>
                <w:szCs w:val="18"/>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vAlign w:val="center"/>
          </w:tcPr>
          <w:p w:rsidR="00D34AC2" w:rsidRDefault="007D0FAD">
            <w:pPr>
              <w:jc w:val="center"/>
            </w:pPr>
            <w:r>
              <w:rPr>
                <w:b/>
                <w:bCs/>
                <w:color w:val="FFFFFF"/>
                <w:sz w:val="18"/>
                <w:szCs w:val="18"/>
              </w:rPr>
              <w:t>0%</w:t>
            </w:r>
          </w:p>
        </w:tc>
        <w:tc>
          <w:tcPr>
            <w:tcW w:w="1760" w:type="dxa"/>
            <w:tcBorders>
              <w:top w:val="single" w:sz="1" w:space="0" w:color="CCCCCC"/>
              <w:left w:val="single" w:sz="1" w:space="0" w:color="CCCCCC"/>
              <w:bottom w:val="single" w:sz="1" w:space="0" w:color="CCCCCC"/>
              <w:right w:val="single" w:sz="1" w:space="0" w:color="CCCCCC"/>
            </w:tcBorders>
            <w:shd w:val="clear" w:color="auto" w:fill="FEF0F0"/>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Pendiente</w:t>
            </w:r>
          </w:p>
        </w:tc>
      </w:tr>
      <w:tr w:rsidR="00D34AC2">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rsidR="00D34AC2" w:rsidRDefault="007D0FAD">
            <w:r>
              <w:rPr>
                <w:b/>
                <w:bCs/>
                <w:color w:val="1A1A1A"/>
                <w:sz w:val="18"/>
                <w:szCs w:val="18"/>
              </w:rPr>
              <w:lastRenderedPageBreak/>
              <w:t>TOTAL CHECKLIST</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rsidR="00D34AC2" w:rsidRDefault="007D0FAD">
            <w:pPr>
              <w:jc w:val="center"/>
            </w:pPr>
            <w:r>
              <w:rPr>
                <w:b/>
                <w:bCs/>
                <w:color w:val="1A1A1A"/>
                <w:sz w:val="18"/>
                <w:szCs w:val="18"/>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rsidR="00D34AC2" w:rsidRDefault="007D0FAD">
            <w:pPr>
              <w:jc w:val="center"/>
            </w:pPr>
            <w:r>
              <w:rPr>
                <w:b/>
                <w:bCs/>
                <w:color w:val="1A1A1A"/>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D4AC0D"/>
            <w:tcMar>
              <w:top w:w="80" w:type="dxa"/>
              <w:left w:w="120" w:type="dxa"/>
              <w:bottom w:w="80" w:type="dxa"/>
              <w:right w:w="120" w:type="dxa"/>
            </w:tcMar>
            <w:vAlign w:val="center"/>
          </w:tcPr>
          <w:p w:rsidR="00D34AC2" w:rsidRDefault="007D0FAD">
            <w:pPr>
              <w:jc w:val="center"/>
            </w:pPr>
            <w:r>
              <w:rPr>
                <w:b/>
                <w:bCs/>
                <w:color w:val="FFFFFF"/>
                <w:sz w:val="18"/>
                <w:szCs w:val="18"/>
              </w:rPr>
              <w:t>93%</w:t>
            </w:r>
          </w:p>
        </w:tc>
        <w:tc>
          <w:tcPr>
            <w:tcW w:w="1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rsidR="00D34AC2" w:rsidRDefault="007D0FAD">
            <w:r>
              <w:rPr>
                <w:b/>
                <w:bCs/>
                <w:color w:val="1A1A1A"/>
                <w:sz w:val="18"/>
                <w:szCs w:val="18"/>
              </w:rPr>
              <w:t>☐</w:t>
            </w:r>
            <w:r>
              <w:rPr>
                <w:b/>
                <w:bCs/>
                <w:color w:val="1A1A1A"/>
                <w:sz w:val="18"/>
                <w:szCs w:val="18"/>
              </w:rPr>
              <w:t xml:space="preserve"> 2 ítems pendientes</w:t>
            </w:r>
          </w:p>
        </w:tc>
      </w:tr>
    </w:tbl>
    <w:p w:rsidR="00D34AC2" w:rsidRDefault="00D34AC2">
      <w:pPr>
        <w:spacing w:before="80"/>
      </w:pPr>
    </w:p>
    <w:p w:rsidR="00D34AC2" w:rsidRDefault="007D0FAD">
      <w:pPr>
        <w:spacing w:before="60" w:after="60"/>
      </w:pPr>
      <w:r>
        <w:rPr>
          <w:color w:val="2C2C2C"/>
        </w:rPr>
        <w:t>CONCLUSIÓN: El 93% del checklist académico está completo (26/28 ítems). Los 2 ítems pendientes (Presentación Final y README.md) no pertenecen al apartado de Calidad y deben completarse antes del 28/05/2026.</w:t>
      </w:r>
    </w:p>
    <w:sectPr w:rsidR="00D34AC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FAD" w:rsidRDefault="007D0FAD">
      <w:r>
        <w:separator/>
      </w:r>
    </w:p>
  </w:endnote>
  <w:endnote w:type="continuationSeparator" w:id="0">
    <w:p w:rsidR="007D0FAD" w:rsidRDefault="007D0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AC2" w:rsidRDefault="007D0FAD">
    <w:pPr>
      <w:pBdr>
        <w:top w:val="single" w:sz="4" w:space="4" w:color="1E3A5F"/>
      </w:pBdr>
      <w:jc w:val="center"/>
    </w:pPr>
    <w:r>
      <w:rPr>
        <w:color w:val="888888"/>
        <w:sz w:val="16"/>
        <w:szCs w:val="16"/>
      </w:rPr>
      <w:t xml:space="preserve">Proyecto The Bill JDVS — Equipo JDVS  |  Pág. </w:t>
    </w:r>
    <w:r>
      <w:fldChar w:fldCharType="begin"/>
    </w:r>
    <w:r>
      <w:instrText>PAGE</w:instrText>
    </w:r>
    <w:r>
      <w:fldChar w:fldCharType="separate"/>
    </w:r>
    <w:r w:rsidR="00E724D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FAD" w:rsidRDefault="007D0FAD">
      <w:r>
        <w:separator/>
      </w:r>
    </w:p>
  </w:footnote>
  <w:footnote w:type="continuationSeparator" w:id="0">
    <w:p w:rsidR="007D0FAD" w:rsidRDefault="007D0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34AC2" w:rsidRDefault="007D0FAD">
    <w:pPr>
      <w:pBdr>
        <w:bottom w:val="single" w:sz="4" w:space="4" w:color="1E3A5F"/>
      </w:pBdr>
      <w:jc w:val="right"/>
    </w:pPr>
    <w:r>
      <w:rPr>
        <w:color w:val="666666"/>
        <w:sz w:val="16"/>
        <w:szCs w:val="16"/>
      </w:rPr>
      <w:t>The Bill JDVS  |  Plan de Aseguramiento de Calidad (QA)  |  v3.0 — 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434904"/>
    <w:multiLevelType w:val="hybridMultilevel"/>
    <w:tmpl w:val="B05C2EC8"/>
    <w:lvl w:ilvl="0" w:tplc="23F0223C">
      <w:start w:val="1"/>
      <w:numFmt w:val="bullet"/>
      <w:lvlText w:val="●"/>
      <w:lvlJc w:val="left"/>
      <w:pPr>
        <w:ind w:left="720" w:hanging="360"/>
      </w:pPr>
    </w:lvl>
    <w:lvl w:ilvl="1" w:tplc="C524AED6">
      <w:start w:val="1"/>
      <w:numFmt w:val="bullet"/>
      <w:lvlText w:val="○"/>
      <w:lvlJc w:val="left"/>
      <w:pPr>
        <w:ind w:left="1440" w:hanging="360"/>
      </w:pPr>
    </w:lvl>
    <w:lvl w:ilvl="2" w:tplc="F3A6F078">
      <w:start w:val="1"/>
      <w:numFmt w:val="bullet"/>
      <w:lvlText w:val="■"/>
      <w:lvlJc w:val="left"/>
      <w:pPr>
        <w:ind w:left="2160" w:hanging="360"/>
      </w:pPr>
    </w:lvl>
    <w:lvl w:ilvl="3" w:tplc="B9A09EB4">
      <w:start w:val="1"/>
      <w:numFmt w:val="bullet"/>
      <w:lvlText w:val="●"/>
      <w:lvlJc w:val="left"/>
      <w:pPr>
        <w:ind w:left="2880" w:hanging="360"/>
      </w:pPr>
    </w:lvl>
    <w:lvl w:ilvl="4" w:tplc="E1A86CFE">
      <w:start w:val="1"/>
      <w:numFmt w:val="bullet"/>
      <w:lvlText w:val="○"/>
      <w:lvlJc w:val="left"/>
      <w:pPr>
        <w:ind w:left="3600" w:hanging="360"/>
      </w:pPr>
    </w:lvl>
    <w:lvl w:ilvl="5" w:tplc="D16CC4DE">
      <w:start w:val="1"/>
      <w:numFmt w:val="bullet"/>
      <w:lvlText w:val="■"/>
      <w:lvlJc w:val="left"/>
      <w:pPr>
        <w:ind w:left="4320" w:hanging="360"/>
      </w:pPr>
    </w:lvl>
    <w:lvl w:ilvl="6" w:tplc="F50088E4">
      <w:start w:val="1"/>
      <w:numFmt w:val="bullet"/>
      <w:lvlText w:val="●"/>
      <w:lvlJc w:val="left"/>
      <w:pPr>
        <w:ind w:left="5040" w:hanging="360"/>
      </w:pPr>
    </w:lvl>
    <w:lvl w:ilvl="7" w:tplc="0BE82284">
      <w:start w:val="1"/>
      <w:numFmt w:val="bullet"/>
      <w:lvlText w:val="●"/>
      <w:lvlJc w:val="left"/>
      <w:pPr>
        <w:ind w:left="5760" w:hanging="360"/>
      </w:pPr>
    </w:lvl>
    <w:lvl w:ilvl="8" w:tplc="9008E80C">
      <w:start w:val="1"/>
      <w:numFmt w:val="bullet"/>
      <w:lvlText w:val="●"/>
      <w:lvlJc w:val="left"/>
      <w:pPr>
        <w:ind w:left="6480" w:hanging="360"/>
      </w:pPr>
    </w:lvl>
  </w:abstractNum>
  <w:abstractNum w:abstractNumId="1" w15:restartNumberingAfterBreak="0">
    <w:nsid w:val="609D2C37"/>
    <w:multiLevelType w:val="hybridMultilevel"/>
    <w:tmpl w:val="DAEAF804"/>
    <w:lvl w:ilvl="0" w:tplc="6C989D3C">
      <w:start w:val="1"/>
      <w:numFmt w:val="bullet"/>
      <w:lvlText w:val="•"/>
      <w:lvlJc w:val="left"/>
      <w:pPr>
        <w:ind w:left="720" w:hanging="360"/>
      </w:pPr>
    </w:lvl>
    <w:lvl w:ilvl="1" w:tplc="6E18EB54">
      <w:numFmt w:val="decimal"/>
      <w:lvlText w:val=""/>
      <w:lvlJc w:val="left"/>
    </w:lvl>
    <w:lvl w:ilvl="2" w:tplc="A0EAB724">
      <w:numFmt w:val="decimal"/>
      <w:lvlText w:val=""/>
      <w:lvlJc w:val="left"/>
    </w:lvl>
    <w:lvl w:ilvl="3" w:tplc="56F45608">
      <w:numFmt w:val="decimal"/>
      <w:lvlText w:val=""/>
      <w:lvlJc w:val="left"/>
    </w:lvl>
    <w:lvl w:ilvl="4" w:tplc="01B00D40">
      <w:numFmt w:val="decimal"/>
      <w:lvlText w:val=""/>
      <w:lvlJc w:val="left"/>
    </w:lvl>
    <w:lvl w:ilvl="5" w:tplc="C17653F6">
      <w:numFmt w:val="decimal"/>
      <w:lvlText w:val=""/>
      <w:lvlJc w:val="left"/>
    </w:lvl>
    <w:lvl w:ilvl="6" w:tplc="8B9C56F2">
      <w:numFmt w:val="decimal"/>
      <w:lvlText w:val=""/>
      <w:lvlJc w:val="left"/>
    </w:lvl>
    <w:lvl w:ilvl="7" w:tplc="0B3438A6">
      <w:numFmt w:val="decimal"/>
      <w:lvlText w:val=""/>
      <w:lvlJc w:val="left"/>
    </w:lvl>
    <w:lvl w:ilvl="8" w:tplc="ACF00C1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AC2"/>
    <w:rsid w:val="007D0FAD"/>
    <w:rsid w:val="00D34AC2"/>
    <w:rsid w:val="00E724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7A89B5-8C48-4212-8209-3CC1DAED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2647</Words>
  <Characters>14563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2026-06-04T02:22:00Z</dcterms:created>
  <dcterms:modified xsi:type="dcterms:W3CDTF">2026-06-04T02:22:00Z</dcterms:modified>
</cp:coreProperties>
</file>