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D5420" w:rsidRDefault="001F25A1">
      <w:pPr>
        <w:spacing w:after="60"/>
      </w:pPr>
      <w:r>
        <w:rPr>
          <w:b/>
          <w:bCs/>
          <w:color w:val="1E3A5F"/>
          <w:sz w:val="52"/>
          <w:szCs w:val="52"/>
        </w:rPr>
        <w:t>THE BILL JDVS</w:t>
      </w:r>
    </w:p>
    <w:p w:rsidR="006D5420" w:rsidRDefault="001F25A1">
      <w:pPr>
        <w:spacing w:after="60"/>
      </w:pPr>
      <w:r>
        <w:rPr>
          <w:b/>
          <w:bCs/>
          <w:color w:val="2471A3"/>
          <w:sz w:val="32"/>
          <w:szCs w:val="32"/>
        </w:rPr>
        <w:t>Matriz de Gestión de Interesados (</w:t>
      </w:r>
      <w:proofErr w:type="spellStart"/>
      <w:r>
        <w:rPr>
          <w:b/>
          <w:bCs/>
          <w:color w:val="2471A3"/>
          <w:sz w:val="32"/>
          <w:szCs w:val="32"/>
        </w:rPr>
        <w:t>Stakeholders</w:t>
      </w:r>
      <w:proofErr w:type="spellEnd"/>
      <w:r>
        <w:rPr>
          <w:b/>
          <w:bCs/>
          <w:color w:val="2471A3"/>
          <w:sz w:val="32"/>
          <w:szCs w:val="32"/>
        </w:rPr>
        <w:t>)</w:t>
      </w:r>
    </w:p>
    <w:p w:rsidR="006D5420" w:rsidRDefault="001F25A1">
      <w:pPr>
        <w:spacing w:after="200"/>
      </w:pPr>
      <w:r>
        <w:rPr>
          <w:color w:val="888888"/>
          <w:sz w:val="18"/>
          <w:szCs w:val="18"/>
        </w:rPr>
        <w:t xml:space="preserve">Versión </w:t>
      </w:r>
      <w:proofErr w:type="gramStart"/>
      <w:r>
        <w:rPr>
          <w:color w:val="888888"/>
          <w:sz w:val="18"/>
          <w:szCs w:val="18"/>
        </w:rPr>
        <w:t>1.0  |</w:t>
      </w:r>
      <w:proofErr w:type="gramEnd"/>
      <w:r>
        <w:rPr>
          <w:color w:val="888888"/>
          <w:sz w:val="18"/>
          <w:szCs w:val="18"/>
        </w:rPr>
        <w:t xml:space="preserve">  Mayo 2026  |  Equipo JDVS  |  Asignatura: Sistemas Empresariales</w:t>
      </w:r>
    </w:p>
    <w:p w:rsidR="006D5420" w:rsidRDefault="006D5420">
      <w:pPr>
        <w:pBdr>
          <w:bottom w:val="single" w:sz="6" w:space="1" w:color="1E3A5F"/>
        </w:pBdr>
        <w:spacing w:before="120" w:after="120"/>
      </w:pPr>
    </w:p>
    <w:p w:rsidR="006D5420" w:rsidRDefault="001F25A1">
      <w:pPr>
        <w:spacing w:before="300" w:after="120"/>
      </w:pPr>
      <w:r>
        <w:rPr>
          <w:b/>
          <w:bCs/>
          <w:color w:val="1E3A5F"/>
          <w:sz w:val="26"/>
          <w:szCs w:val="26"/>
        </w:rPr>
        <w:t>1. Propósito del Documento</w:t>
      </w:r>
    </w:p>
    <w:p w:rsidR="006D5420" w:rsidRDefault="001F25A1">
      <w:pPr>
        <w:spacing w:before="60" w:after="80"/>
      </w:pPr>
      <w:r>
        <w:rPr>
          <w:color w:val="2C2C2C"/>
        </w:rPr>
        <w:t xml:space="preserve">Este documento identifica, clasifica y define la estrategia de gestión de todos los actores con influencia o interés en el proyecto </w:t>
      </w:r>
      <w:proofErr w:type="spellStart"/>
      <w:r>
        <w:rPr>
          <w:color w:val="2C2C2C"/>
        </w:rPr>
        <w:t>The</w:t>
      </w:r>
      <w:proofErr w:type="spellEnd"/>
      <w:r>
        <w:rPr>
          <w:color w:val="2C2C2C"/>
        </w:rPr>
        <w:t xml:space="preserve"> Bill JDVS. El análisis utiliza la matriz de Poder/Interés para priorizar los esfuerzos de comunicación y garantizar la alineación de expectativas durante el ciclo de 12 semanas de desarrollo del MVP.</w:t>
      </w:r>
    </w:p>
    <w:p w:rsidR="006D5420" w:rsidRDefault="006D5420">
      <w:pPr>
        <w:pBdr>
          <w:bottom w:val="single" w:sz="6" w:space="1" w:color="1E3A5F"/>
        </w:pBdr>
        <w:spacing w:before="120" w:after="120"/>
      </w:pPr>
    </w:p>
    <w:p w:rsidR="006D5420" w:rsidRDefault="001F25A1">
      <w:pPr>
        <w:spacing w:before="300" w:after="120"/>
      </w:pPr>
      <w:r>
        <w:rPr>
          <w:b/>
          <w:bCs/>
          <w:color w:val="1E3A5F"/>
          <w:sz w:val="26"/>
          <w:szCs w:val="26"/>
        </w:rPr>
        <w:t>2. Registro de Interesados</w:t>
      </w:r>
    </w:p>
    <w:tbl>
      <w:tblPr>
        <w:tblW w:w="11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0"/>
        <w:gridCol w:w="1831"/>
        <w:gridCol w:w="1401"/>
        <w:gridCol w:w="1381"/>
        <w:gridCol w:w="1081"/>
        <w:gridCol w:w="831"/>
        <w:gridCol w:w="1171"/>
        <w:gridCol w:w="2021"/>
        <w:gridCol w:w="1091"/>
      </w:tblGrid>
      <w:tr w:rsidR="006D5420" w:rsidTr="001F25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9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D5420" w:rsidRDefault="001F25A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831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D5420" w:rsidRDefault="001F25A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Nombre / Rol</w:t>
            </w:r>
          </w:p>
        </w:tc>
        <w:tc>
          <w:tcPr>
            <w:tcW w:w="1401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D5420" w:rsidRDefault="001F25A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 en Proyecto</w:t>
            </w:r>
          </w:p>
        </w:tc>
        <w:tc>
          <w:tcPr>
            <w:tcW w:w="1381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D5420" w:rsidRDefault="001F25A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Organización</w:t>
            </w:r>
          </w:p>
        </w:tc>
        <w:tc>
          <w:tcPr>
            <w:tcW w:w="1081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D5420" w:rsidRDefault="001F25A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Influencia</w:t>
            </w:r>
          </w:p>
        </w:tc>
        <w:tc>
          <w:tcPr>
            <w:tcW w:w="831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D5420" w:rsidRDefault="001F25A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Interés</w:t>
            </w:r>
          </w:p>
        </w:tc>
        <w:tc>
          <w:tcPr>
            <w:tcW w:w="1171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D5420" w:rsidRDefault="001F25A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Estrategia</w:t>
            </w:r>
          </w:p>
        </w:tc>
        <w:tc>
          <w:tcPr>
            <w:tcW w:w="2021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D5420" w:rsidRDefault="001F25A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Necesidades y Expectativas</w:t>
            </w:r>
          </w:p>
        </w:tc>
        <w:tc>
          <w:tcPr>
            <w:tcW w:w="1091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D5420" w:rsidRDefault="001F25A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Actitud</w:t>
            </w:r>
          </w:p>
        </w:tc>
      </w:tr>
      <w:tr w:rsidR="006D5420" w:rsidTr="001F25A1">
        <w:tblPrEx>
          <w:tblCellMar>
            <w:top w:w="0" w:type="dxa"/>
            <w:bottom w:w="0" w:type="dxa"/>
          </w:tblCellMar>
        </w:tblPrEx>
        <w:tc>
          <w:tcPr>
            <w:tcW w:w="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INT-01</w:t>
            </w:r>
          </w:p>
        </w:tc>
        <w:tc>
          <w:tcPr>
            <w:tcW w:w="18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r>
              <w:rPr>
                <w:color w:val="1A1A1A"/>
                <w:sz w:val="18"/>
                <w:szCs w:val="18"/>
              </w:rPr>
              <w:t>Equipo de Finanzas / Analistas de Cuentas por Cobrar</w:t>
            </w:r>
          </w:p>
        </w:tc>
        <w:tc>
          <w:tcPr>
            <w:tcW w:w="14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r>
              <w:rPr>
                <w:color w:val="1A1A1A"/>
                <w:sz w:val="18"/>
                <w:szCs w:val="18"/>
              </w:rPr>
              <w:t>Usuario Clave</w:t>
            </w:r>
          </w:p>
        </w:tc>
        <w:tc>
          <w:tcPr>
            <w:tcW w:w="13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r>
              <w:rPr>
                <w:color w:val="1A1A1A"/>
                <w:sz w:val="18"/>
                <w:szCs w:val="18"/>
              </w:rPr>
              <w:t>Empresa (Interno)</w:t>
            </w:r>
          </w:p>
        </w:tc>
        <w:tc>
          <w:tcPr>
            <w:tcW w:w="10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Alto</w:t>
            </w:r>
          </w:p>
        </w:tc>
        <w:tc>
          <w:tcPr>
            <w:tcW w:w="8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D3C9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Muy Alto</w:t>
            </w:r>
          </w:p>
        </w:tc>
        <w:tc>
          <w:tcPr>
            <w:tcW w:w="11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Gestionar de Cerca</w:t>
            </w:r>
          </w:p>
        </w:tc>
        <w:tc>
          <w:tcPr>
            <w:tcW w:w="20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r>
              <w:rPr>
                <w:color w:val="1A1A1A"/>
                <w:sz w:val="18"/>
                <w:szCs w:val="18"/>
              </w:rPr>
              <w:t>Automatización de recordatorios; conciliación sin Excel manual. Reducir 15 h/</w:t>
            </w:r>
            <w:proofErr w:type="spellStart"/>
            <w:r>
              <w:rPr>
                <w:color w:val="1A1A1A"/>
                <w:sz w:val="18"/>
                <w:szCs w:val="18"/>
              </w:rPr>
              <w:t>sem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de trabajo operativo; cero errores de digitación.</w:t>
            </w:r>
          </w:p>
        </w:tc>
        <w:tc>
          <w:tcPr>
            <w:tcW w:w="10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Favorable</w:t>
            </w:r>
          </w:p>
        </w:tc>
      </w:tr>
      <w:tr w:rsidR="006D5420" w:rsidTr="001F25A1">
        <w:tblPrEx>
          <w:tblCellMar>
            <w:top w:w="0" w:type="dxa"/>
            <w:bottom w:w="0" w:type="dxa"/>
          </w:tblCellMar>
        </w:tblPrEx>
        <w:tc>
          <w:tcPr>
            <w:tcW w:w="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INT-02</w:t>
            </w:r>
          </w:p>
        </w:tc>
        <w:tc>
          <w:tcPr>
            <w:tcW w:w="18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r>
              <w:rPr>
                <w:color w:val="1A1A1A"/>
                <w:sz w:val="18"/>
                <w:szCs w:val="18"/>
              </w:rPr>
              <w:t>Gerencia Financiera / Tesorería</w:t>
            </w:r>
          </w:p>
        </w:tc>
        <w:tc>
          <w:tcPr>
            <w:tcW w:w="14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r>
              <w:rPr>
                <w:color w:val="1A1A1A"/>
                <w:sz w:val="18"/>
                <w:szCs w:val="18"/>
              </w:rPr>
              <w:t>Sponsor / Decisor</w:t>
            </w:r>
          </w:p>
        </w:tc>
        <w:tc>
          <w:tcPr>
            <w:tcW w:w="13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r>
              <w:rPr>
                <w:color w:val="1A1A1A"/>
                <w:sz w:val="18"/>
                <w:szCs w:val="18"/>
              </w:rPr>
              <w:t>Empresa (Interno)</w:t>
            </w:r>
          </w:p>
        </w:tc>
        <w:tc>
          <w:tcPr>
            <w:tcW w:w="10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D3C9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Muy Alto</w:t>
            </w:r>
          </w:p>
        </w:tc>
        <w:tc>
          <w:tcPr>
            <w:tcW w:w="8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Alto</w:t>
            </w:r>
          </w:p>
        </w:tc>
        <w:tc>
          <w:tcPr>
            <w:tcW w:w="11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Gestionar de Cerca</w:t>
            </w:r>
          </w:p>
        </w:tc>
        <w:tc>
          <w:tcPr>
            <w:tcW w:w="20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r>
              <w:rPr>
                <w:color w:val="1A1A1A"/>
                <w:sz w:val="18"/>
                <w:szCs w:val="18"/>
              </w:rPr>
              <w:t>Visibilidad en tiempo real del flujo de caja y cartera vencida. DSO de 45→36 días; reducción 35% cartera vencida en 6 meses.</w:t>
            </w:r>
          </w:p>
        </w:tc>
        <w:tc>
          <w:tcPr>
            <w:tcW w:w="10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Favorable</w:t>
            </w:r>
          </w:p>
        </w:tc>
      </w:tr>
      <w:tr w:rsidR="006D5420" w:rsidTr="001F25A1">
        <w:tblPrEx>
          <w:tblCellMar>
            <w:top w:w="0" w:type="dxa"/>
            <w:bottom w:w="0" w:type="dxa"/>
          </w:tblCellMar>
        </w:tblPrEx>
        <w:tc>
          <w:tcPr>
            <w:tcW w:w="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INT-03</w:t>
            </w:r>
          </w:p>
        </w:tc>
        <w:tc>
          <w:tcPr>
            <w:tcW w:w="18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r>
              <w:rPr>
                <w:color w:val="1A1A1A"/>
                <w:sz w:val="18"/>
                <w:szCs w:val="18"/>
              </w:rPr>
              <w:t>Clientes B2B (Compradores)</w:t>
            </w:r>
          </w:p>
        </w:tc>
        <w:tc>
          <w:tcPr>
            <w:tcW w:w="14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r>
              <w:rPr>
                <w:color w:val="1A1A1A"/>
                <w:sz w:val="18"/>
                <w:szCs w:val="18"/>
              </w:rPr>
              <w:t>Usuario Final Externo</w:t>
            </w:r>
          </w:p>
        </w:tc>
        <w:tc>
          <w:tcPr>
            <w:tcW w:w="13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r>
              <w:rPr>
                <w:color w:val="1A1A1A"/>
                <w:sz w:val="18"/>
                <w:szCs w:val="18"/>
              </w:rPr>
              <w:t>Clientes de la empresa</w:t>
            </w:r>
          </w:p>
        </w:tc>
        <w:tc>
          <w:tcPr>
            <w:tcW w:w="10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7D31" w:themeFill="accent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482AF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Medio</w:t>
            </w:r>
          </w:p>
        </w:tc>
        <w:tc>
          <w:tcPr>
            <w:tcW w:w="8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Medio</w:t>
            </w:r>
          </w:p>
        </w:tc>
        <w:tc>
          <w:tcPr>
            <w:tcW w:w="11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Mantener Satisfecho</w:t>
            </w:r>
          </w:p>
        </w:tc>
        <w:tc>
          <w:tcPr>
            <w:tcW w:w="20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r>
              <w:rPr>
                <w:color w:val="1A1A1A"/>
                <w:sz w:val="18"/>
                <w:szCs w:val="18"/>
              </w:rPr>
              <w:t>Claridad sobre facturas pendientes; canales de pago fáciles y seguros. Recibir recordatorios oportunos; portal sin fricción para pagar.</w:t>
            </w:r>
          </w:p>
        </w:tc>
        <w:tc>
          <w:tcPr>
            <w:tcW w:w="10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D660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Neutral</w:t>
            </w:r>
          </w:p>
        </w:tc>
      </w:tr>
      <w:tr w:rsidR="006D5420" w:rsidTr="001F25A1">
        <w:tblPrEx>
          <w:tblCellMar>
            <w:top w:w="0" w:type="dxa"/>
            <w:bottom w:w="0" w:type="dxa"/>
          </w:tblCellMar>
        </w:tblPrEx>
        <w:tc>
          <w:tcPr>
            <w:tcW w:w="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INT-04</w:t>
            </w:r>
          </w:p>
        </w:tc>
        <w:tc>
          <w:tcPr>
            <w:tcW w:w="18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r>
              <w:rPr>
                <w:color w:val="1A1A1A"/>
                <w:sz w:val="18"/>
                <w:szCs w:val="18"/>
              </w:rPr>
              <w:t>Ejecutivos de Cuenta / Área de Ventas</w:t>
            </w:r>
          </w:p>
        </w:tc>
        <w:tc>
          <w:tcPr>
            <w:tcW w:w="14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r>
              <w:rPr>
                <w:color w:val="1A1A1A"/>
                <w:sz w:val="18"/>
                <w:szCs w:val="18"/>
              </w:rPr>
              <w:t>Proveedor de Datos / Receptor de Alertas</w:t>
            </w:r>
          </w:p>
        </w:tc>
        <w:tc>
          <w:tcPr>
            <w:tcW w:w="13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r>
              <w:rPr>
                <w:color w:val="1A1A1A"/>
                <w:sz w:val="18"/>
                <w:szCs w:val="18"/>
              </w:rPr>
              <w:t>Empresa (Interno)</w:t>
            </w:r>
          </w:p>
        </w:tc>
        <w:tc>
          <w:tcPr>
            <w:tcW w:w="10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Medio</w:t>
            </w:r>
          </w:p>
        </w:tc>
        <w:tc>
          <w:tcPr>
            <w:tcW w:w="8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Medio</w:t>
            </w:r>
          </w:p>
        </w:tc>
        <w:tc>
          <w:tcPr>
            <w:tcW w:w="11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8F7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Mantener Informado</w:t>
            </w:r>
          </w:p>
        </w:tc>
        <w:tc>
          <w:tcPr>
            <w:tcW w:w="20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r>
              <w:rPr>
                <w:color w:val="1A1A1A"/>
                <w:sz w:val="18"/>
                <w:szCs w:val="18"/>
              </w:rPr>
              <w:t>Alertas automáticas cuando un cliente supere 15 días de morosidad (RF-08). Información consolidada sin tener que buscar en múltiples sistemas.</w:t>
            </w:r>
          </w:p>
        </w:tc>
        <w:tc>
          <w:tcPr>
            <w:tcW w:w="10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Favorable</w:t>
            </w:r>
          </w:p>
        </w:tc>
      </w:tr>
      <w:tr w:rsidR="006D5420" w:rsidTr="001F25A1">
        <w:tblPrEx>
          <w:tblCellMar>
            <w:top w:w="0" w:type="dxa"/>
            <w:bottom w:w="0" w:type="dxa"/>
          </w:tblCellMar>
        </w:tblPrEx>
        <w:tc>
          <w:tcPr>
            <w:tcW w:w="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INT-05</w:t>
            </w:r>
          </w:p>
        </w:tc>
        <w:tc>
          <w:tcPr>
            <w:tcW w:w="18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r>
              <w:rPr>
                <w:color w:val="1A1A1A"/>
                <w:sz w:val="18"/>
                <w:szCs w:val="18"/>
              </w:rPr>
              <w:t>Equipo de Desarrollo (</w:t>
            </w:r>
            <w:proofErr w:type="spellStart"/>
            <w:r>
              <w:rPr>
                <w:color w:val="1A1A1A"/>
                <w:sz w:val="18"/>
                <w:szCs w:val="18"/>
              </w:rPr>
              <w:t>Backend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Frontend</w:t>
            </w:r>
            <w:proofErr w:type="spellEnd"/>
            <w:r>
              <w:rPr>
                <w:color w:val="1A1A1A"/>
                <w:sz w:val="18"/>
                <w:szCs w:val="18"/>
              </w:rPr>
              <w:t>)</w:t>
            </w:r>
          </w:p>
        </w:tc>
        <w:tc>
          <w:tcPr>
            <w:tcW w:w="14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r>
              <w:rPr>
                <w:color w:val="1A1A1A"/>
                <w:sz w:val="18"/>
                <w:szCs w:val="18"/>
              </w:rPr>
              <w:t>Ejecutor Técnico</w:t>
            </w:r>
          </w:p>
        </w:tc>
        <w:tc>
          <w:tcPr>
            <w:tcW w:w="13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r>
              <w:rPr>
                <w:color w:val="1A1A1A"/>
                <w:sz w:val="18"/>
                <w:szCs w:val="18"/>
              </w:rPr>
              <w:t>Equipo JDVS</w:t>
            </w:r>
          </w:p>
        </w:tc>
        <w:tc>
          <w:tcPr>
            <w:tcW w:w="10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Alto</w:t>
            </w:r>
          </w:p>
        </w:tc>
        <w:tc>
          <w:tcPr>
            <w:tcW w:w="8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Alto</w:t>
            </w:r>
          </w:p>
        </w:tc>
        <w:tc>
          <w:tcPr>
            <w:tcW w:w="11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Gestionar de Cerca</w:t>
            </w:r>
          </w:p>
        </w:tc>
        <w:tc>
          <w:tcPr>
            <w:tcW w:w="20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r>
              <w:rPr>
                <w:color w:val="1A1A1A"/>
                <w:sz w:val="18"/>
                <w:szCs w:val="18"/>
              </w:rPr>
              <w:t xml:space="preserve">Requisitos claros; acceso a </w:t>
            </w:r>
            <w:proofErr w:type="spellStart"/>
            <w:r>
              <w:rPr>
                <w:color w:val="1A1A1A"/>
                <w:sz w:val="18"/>
                <w:szCs w:val="18"/>
              </w:rPr>
              <w:t>APIs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del ERP; entorno de pruebas estable. Arquitectura desacoplada aprobada; </w:t>
            </w:r>
            <w:proofErr w:type="spellStart"/>
            <w:r>
              <w:rPr>
                <w:color w:val="1A1A1A"/>
                <w:sz w:val="18"/>
                <w:szCs w:val="18"/>
              </w:rPr>
              <w:t>sprints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con alcance fijo.</w:t>
            </w:r>
          </w:p>
        </w:tc>
        <w:tc>
          <w:tcPr>
            <w:tcW w:w="10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Favorable</w:t>
            </w:r>
          </w:p>
        </w:tc>
      </w:tr>
      <w:tr w:rsidR="00B73843" w:rsidTr="00BF74B0">
        <w:tblPrEx>
          <w:tblCellMar>
            <w:top w:w="0" w:type="dxa"/>
            <w:bottom w:w="0" w:type="dxa"/>
          </w:tblCellMar>
        </w:tblPrEx>
        <w:tc>
          <w:tcPr>
            <w:tcW w:w="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3843" w:rsidRDefault="00B73843" w:rsidP="00B73843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lastRenderedPageBreak/>
              <w:t>INT-06</w:t>
            </w:r>
          </w:p>
        </w:tc>
        <w:tc>
          <w:tcPr>
            <w:tcW w:w="18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3843" w:rsidRDefault="00B73843" w:rsidP="00B73843">
            <w:r>
              <w:rPr>
                <w:color w:val="1A1A1A"/>
                <w:sz w:val="18"/>
                <w:szCs w:val="18"/>
              </w:rPr>
              <w:t>Área de TI / Administradores del ERP</w:t>
            </w:r>
          </w:p>
        </w:tc>
        <w:tc>
          <w:tcPr>
            <w:tcW w:w="14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3843" w:rsidRDefault="00B73843" w:rsidP="00B73843">
            <w:r>
              <w:rPr>
                <w:color w:val="1A1A1A"/>
                <w:sz w:val="18"/>
                <w:szCs w:val="18"/>
              </w:rPr>
              <w:t>Proveedor de Infraestructura</w:t>
            </w:r>
          </w:p>
        </w:tc>
        <w:tc>
          <w:tcPr>
            <w:tcW w:w="13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3843" w:rsidRDefault="00B73843" w:rsidP="00B73843">
            <w:r>
              <w:rPr>
                <w:color w:val="1A1A1A"/>
                <w:sz w:val="18"/>
                <w:szCs w:val="18"/>
              </w:rPr>
              <w:t>Empresa (Interno)</w:t>
            </w:r>
          </w:p>
        </w:tc>
        <w:tc>
          <w:tcPr>
            <w:tcW w:w="10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3843" w:rsidRDefault="00B73843" w:rsidP="00B7384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Alto</w:t>
            </w:r>
          </w:p>
        </w:tc>
        <w:tc>
          <w:tcPr>
            <w:tcW w:w="8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3843" w:rsidRDefault="00B73843" w:rsidP="00B7384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Alto</w:t>
            </w:r>
          </w:p>
        </w:tc>
        <w:tc>
          <w:tcPr>
            <w:tcW w:w="11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3843" w:rsidRDefault="00B73843" w:rsidP="00B7384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Mantener Satisfecho</w:t>
            </w:r>
          </w:p>
        </w:tc>
        <w:tc>
          <w:tcPr>
            <w:tcW w:w="20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3843" w:rsidRDefault="00B73843" w:rsidP="00B73843">
            <w:r>
              <w:rPr>
                <w:color w:val="1A1A1A"/>
                <w:sz w:val="18"/>
                <w:szCs w:val="18"/>
              </w:rPr>
              <w:t>Acceso controlado al ERP sin riesgos de corrupción de datos. Adaptador con logs de errores; sin modificación de la BD principal.</w:t>
            </w:r>
          </w:p>
        </w:tc>
        <w:tc>
          <w:tcPr>
            <w:tcW w:w="10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D660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3843" w:rsidRDefault="00B73843" w:rsidP="00B7384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Neutral</w:t>
            </w:r>
          </w:p>
        </w:tc>
      </w:tr>
      <w:tr w:rsidR="00B73843" w:rsidTr="001F25A1">
        <w:tblPrEx>
          <w:tblCellMar>
            <w:top w:w="0" w:type="dxa"/>
            <w:bottom w:w="0" w:type="dxa"/>
          </w:tblCellMar>
        </w:tblPrEx>
        <w:tc>
          <w:tcPr>
            <w:tcW w:w="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3843" w:rsidRDefault="00B73843" w:rsidP="00B73843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INT-07</w:t>
            </w:r>
          </w:p>
        </w:tc>
        <w:tc>
          <w:tcPr>
            <w:tcW w:w="18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3843" w:rsidRDefault="00B73843" w:rsidP="00B73843">
            <w:r>
              <w:rPr>
                <w:color w:val="1A1A1A"/>
                <w:sz w:val="18"/>
                <w:szCs w:val="18"/>
              </w:rPr>
              <w:t>Pasarela de Pagos / Entidad Bancaria</w:t>
            </w:r>
          </w:p>
        </w:tc>
        <w:tc>
          <w:tcPr>
            <w:tcW w:w="14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3843" w:rsidRDefault="00B73843" w:rsidP="00B73843">
            <w:r>
              <w:rPr>
                <w:color w:val="1A1A1A"/>
                <w:sz w:val="18"/>
                <w:szCs w:val="18"/>
              </w:rPr>
              <w:t>Proveedor Externo de Servicios</w:t>
            </w:r>
          </w:p>
        </w:tc>
        <w:tc>
          <w:tcPr>
            <w:tcW w:w="13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3843" w:rsidRDefault="00B73843" w:rsidP="00B73843">
            <w:r>
              <w:rPr>
                <w:color w:val="1A1A1A"/>
                <w:sz w:val="18"/>
                <w:szCs w:val="18"/>
              </w:rPr>
              <w:t>Tercero</w:t>
            </w:r>
          </w:p>
        </w:tc>
        <w:tc>
          <w:tcPr>
            <w:tcW w:w="10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3843" w:rsidRDefault="00B73843" w:rsidP="00B7384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Medio</w:t>
            </w:r>
          </w:p>
        </w:tc>
        <w:tc>
          <w:tcPr>
            <w:tcW w:w="8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3843" w:rsidRDefault="00B73843" w:rsidP="00B7384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Bajo</w:t>
            </w:r>
          </w:p>
        </w:tc>
        <w:tc>
          <w:tcPr>
            <w:tcW w:w="11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97D7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3843" w:rsidRDefault="00B73843" w:rsidP="00B7384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Monitorear</w:t>
            </w:r>
          </w:p>
        </w:tc>
        <w:tc>
          <w:tcPr>
            <w:tcW w:w="20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3843" w:rsidRDefault="00B73843" w:rsidP="00B73843">
            <w:r>
              <w:rPr>
                <w:color w:val="1A1A1A"/>
                <w:sz w:val="18"/>
                <w:szCs w:val="18"/>
              </w:rPr>
              <w:t>Integración estándar mediante API/</w:t>
            </w:r>
            <w:proofErr w:type="spellStart"/>
            <w:r>
              <w:rPr>
                <w:color w:val="1A1A1A"/>
                <w:sz w:val="18"/>
                <w:szCs w:val="18"/>
              </w:rPr>
              <w:t>Webhook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; certificados TLS vigentes. Correcto manejo de </w:t>
            </w:r>
            <w:proofErr w:type="spellStart"/>
            <w:r>
              <w:rPr>
                <w:color w:val="1A1A1A"/>
                <w:sz w:val="18"/>
                <w:szCs w:val="18"/>
              </w:rPr>
              <w:t>webhooks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firmados; </w:t>
            </w:r>
            <w:proofErr w:type="spellStart"/>
            <w:r>
              <w:rPr>
                <w:color w:val="1A1A1A"/>
                <w:sz w:val="18"/>
                <w:szCs w:val="18"/>
              </w:rPr>
              <w:t>fallback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ante caída del servicio.</w:t>
            </w:r>
          </w:p>
        </w:tc>
        <w:tc>
          <w:tcPr>
            <w:tcW w:w="10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D660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3843" w:rsidRDefault="00B73843" w:rsidP="00B7384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Neutral</w:t>
            </w:r>
          </w:p>
        </w:tc>
      </w:tr>
    </w:tbl>
    <w:p w:rsidR="006D5420" w:rsidRDefault="006D5420">
      <w:pPr>
        <w:spacing w:before="200"/>
      </w:pPr>
    </w:p>
    <w:p w:rsidR="006D5420" w:rsidRDefault="006D5420">
      <w:pPr>
        <w:pBdr>
          <w:bottom w:val="single" w:sz="6" w:space="1" w:color="1E3A5F"/>
        </w:pBdr>
        <w:spacing w:before="120" w:after="120"/>
      </w:pPr>
    </w:p>
    <w:p w:rsidR="006D5420" w:rsidRDefault="001F25A1">
      <w:pPr>
        <w:spacing w:before="300" w:after="120"/>
      </w:pPr>
      <w:r>
        <w:rPr>
          <w:b/>
          <w:bCs/>
          <w:color w:val="1E3A5F"/>
          <w:sz w:val="26"/>
          <w:szCs w:val="26"/>
        </w:rPr>
        <w:t>3. Clasificación por Cuadrante de Poder / Interés</w:t>
      </w:r>
    </w:p>
    <w:p w:rsidR="006D5420" w:rsidRDefault="001F25A1">
      <w:pPr>
        <w:spacing w:before="60" w:after="80"/>
      </w:pPr>
      <w:r>
        <w:rPr>
          <w:color w:val="2C2C2C"/>
        </w:rPr>
        <w:t xml:space="preserve">Con base en el modelo de gestión de interesados del PMI (PMBOK), se clasifica cada actor en la estrategia de </w:t>
      </w:r>
      <w:proofErr w:type="spellStart"/>
      <w:r>
        <w:rPr>
          <w:color w:val="2C2C2C"/>
        </w:rPr>
        <w:t>engagement</w:t>
      </w:r>
      <w:proofErr w:type="spellEnd"/>
      <w:r>
        <w:rPr>
          <w:color w:val="2C2C2C"/>
        </w:rPr>
        <w:t xml:space="preserve"> correspondiente:</w:t>
      </w:r>
    </w:p>
    <w:p w:rsidR="006D5420" w:rsidRDefault="006D5420">
      <w:pPr>
        <w:spacing w:before="10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00"/>
        <w:gridCol w:w="4400"/>
      </w:tblGrid>
      <w:tr w:rsidR="006D542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D5420" w:rsidRDefault="001F25A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Cuadrante</w:t>
            </w:r>
          </w:p>
        </w:tc>
        <w:tc>
          <w:tcPr>
            <w:tcW w:w="2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D5420" w:rsidRDefault="001F25A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Estrategia</w:t>
            </w:r>
          </w:p>
        </w:tc>
        <w:tc>
          <w:tcPr>
            <w:tcW w:w="4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D5420" w:rsidRDefault="001F25A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Interesados</w:t>
            </w:r>
          </w:p>
        </w:tc>
      </w:tr>
      <w:tr w:rsidR="006D542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r>
              <w:rPr>
                <w:color w:val="1A1A1A"/>
                <w:sz w:val="18"/>
                <w:szCs w:val="18"/>
              </w:rPr>
              <w:t>Alto Poder / Alto Interés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r>
              <w:rPr>
                <w:b/>
                <w:bCs/>
                <w:color w:val="1A1A1A"/>
                <w:sz w:val="18"/>
                <w:szCs w:val="18"/>
              </w:rPr>
              <w:t>Gestionar de Cerca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r>
              <w:rPr>
                <w:color w:val="1A1A1A"/>
                <w:sz w:val="18"/>
                <w:szCs w:val="18"/>
              </w:rPr>
              <w:t>INT-01, INT-02, INT-05, INT-08</w:t>
            </w:r>
          </w:p>
        </w:tc>
      </w:tr>
      <w:tr w:rsidR="006D542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r>
              <w:rPr>
                <w:color w:val="1A1A1A"/>
                <w:sz w:val="18"/>
                <w:szCs w:val="18"/>
              </w:rPr>
              <w:t>Alto Poder / Bajo Interés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r>
              <w:rPr>
                <w:b/>
                <w:bCs/>
                <w:color w:val="1A1A1A"/>
                <w:sz w:val="18"/>
                <w:szCs w:val="18"/>
              </w:rPr>
              <w:t>Mantener Satisfecho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r>
              <w:rPr>
                <w:color w:val="1A1A1A"/>
                <w:sz w:val="18"/>
                <w:szCs w:val="18"/>
              </w:rPr>
              <w:t>INT-03, INT-06</w:t>
            </w:r>
          </w:p>
        </w:tc>
      </w:tr>
      <w:tr w:rsidR="006D542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r>
              <w:rPr>
                <w:color w:val="1A1A1A"/>
                <w:sz w:val="18"/>
                <w:szCs w:val="18"/>
              </w:rPr>
              <w:t>Bajo Poder / Alto Interés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r>
              <w:rPr>
                <w:b/>
                <w:bCs/>
                <w:color w:val="1A1A1A"/>
                <w:sz w:val="18"/>
                <w:szCs w:val="18"/>
              </w:rPr>
              <w:t>Mantener Informado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r>
              <w:rPr>
                <w:color w:val="1A1A1A"/>
                <w:sz w:val="18"/>
                <w:szCs w:val="18"/>
              </w:rPr>
              <w:t>INT-04</w:t>
            </w:r>
          </w:p>
        </w:tc>
      </w:tr>
      <w:tr w:rsidR="006D542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r>
              <w:rPr>
                <w:color w:val="1A1A1A"/>
                <w:sz w:val="18"/>
                <w:szCs w:val="18"/>
              </w:rPr>
              <w:t>Bajo Poder / Bajo Interés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r>
              <w:rPr>
                <w:b/>
                <w:bCs/>
                <w:color w:val="1A1A1A"/>
                <w:sz w:val="18"/>
                <w:szCs w:val="18"/>
              </w:rPr>
              <w:t>Monitorear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r>
              <w:rPr>
                <w:color w:val="1A1A1A"/>
                <w:sz w:val="18"/>
                <w:szCs w:val="18"/>
              </w:rPr>
              <w:t>INT-07</w:t>
            </w:r>
          </w:p>
        </w:tc>
      </w:tr>
    </w:tbl>
    <w:p w:rsidR="006D5420" w:rsidRDefault="006D5420">
      <w:pPr>
        <w:spacing w:before="200"/>
      </w:pPr>
    </w:p>
    <w:p w:rsidR="006D5420" w:rsidRDefault="006D5420">
      <w:pPr>
        <w:pBdr>
          <w:bottom w:val="single" w:sz="6" w:space="1" w:color="1E3A5F"/>
        </w:pBdr>
        <w:spacing w:before="120" w:after="120"/>
      </w:pPr>
    </w:p>
    <w:p w:rsidR="006D5420" w:rsidRDefault="001F25A1">
      <w:pPr>
        <w:spacing w:before="300" w:after="120"/>
      </w:pPr>
      <w:r>
        <w:rPr>
          <w:b/>
          <w:bCs/>
          <w:color w:val="1E3A5F"/>
          <w:sz w:val="26"/>
          <w:szCs w:val="26"/>
        </w:rPr>
        <w:t xml:space="preserve">4. Plan de Comunicación y </w:t>
      </w:r>
      <w:proofErr w:type="spellStart"/>
      <w:r>
        <w:rPr>
          <w:b/>
          <w:bCs/>
          <w:color w:val="1E3A5F"/>
          <w:sz w:val="26"/>
          <w:szCs w:val="26"/>
        </w:rPr>
        <w:t>Engagement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800"/>
        <w:gridCol w:w="1500"/>
        <w:gridCol w:w="2100"/>
        <w:gridCol w:w="1500"/>
        <w:gridCol w:w="1500"/>
      </w:tblGrid>
      <w:tr w:rsidR="006D542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D5420" w:rsidRDefault="001F25A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D5420" w:rsidRDefault="001F25A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Interesado</w:t>
            </w:r>
          </w:p>
        </w:tc>
        <w:tc>
          <w:tcPr>
            <w:tcW w:w="15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D5420" w:rsidRDefault="001F25A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Canal</w:t>
            </w:r>
          </w:p>
        </w:tc>
        <w:tc>
          <w:tcPr>
            <w:tcW w:w="21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D5420" w:rsidRDefault="001F25A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Contenido / Mensaje Clave</w:t>
            </w:r>
          </w:p>
        </w:tc>
        <w:tc>
          <w:tcPr>
            <w:tcW w:w="15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D5420" w:rsidRDefault="001F25A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Frecuencia</w:t>
            </w:r>
          </w:p>
        </w:tc>
        <w:tc>
          <w:tcPr>
            <w:tcW w:w="15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D5420" w:rsidRDefault="001F25A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</w:tr>
      <w:tr w:rsidR="006D542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r>
              <w:rPr>
                <w:color w:val="1A1A1A"/>
                <w:sz w:val="18"/>
                <w:szCs w:val="18"/>
              </w:rPr>
              <w:t>INT-01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r>
              <w:rPr>
                <w:color w:val="1A1A1A"/>
                <w:sz w:val="18"/>
                <w:szCs w:val="18"/>
              </w:rPr>
              <w:t>Equipo Finanzas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r>
              <w:rPr>
                <w:color w:val="1A1A1A"/>
                <w:sz w:val="18"/>
                <w:szCs w:val="18"/>
              </w:rPr>
              <w:t>Reunión / Demo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r>
              <w:rPr>
                <w:color w:val="1A1A1A"/>
                <w:sz w:val="18"/>
                <w:szCs w:val="18"/>
              </w:rPr>
              <w:t xml:space="preserve">Validación de recordatorios y conciliación; piloto </w:t>
            </w:r>
            <w:proofErr w:type="spellStart"/>
            <w:r>
              <w:rPr>
                <w:color w:val="1A1A1A"/>
                <w:sz w:val="18"/>
                <w:szCs w:val="18"/>
              </w:rPr>
              <w:t>shadow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billing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r>
              <w:rPr>
                <w:color w:val="1A1A1A"/>
                <w:sz w:val="18"/>
                <w:szCs w:val="18"/>
              </w:rPr>
              <w:t>Semanal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r>
              <w:rPr>
                <w:color w:val="1A1A1A"/>
                <w:sz w:val="18"/>
                <w:szCs w:val="18"/>
              </w:rPr>
              <w:t>Líder Proyecto</w:t>
            </w:r>
          </w:p>
        </w:tc>
      </w:tr>
      <w:tr w:rsidR="006D542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r>
              <w:rPr>
                <w:color w:val="1A1A1A"/>
                <w:sz w:val="18"/>
                <w:szCs w:val="18"/>
              </w:rPr>
              <w:t>INT-02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r>
              <w:rPr>
                <w:color w:val="1A1A1A"/>
                <w:sz w:val="18"/>
                <w:szCs w:val="18"/>
              </w:rPr>
              <w:t>Gerencia Financiera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r>
              <w:rPr>
                <w:color w:val="1A1A1A"/>
                <w:sz w:val="18"/>
                <w:szCs w:val="18"/>
              </w:rPr>
              <w:t>Informe ejecutivo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r>
              <w:rPr>
                <w:color w:val="1A1A1A"/>
                <w:sz w:val="18"/>
                <w:szCs w:val="18"/>
              </w:rPr>
              <w:t>Estado del Sprint; métricas DSO y cartera vencida actualizadas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r>
              <w:rPr>
                <w:color w:val="1A1A1A"/>
                <w:sz w:val="18"/>
                <w:szCs w:val="18"/>
              </w:rPr>
              <w:t>Quincenal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r>
              <w:rPr>
                <w:color w:val="1A1A1A"/>
                <w:sz w:val="18"/>
                <w:szCs w:val="18"/>
              </w:rPr>
              <w:t>Líder Proyecto</w:t>
            </w:r>
          </w:p>
        </w:tc>
      </w:tr>
      <w:tr w:rsidR="006D542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r>
              <w:rPr>
                <w:color w:val="1A1A1A"/>
                <w:sz w:val="18"/>
                <w:szCs w:val="18"/>
              </w:rPr>
              <w:t>INT-03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r>
              <w:rPr>
                <w:color w:val="1A1A1A"/>
                <w:sz w:val="18"/>
                <w:szCs w:val="18"/>
              </w:rPr>
              <w:t>Clientes B2B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r>
              <w:rPr>
                <w:color w:val="1A1A1A"/>
                <w:sz w:val="18"/>
                <w:szCs w:val="18"/>
              </w:rPr>
              <w:t>Email / Portal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r>
              <w:rPr>
                <w:color w:val="1A1A1A"/>
                <w:sz w:val="18"/>
                <w:szCs w:val="18"/>
              </w:rPr>
              <w:t>Guía de uso del portal de pagos; beneficios del nuevo canal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r>
              <w:rPr>
                <w:color w:val="1A1A1A"/>
                <w:sz w:val="18"/>
                <w:szCs w:val="18"/>
              </w:rPr>
              <w:t>Al lanzamiento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r>
              <w:rPr>
                <w:color w:val="1A1A1A"/>
                <w:sz w:val="18"/>
                <w:szCs w:val="18"/>
              </w:rPr>
              <w:t>Área Finanzas</w:t>
            </w:r>
          </w:p>
        </w:tc>
      </w:tr>
      <w:tr w:rsidR="006D542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r>
              <w:rPr>
                <w:color w:val="1A1A1A"/>
                <w:sz w:val="18"/>
                <w:szCs w:val="18"/>
              </w:rPr>
              <w:lastRenderedPageBreak/>
              <w:t>INT-04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r>
              <w:rPr>
                <w:color w:val="1A1A1A"/>
                <w:sz w:val="18"/>
                <w:szCs w:val="18"/>
              </w:rPr>
              <w:t>Ejecutivos de Cuenta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proofErr w:type="spellStart"/>
            <w:r>
              <w:rPr>
                <w:color w:val="1A1A1A"/>
                <w:sz w:val="18"/>
                <w:szCs w:val="18"/>
              </w:rPr>
              <w:t>Dashboard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/ Email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r>
              <w:rPr>
                <w:color w:val="1A1A1A"/>
                <w:sz w:val="18"/>
                <w:szCs w:val="18"/>
              </w:rPr>
              <w:t>Alertas de morosidad &gt;15 días; reporte de clientes críticos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r>
              <w:rPr>
                <w:color w:val="1A1A1A"/>
                <w:sz w:val="18"/>
                <w:szCs w:val="18"/>
              </w:rPr>
              <w:t>Semanal (auto)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r>
              <w:rPr>
                <w:color w:val="1A1A1A"/>
                <w:sz w:val="18"/>
                <w:szCs w:val="18"/>
              </w:rPr>
              <w:t>Sistema</w:t>
            </w:r>
          </w:p>
        </w:tc>
      </w:tr>
      <w:tr w:rsidR="006D542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r>
              <w:rPr>
                <w:color w:val="1A1A1A"/>
                <w:sz w:val="18"/>
                <w:szCs w:val="18"/>
              </w:rPr>
              <w:t>INT-05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r>
              <w:rPr>
                <w:color w:val="1A1A1A"/>
                <w:sz w:val="18"/>
                <w:szCs w:val="18"/>
              </w:rPr>
              <w:t>Equipo Desarrollo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proofErr w:type="spellStart"/>
            <w:r>
              <w:rPr>
                <w:color w:val="1A1A1A"/>
                <w:sz w:val="18"/>
                <w:szCs w:val="18"/>
              </w:rPr>
              <w:t>Daily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1A1A1A"/>
                <w:sz w:val="18"/>
                <w:szCs w:val="18"/>
              </w:rPr>
              <w:t>Slack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r>
              <w:rPr>
                <w:color w:val="1A1A1A"/>
                <w:sz w:val="18"/>
                <w:szCs w:val="18"/>
              </w:rPr>
              <w:t>Backlog del Sprint; bloqueos técnicos; revisión de arquitectura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r>
              <w:rPr>
                <w:color w:val="1A1A1A"/>
                <w:sz w:val="18"/>
                <w:szCs w:val="18"/>
              </w:rPr>
              <w:t>Diario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proofErr w:type="spellStart"/>
            <w:r>
              <w:rPr>
                <w:color w:val="1A1A1A"/>
                <w:sz w:val="18"/>
                <w:szCs w:val="18"/>
              </w:rPr>
              <w:t>Tech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Lead</w:t>
            </w:r>
          </w:p>
        </w:tc>
      </w:tr>
      <w:tr w:rsidR="006D542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r>
              <w:rPr>
                <w:color w:val="1A1A1A"/>
                <w:sz w:val="18"/>
                <w:szCs w:val="18"/>
              </w:rPr>
              <w:t>INT-06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r>
              <w:rPr>
                <w:color w:val="1A1A1A"/>
                <w:sz w:val="18"/>
                <w:szCs w:val="18"/>
              </w:rPr>
              <w:t xml:space="preserve">TI / </w:t>
            </w:r>
            <w:proofErr w:type="spellStart"/>
            <w:r>
              <w:rPr>
                <w:color w:val="1A1A1A"/>
                <w:sz w:val="18"/>
                <w:szCs w:val="18"/>
              </w:rPr>
              <w:t>Admin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ERP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r>
              <w:rPr>
                <w:color w:val="1A1A1A"/>
                <w:sz w:val="18"/>
                <w:szCs w:val="18"/>
              </w:rPr>
              <w:t>Reunión técnica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r>
              <w:rPr>
                <w:color w:val="1A1A1A"/>
                <w:sz w:val="18"/>
                <w:szCs w:val="18"/>
              </w:rPr>
              <w:t xml:space="preserve">Esquema de integración; logs del adaptador; plan de </w:t>
            </w:r>
            <w:proofErr w:type="spellStart"/>
            <w:r>
              <w:rPr>
                <w:color w:val="1A1A1A"/>
                <w:sz w:val="18"/>
                <w:szCs w:val="18"/>
              </w:rPr>
              <w:t>rollback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r>
              <w:rPr>
                <w:color w:val="1A1A1A"/>
                <w:sz w:val="18"/>
                <w:szCs w:val="18"/>
              </w:rPr>
              <w:t>Semanal S1-S4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proofErr w:type="spellStart"/>
            <w:r>
              <w:rPr>
                <w:color w:val="1A1A1A"/>
                <w:sz w:val="18"/>
                <w:szCs w:val="18"/>
              </w:rPr>
              <w:t>Backend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Dev</w:t>
            </w:r>
          </w:p>
        </w:tc>
      </w:tr>
      <w:tr w:rsidR="006D542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r>
              <w:rPr>
                <w:color w:val="1A1A1A"/>
                <w:sz w:val="18"/>
                <w:szCs w:val="18"/>
              </w:rPr>
              <w:t>INT-07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r>
              <w:rPr>
                <w:color w:val="1A1A1A"/>
                <w:sz w:val="18"/>
                <w:szCs w:val="18"/>
              </w:rPr>
              <w:t>Pasarela de Pagos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r>
              <w:rPr>
                <w:color w:val="1A1A1A"/>
                <w:sz w:val="18"/>
                <w:szCs w:val="18"/>
              </w:rPr>
              <w:t>API / Contrato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r>
              <w:rPr>
                <w:color w:val="1A1A1A"/>
                <w:sz w:val="18"/>
                <w:szCs w:val="18"/>
              </w:rPr>
              <w:t xml:space="preserve">Especificación de </w:t>
            </w:r>
            <w:proofErr w:type="spellStart"/>
            <w:r>
              <w:rPr>
                <w:color w:val="1A1A1A"/>
                <w:sz w:val="18"/>
                <w:szCs w:val="18"/>
              </w:rPr>
              <w:t>webhooks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; SLA acordado; </w:t>
            </w:r>
            <w:proofErr w:type="spellStart"/>
            <w:r>
              <w:rPr>
                <w:color w:val="1A1A1A"/>
                <w:sz w:val="18"/>
                <w:szCs w:val="18"/>
              </w:rPr>
              <w:t>fallback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activado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r>
              <w:rPr>
                <w:color w:val="1A1A1A"/>
                <w:sz w:val="18"/>
                <w:szCs w:val="18"/>
              </w:rPr>
              <w:t>Por eventos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5420" w:rsidRDefault="001F25A1">
            <w:proofErr w:type="spellStart"/>
            <w:r>
              <w:rPr>
                <w:color w:val="1A1A1A"/>
                <w:sz w:val="18"/>
                <w:szCs w:val="18"/>
              </w:rPr>
              <w:t>Backend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Dev</w:t>
            </w:r>
          </w:p>
        </w:tc>
      </w:tr>
    </w:tbl>
    <w:p w:rsidR="006D5420" w:rsidRDefault="006D5420">
      <w:pPr>
        <w:spacing w:before="200"/>
      </w:pPr>
    </w:p>
    <w:p w:rsidR="006D5420" w:rsidRDefault="006D5420">
      <w:pPr>
        <w:pBdr>
          <w:bottom w:val="single" w:sz="6" w:space="1" w:color="1E3A5F"/>
        </w:pBdr>
        <w:spacing w:before="120" w:after="120"/>
      </w:pPr>
    </w:p>
    <w:p w:rsidR="006D5420" w:rsidRDefault="001F25A1">
      <w:pPr>
        <w:spacing w:before="300" w:after="120"/>
      </w:pPr>
      <w:r>
        <w:rPr>
          <w:b/>
          <w:bCs/>
          <w:color w:val="1E3A5F"/>
          <w:sz w:val="26"/>
          <w:szCs w:val="26"/>
        </w:rPr>
        <w:t>5. Notas de Análisis</w:t>
      </w:r>
    </w:p>
    <w:p w:rsidR="006D5420" w:rsidRDefault="001F25A1">
      <w:pPr>
        <w:spacing w:before="60" w:after="80"/>
      </w:pPr>
      <w:r>
        <w:rPr>
          <w:color w:val="2C2C2C"/>
        </w:rPr>
        <w:t>• La Gerencia Financiera (INT-02) es el principal sponsor: su aprobación es requisito para avanzar entre fases del MVP.</w:t>
      </w:r>
    </w:p>
    <w:p w:rsidR="006D5420" w:rsidRDefault="001F25A1">
      <w:pPr>
        <w:spacing w:before="60" w:after="80"/>
      </w:pPr>
      <w:r>
        <w:rPr>
          <w:color w:val="2C2C2C"/>
        </w:rPr>
        <w:t>• Los Clientes B2B (INT-03) tienen alta influencia en el éxito del KPI del 35% de reducción de cartera; su baja adopción del portal es el riesgo estratégico más crítico identificado en el Plan de Riesgos.</w:t>
      </w:r>
    </w:p>
    <w:p w:rsidR="006D5420" w:rsidRDefault="001F25A1">
      <w:pPr>
        <w:spacing w:before="60" w:after="80"/>
      </w:pPr>
      <w:r>
        <w:rPr>
          <w:color w:val="2C2C2C"/>
        </w:rPr>
        <w:t>• El Equipo de TI (INT-06) puede convertirse en un bloqueador si no se gestiona desde la Semana 1; se recomienda incluirlo en la revisión de arquitectura del Adaptador ERP desde el inicio.</w:t>
      </w:r>
      <w:bookmarkStart w:id="0" w:name="_GoBack"/>
      <w:bookmarkEnd w:id="0"/>
    </w:p>
    <w:sectPr w:rsidR="006D5420">
      <w:headerReference w:type="default" r:id="rId7"/>
      <w:footerReference w:type="default" r:id="rId8"/>
      <w:pgSz w:w="2016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C595C" w:rsidRDefault="00CC595C">
      <w:r>
        <w:separator/>
      </w:r>
    </w:p>
  </w:endnote>
  <w:endnote w:type="continuationSeparator" w:id="0">
    <w:p w:rsidR="00CC595C" w:rsidRDefault="00CC59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F25A1" w:rsidRDefault="001F25A1">
    <w:pPr>
      <w:pBdr>
        <w:top w:val="single" w:sz="4" w:space="4" w:color="1E3A5F"/>
      </w:pBdr>
      <w:jc w:val="center"/>
    </w:pPr>
    <w:r>
      <w:rPr>
        <w:color w:val="888888"/>
        <w:sz w:val="16"/>
        <w:szCs w:val="16"/>
      </w:rPr>
      <w:t xml:space="preserve">Proyecto </w:t>
    </w:r>
    <w:proofErr w:type="spellStart"/>
    <w:r>
      <w:rPr>
        <w:color w:val="888888"/>
        <w:sz w:val="16"/>
        <w:szCs w:val="16"/>
      </w:rPr>
      <w:t>The</w:t>
    </w:r>
    <w:proofErr w:type="spellEnd"/>
    <w:r>
      <w:rPr>
        <w:color w:val="888888"/>
        <w:sz w:val="16"/>
        <w:szCs w:val="16"/>
      </w:rPr>
      <w:t xml:space="preserve"> Bill JDVS — Equipo </w:t>
    </w:r>
    <w:proofErr w:type="gramStart"/>
    <w:r>
      <w:rPr>
        <w:color w:val="888888"/>
        <w:sz w:val="16"/>
        <w:szCs w:val="16"/>
      </w:rPr>
      <w:t>JDVS  |</w:t>
    </w:r>
    <w:proofErr w:type="gramEnd"/>
    <w:r>
      <w:rPr>
        <w:color w:val="888888"/>
        <w:sz w:val="16"/>
        <w:szCs w:val="16"/>
      </w:rPr>
      <w:t xml:space="preserve">  Confidencial  |  Página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C595C" w:rsidRDefault="00CC595C">
      <w:r>
        <w:separator/>
      </w:r>
    </w:p>
  </w:footnote>
  <w:footnote w:type="continuationSeparator" w:id="0">
    <w:p w:rsidR="00CC595C" w:rsidRDefault="00CC59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F25A1" w:rsidRDefault="001F25A1">
    <w:pPr>
      <w:pBdr>
        <w:bottom w:val="single" w:sz="4" w:space="4" w:color="1E3A5F"/>
      </w:pBdr>
      <w:jc w:val="right"/>
    </w:pPr>
    <w:proofErr w:type="spellStart"/>
    <w:r>
      <w:rPr>
        <w:color w:val="666666"/>
        <w:sz w:val="16"/>
        <w:szCs w:val="16"/>
      </w:rPr>
      <w:t>The</w:t>
    </w:r>
    <w:proofErr w:type="spellEnd"/>
    <w:r>
      <w:rPr>
        <w:color w:val="666666"/>
        <w:sz w:val="16"/>
        <w:szCs w:val="16"/>
      </w:rPr>
      <w:t xml:space="preserve"> Bill </w:t>
    </w:r>
    <w:proofErr w:type="gramStart"/>
    <w:r>
      <w:rPr>
        <w:color w:val="666666"/>
        <w:sz w:val="16"/>
        <w:szCs w:val="16"/>
      </w:rPr>
      <w:t>JDVS  |</w:t>
    </w:r>
    <w:proofErr w:type="gramEnd"/>
    <w:r>
      <w:rPr>
        <w:color w:val="666666"/>
        <w:sz w:val="16"/>
        <w:szCs w:val="16"/>
      </w:rPr>
      <w:t xml:space="preserve">  Matriz de Interesados  |  v1.0 — Mayo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E886E0E"/>
    <w:multiLevelType w:val="hybridMultilevel"/>
    <w:tmpl w:val="CDACC9F8"/>
    <w:lvl w:ilvl="0" w:tplc="AFE21700">
      <w:start w:val="1"/>
      <w:numFmt w:val="bullet"/>
      <w:lvlText w:val="●"/>
      <w:lvlJc w:val="left"/>
      <w:pPr>
        <w:ind w:left="720" w:hanging="360"/>
      </w:pPr>
    </w:lvl>
    <w:lvl w:ilvl="1" w:tplc="A108339A">
      <w:start w:val="1"/>
      <w:numFmt w:val="bullet"/>
      <w:lvlText w:val="○"/>
      <w:lvlJc w:val="left"/>
      <w:pPr>
        <w:ind w:left="1440" w:hanging="360"/>
      </w:pPr>
    </w:lvl>
    <w:lvl w:ilvl="2" w:tplc="18FE441A">
      <w:start w:val="1"/>
      <w:numFmt w:val="bullet"/>
      <w:lvlText w:val="■"/>
      <w:lvlJc w:val="left"/>
      <w:pPr>
        <w:ind w:left="2160" w:hanging="360"/>
      </w:pPr>
    </w:lvl>
    <w:lvl w:ilvl="3" w:tplc="F43E99EE">
      <w:start w:val="1"/>
      <w:numFmt w:val="bullet"/>
      <w:lvlText w:val="●"/>
      <w:lvlJc w:val="left"/>
      <w:pPr>
        <w:ind w:left="2880" w:hanging="360"/>
      </w:pPr>
    </w:lvl>
    <w:lvl w:ilvl="4" w:tplc="B6B019F2">
      <w:start w:val="1"/>
      <w:numFmt w:val="bullet"/>
      <w:lvlText w:val="○"/>
      <w:lvlJc w:val="left"/>
      <w:pPr>
        <w:ind w:left="3600" w:hanging="360"/>
      </w:pPr>
    </w:lvl>
    <w:lvl w:ilvl="5" w:tplc="D5DAA310">
      <w:start w:val="1"/>
      <w:numFmt w:val="bullet"/>
      <w:lvlText w:val="■"/>
      <w:lvlJc w:val="left"/>
      <w:pPr>
        <w:ind w:left="4320" w:hanging="360"/>
      </w:pPr>
    </w:lvl>
    <w:lvl w:ilvl="6" w:tplc="26445628">
      <w:start w:val="1"/>
      <w:numFmt w:val="bullet"/>
      <w:lvlText w:val="●"/>
      <w:lvlJc w:val="left"/>
      <w:pPr>
        <w:ind w:left="5040" w:hanging="360"/>
      </w:pPr>
    </w:lvl>
    <w:lvl w:ilvl="7" w:tplc="D01C3A54">
      <w:start w:val="1"/>
      <w:numFmt w:val="bullet"/>
      <w:lvlText w:val="●"/>
      <w:lvlJc w:val="left"/>
      <w:pPr>
        <w:ind w:left="5760" w:hanging="360"/>
      </w:pPr>
    </w:lvl>
    <w:lvl w:ilvl="8" w:tplc="F8EC00A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420"/>
    <w:rsid w:val="00056774"/>
    <w:rsid w:val="001F25A1"/>
    <w:rsid w:val="00482AF9"/>
    <w:rsid w:val="006D5420"/>
    <w:rsid w:val="00B73843"/>
    <w:rsid w:val="00CC5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6FFD7A"/>
  <w15:docId w15:val="{E9D9D23E-172A-404E-811B-EE208DA68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1E3A5F"/>
      <w:sz w:val="36"/>
      <w:szCs w:val="36"/>
    </w:rPr>
  </w:style>
  <w:style w:type="paragraph" w:styleId="Ttulo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2471A3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686</Words>
  <Characters>3774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User</cp:lastModifiedBy>
  <cp:revision>2</cp:revision>
  <dcterms:created xsi:type="dcterms:W3CDTF">2026-05-23T05:32:00Z</dcterms:created>
  <dcterms:modified xsi:type="dcterms:W3CDTF">2026-05-23T05:32:00Z</dcterms:modified>
</cp:coreProperties>
</file>