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E99" w:rsidRDefault="00E71F20">
      <w:pPr>
        <w:spacing w:after="60"/>
      </w:pPr>
      <w:bookmarkStart w:id="0" w:name="_GoBack"/>
      <w:bookmarkEnd w:id="0"/>
      <w:r>
        <w:rPr>
          <w:b/>
          <w:bCs/>
          <w:color w:val="1E3A5F"/>
          <w:sz w:val="56"/>
          <w:szCs w:val="56"/>
        </w:rPr>
        <w:t>THE BILL JDVS</w:t>
      </w:r>
    </w:p>
    <w:p w:rsidR="002E0E99" w:rsidRDefault="00E71F20">
      <w:pPr>
        <w:spacing w:after="60"/>
      </w:pPr>
      <w:r>
        <w:rPr>
          <w:b/>
          <w:bCs/>
          <w:color w:val="2471A3"/>
          <w:sz w:val="36"/>
          <w:szCs w:val="36"/>
        </w:rPr>
        <w:t>Registro y Matriz de Gestión de Riesgos</w:t>
      </w:r>
    </w:p>
    <w:p w:rsidR="002E0E99" w:rsidRDefault="00E71F20">
      <w:pPr>
        <w:spacing w:after="200"/>
      </w:pPr>
      <w:r>
        <w:rPr>
          <w:color w:val="888888"/>
          <w:sz w:val="18"/>
          <w:szCs w:val="18"/>
        </w:rPr>
        <w:t>Versión 1.0  |  Mayo 2026  |  Equipo JDVS  |  Asignatura: Sistemas Empresariales</w:t>
      </w:r>
    </w:p>
    <w:p w:rsidR="002E0E99" w:rsidRDefault="002E0E99">
      <w:pPr>
        <w:pBdr>
          <w:bottom w:val="single" w:sz="6" w:space="1" w:color="1E3A5F"/>
        </w:pBdr>
        <w:spacing w:before="120" w:after="120"/>
      </w:pPr>
    </w:p>
    <w:p w:rsidR="002E0E99" w:rsidRDefault="00E71F20">
      <w:pPr>
        <w:spacing w:before="280" w:after="120"/>
      </w:pPr>
      <w:r>
        <w:rPr>
          <w:b/>
          <w:bCs/>
          <w:color w:val="1E3A5F"/>
          <w:sz w:val="28"/>
          <w:szCs w:val="28"/>
        </w:rPr>
        <w:t>1. Propósito del Documento</w:t>
      </w:r>
    </w:p>
    <w:p w:rsidR="002E0E99" w:rsidRDefault="00E71F20">
      <w:pPr>
        <w:spacing w:before="60" w:after="60"/>
      </w:pPr>
      <w:r>
        <w:rPr>
          <w:color w:val="2C2C2C"/>
        </w:rPr>
        <w:t xml:space="preserve">Este documento consolida la Matriz de Riesgos y el Registro Actualizado de Riesgos del proyecto </w:t>
      </w:r>
      <w:proofErr w:type="spellStart"/>
      <w:r>
        <w:rPr>
          <w:color w:val="2C2C2C"/>
        </w:rPr>
        <w:t>The</w:t>
      </w:r>
      <w:proofErr w:type="spellEnd"/>
      <w:r>
        <w:rPr>
          <w:color w:val="2C2C2C"/>
        </w:rPr>
        <w:t xml:space="preserve"> Bill JDVS. Cada riesgo incluye su identificador único, categoría, descripción, probabilidad (P), impacto (I), Nivel de Riesgo (P×I), plan de mitigación estr</w:t>
      </w:r>
      <w:r>
        <w:rPr>
          <w:color w:val="2C2C2C"/>
        </w:rPr>
        <w:t>atégico, plan de contingencia y estado actual durante el ciclo del proyecto. El registro de actualizaciones documenta los cambios de estado de cada riesgo a lo largo del desarrollo.</w:t>
      </w:r>
    </w:p>
    <w:p w:rsidR="002E0E99" w:rsidRDefault="002E0E99">
      <w:pPr>
        <w:pBdr>
          <w:bottom w:val="single" w:sz="6" w:space="1" w:color="1E3A5F"/>
        </w:pBdr>
        <w:spacing w:before="120" w:after="120"/>
      </w:pPr>
    </w:p>
    <w:p w:rsidR="002E0E99" w:rsidRDefault="00E71F20">
      <w:pPr>
        <w:spacing w:before="280" w:after="120"/>
      </w:pPr>
      <w:r>
        <w:rPr>
          <w:b/>
          <w:bCs/>
          <w:color w:val="1E3A5F"/>
          <w:sz w:val="28"/>
          <w:szCs w:val="28"/>
        </w:rPr>
        <w:t>2. Metodología de Evaluación</w:t>
      </w:r>
    </w:p>
    <w:p w:rsidR="002E0E99" w:rsidRDefault="00E71F20">
      <w:pPr>
        <w:spacing w:before="180" w:after="80"/>
      </w:pPr>
      <w:r>
        <w:rPr>
          <w:b/>
          <w:bCs/>
          <w:color w:val="2471A3"/>
          <w:sz w:val="22"/>
          <w:szCs w:val="22"/>
        </w:rPr>
        <w:t>Escala de Probabilidad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4000"/>
      </w:tblGrid>
      <w:tr w:rsidR="002E0E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</w:t>
            </w:r>
            <w:r>
              <w:rPr>
                <w:b/>
                <w:bCs/>
                <w:color w:val="FFFFFF"/>
                <w:sz w:val="18"/>
                <w:szCs w:val="18"/>
              </w:rPr>
              <w:t>ón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El evento tiene una probabilidad mayor al 60% de ocurrir durante el proyecto.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El evento tiene una probabilidad entre 30% y 60% de ocurrir.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El evento tiene una probabilidad menor al 30% de ocurrir.</w:t>
            </w:r>
          </w:p>
        </w:tc>
      </w:tr>
    </w:tbl>
    <w:p w:rsidR="002E0E99" w:rsidRDefault="002E0E99">
      <w:pPr>
        <w:spacing w:before="120"/>
      </w:pPr>
    </w:p>
    <w:p w:rsidR="002E0E99" w:rsidRDefault="00E71F20">
      <w:pPr>
        <w:spacing w:before="180" w:after="80"/>
      </w:pPr>
      <w:r>
        <w:rPr>
          <w:b/>
          <w:bCs/>
          <w:color w:val="2471A3"/>
          <w:sz w:val="22"/>
          <w:szCs w:val="22"/>
        </w:rPr>
        <w:t>Escala de Impacto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4000"/>
      </w:tblGrid>
      <w:tr w:rsidR="002E0E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Crítico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Detiene el proyecto o hace imposible alcanzar los objetivos SMART. Impacto irreversible.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Retraso significativo (&gt;1 semana) o pérdida importante de un KPI clave.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Retraso menor o degradación parcial de una funcionalidad no crítica.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Impacto menor; no afecta los objetivos del proyecto.</w:t>
            </w:r>
          </w:p>
        </w:tc>
      </w:tr>
    </w:tbl>
    <w:p w:rsidR="002E0E99" w:rsidRDefault="002E0E99">
      <w:pPr>
        <w:spacing w:before="120"/>
      </w:pPr>
    </w:p>
    <w:p w:rsidR="002E0E99" w:rsidRDefault="00E71F20">
      <w:pPr>
        <w:spacing w:before="180" w:after="80"/>
      </w:pPr>
      <w:r>
        <w:rPr>
          <w:b/>
          <w:bCs/>
          <w:color w:val="2471A3"/>
          <w:sz w:val="22"/>
          <w:szCs w:val="22"/>
        </w:rPr>
        <w:t>Nivel de Riesgo = Probabilidad × Impacto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1500"/>
        <w:gridCol w:w="1500"/>
      </w:tblGrid>
      <w:tr w:rsidR="002E0E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 × I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 (1)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 (3)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 (4)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Crítico (5)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b/>
                <w:bCs/>
                <w:color w:val="1A1A1A"/>
                <w:sz w:val="18"/>
                <w:szCs w:val="18"/>
              </w:rPr>
              <w:t>Alta (3)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Crítico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b/>
                <w:bCs/>
                <w:color w:val="1A1A1A"/>
                <w:sz w:val="18"/>
                <w:szCs w:val="18"/>
              </w:rPr>
              <w:t>Media (2)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b/>
                <w:bCs/>
                <w:color w:val="1A1A1A"/>
                <w:sz w:val="18"/>
                <w:szCs w:val="18"/>
              </w:rPr>
              <w:t>Baja (1)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</w:tr>
    </w:tbl>
    <w:p w:rsidR="002E0E99" w:rsidRDefault="002E0E99">
      <w:pPr>
        <w:pBdr>
          <w:bottom w:val="single" w:sz="6" w:space="1" w:color="1E3A5F"/>
        </w:pBdr>
        <w:spacing w:before="120" w:after="120"/>
      </w:pPr>
    </w:p>
    <w:p w:rsidR="002E0E99" w:rsidRDefault="00E71F20">
      <w:pPr>
        <w:spacing w:before="280" w:after="120"/>
      </w:pPr>
      <w:r>
        <w:rPr>
          <w:b/>
          <w:bCs/>
          <w:color w:val="1E3A5F"/>
          <w:sz w:val="28"/>
          <w:szCs w:val="28"/>
        </w:rPr>
        <w:lastRenderedPageBreak/>
        <w:t>3. Matriz de Riesgos Identificados</w:t>
      </w:r>
    </w:p>
    <w:tbl>
      <w:tblPr>
        <w:tblW w:w="17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2024"/>
        <w:gridCol w:w="1441"/>
        <w:gridCol w:w="938"/>
        <w:gridCol w:w="983"/>
        <w:gridCol w:w="953"/>
        <w:gridCol w:w="2809"/>
        <w:gridCol w:w="2626"/>
        <w:gridCol w:w="1541"/>
        <w:gridCol w:w="1178"/>
        <w:gridCol w:w="2315"/>
      </w:tblGrid>
      <w:tr w:rsidR="002E0E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 del Riesgo</w:t>
            </w:r>
          </w:p>
        </w:tc>
        <w:tc>
          <w:tcPr>
            <w:tcW w:w="1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1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1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 de Mitigación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 de Contingencia</w:t>
            </w:r>
          </w:p>
        </w:tc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52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Última Actualización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Inconsistencia en Integración ERP Falla en la extracción de datos del sistema legado que impide la generación automática de facturas.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Técnico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Crítico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Crítico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Desarrollo de capa de adaptadores con validación de esquemas y logs de errores detallados. Va</w:t>
            </w:r>
            <w:r>
              <w:rPr>
                <w:color w:val="1A1A1A"/>
                <w:sz w:val="18"/>
                <w:szCs w:val="18"/>
              </w:rPr>
              <w:t>lidación ejecutada antes de procesar cada factura.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Activar Modo de Lectura + carga manual vía CSV para facturación urgente + alerta automática a TI por </w:t>
            </w:r>
            <w:proofErr w:type="spellStart"/>
            <w:r>
              <w:rPr>
                <w:color w:val="1A1A1A"/>
                <w:sz w:val="18"/>
                <w:szCs w:val="18"/>
              </w:rPr>
              <w:t>Slack</w:t>
            </w:r>
            <w:proofErr w:type="spellEnd"/>
            <w:r>
              <w:rPr>
                <w:color w:val="1A1A1A"/>
                <w:sz w:val="18"/>
                <w:szCs w:val="18"/>
              </w:rPr>
              <w:t>/Email.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 + TI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Monitoreo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Sem</w:t>
            </w:r>
            <w:proofErr w:type="spellEnd"/>
            <w:r>
              <w:rPr>
                <w:color w:val="1A1A1A"/>
                <w:sz w:val="18"/>
                <w:szCs w:val="18"/>
              </w:rPr>
              <w:t>. 1 — Arquitectura del Adaptador aprobada por TI.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Errores de Conciliación Automática Asignación incorrecta de pagos a facturas por fallas en el algoritmo o </w:t>
            </w:r>
            <w:proofErr w:type="spellStart"/>
            <w:r>
              <w:rPr>
                <w:color w:val="1A1A1A"/>
                <w:sz w:val="18"/>
                <w:szCs w:val="18"/>
              </w:rPr>
              <w:t>IDs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ambiguos.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Operativo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Crítico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Implementación de transacciones ACID en PostgreSQL. Fase de validación humana para casos con ambigüedad de ID. Motor acepta solo </w:t>
            </w:r>
            <w:proofErr w:type="spellStart"/>
            <w:r>
              <w:rPr>
                <w:color w:val="1A1A1A"/>
                <w:sz w:val="18"/>
                <w:szCs w:val="18"/>
              </w:rPr>
              <w:t>webhooks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firmados digitalmente.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Escalar casos ambiguos al equipo de finanzas para resolución manual. Registrar en log de audito</w:t>
            </w:r>
            <w:r>
              <w:rPr>
                <w:color w:val="1A1A1A"/>
                <w:sz w:val="18"/>
                <w:szCs w:val="18"/>
              </w:rPr>
              <w:t>ría con bandera de revisión pendiente.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Sem</w:t>
            </w:r>
            <w:proofErr w:type="spellEnd"/>
            <w:r>
              <w:rPr>
                <w:color w:val="1A1A1A"/>
                <w:sz w:val="18"/>
                <w:szCs w:val="18"/>
              </w:rPr>
              <w:t>. 7 — Motor de Conciliación en desarrollo. ACID validado en pruebas de integración.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Ciberseguridad y Fuga de Datos Financieros </w:t>
            </w:r>
            <w:r>
              <w:rPr>
                <w:color w:val="1A1A1A"/>
                <w:sz w:val="18"/>
                <w:szCs w:val="18"/>
              </w:rPr>
              <w:t>Acceso no autorizado a información financiera sensible de clientes B2B a través del portal o la API.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Seguridad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Crítico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Cifrado TLS en tránsito (RNF-01), encriptación de datos sensibles en reposo, RBAC estricto (RNF-02) y auditorías de seguridad mensuales.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Desactivar acceso externo al portal. Notificar a clientes afectados. Análisis forense del log de auditoría (RNF-04). Re</w:t>
            </w:r>
            <w:r>
              <w:rPr>
                <w:color w:val="1A1A1A"/>
                <w:sz w:val="18"/>
                <w:szCs w:val="18"/>
              </w:rPr>
              <w:t>portar a autoridades si aplica.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Tech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Monitoreo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Sem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10 — Auditoría de seguridad </w:t>
            </w:r>
            <w:proofErr w:type="spellStart"/>
            <w:r>
              <w:rPr>
                <w:color w:val="1A1A1A"/>
                <w:sz w:val="18"/>
                <w:szCs w:val="18"/>
              </w:rPr>
              <w:t>pre-producción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programada para </w:t>
            </w:r>
            <w:proofErr w:type="spellStart"/>
            <w:r>
              <w:rPr>
                <w:color w:val="1A1A1A"/>
                <w:sz w:val="18"/>
                <w:szCs w:val="18"/>
              </w:rPr>
              <w:t>Sem</w:t>
            </w:r>
            <w:proofErr w:type="spellEnd"/>
            <w:r>
              <w:rPr>
                <w:color w:val="1A1A1A"/>
                <w:sz w:val="18"/>
                <w:szCs w:val="18"/>
              </w:rPr>
              <w:t>. 12.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Baja Adopción del Portal por Clientes B2B </w:t>
            </w:r>
            <w:r>
              <w:rPr>
                <w:color w:val="1A1A1A"/>
                <w:sz w:val="18"/>
                <w:szCs w:val="18"/>
              </w:rPr>
              <w:t>Los clientes prefieren canales de pago tradicionales (transferencia manual), afectando el KPI del 35% de reducción de cartera vencida.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Estratégico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Campaña de comunicación agresiva previa al lanzamiento. Incentivos por uso del portal (descuento por pronto pago). Guía de usuario simplificada.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Activar canal de soporte dedicado para clientes con dificultades de adopción. Extender periodo de transición si</w:t>
            </w:r>
            <w:r>
              <w:rPr>
                <w:color w:val="1A1A1A"/>
                <w:sz w:val="18"/>
                <w:szCs w:val="18"/>
              </w:rPr>
              <w:t xml:space="preserve"> la adopción es inferior al 40% en el primer mes.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PM + Área Finanzas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Sem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8 — Estrategia de comunicación en preparación. Material de </w:t>
            </w:r>
            <w:proofErr w:type="spellStart"/>
            <w:r>
              <w:rPr>
                <w:color w:val="1A1A1A"/>
                <w:sz w:val="18"/>
                <w:szCs w:val="18"/>
              </w:rPr>
              <w:t>onboarding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en revisión.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Indisponibilidad de la Pasarela de Pagos </w:t>
            </w:r>
            <w:r>
              <w:rPr>
                <w:color w:val="1A1A1A"/>
                <w:sz w:val="18"/>
                <w:szCs w:val="18"/>
              </w:rPr>
              <w:t>Caída del proveedor de pagos durante horas pico que impide a los clientes realizar pagos en línea.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Técnico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Diseño </w:t>
            </w:r>
            <w:proofErr w:type="spellStart"/>
            <w:r>
              <w:rPr>
                <w:color w:val="1A1A1A"/>
                <w:sz w:val="18"/>
                <w:szCs w:val="18"/>
              </w:rPr>
              <w:t>multicliente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con pasarela de respaldo (</w:t>
            </w:r>
            <w:proofErr w:type="spellStart"/>
            <w:r>
              <w:rPr>
                <w:color w:val="1A1A1A"/>
                <w:sz w:val="18"/>
                <w:szCs w:val="18"/>
              </w:rPr>
              <w:t>fallback</w:t>
            </w:r>
            <w:proofErr w:type="spellEnd"/>
            <w:r>
              <w:rPr>
                <w:color w:val="1A1A1A"/>
                <w:sz w:val="18"/>
                <w:szCs w:val="18"/>
              </w:rPr>
              <w:t>) activable automáticamente en ≤30 s ante caída del proveedor principal (RF-04).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Activar pasarela de respaldo. Notificar a clientes con factura activa. Registrar evento en log de incidencias.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Monitoreo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Sem</w:t>
            </w:r>
            <w:proofErr w:type="spellEnd"/>
            <w:r>
              <w:rPr>
                <w:color w:val="1A1A1A"/>
                <w:sz w:val="18"/>
                <w:szCs w:val="18"/>
              </w:rPr>
              <w:t>. 6 — Integración con pasarela principal completada. Pasarela de respaldo en configuración.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Desviación de Plazos (</w:t>
            </w:r>
            <w:proofErr w:type="spellStart"/>
            <w:r>
              <w:rPr>
                <w:color w:val="1A1A1A"/>
                <w:sz w:val="18"/>
                <w:szCs w:val="18"/>
              </w:rPr>
              <w:t>Scope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Creep</w:t>
            </w:r>
            <w:proofErr w:type="spellEnd"/>
            <w:r>
              <w:rPr>
                <w:color w:val="1A1A1A"/>
                <w:sz w:val="18"/>
                <w:szCs w:val="18"/>
              </w:rPr>
              <w:t>) Incorporación de funcionalidades no planificadas durante el desarrollo que retrasa la entrega del MVP en 12 semanas.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Gestión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Metodología ágil con </w:t>
            </w:r>
            <w:proofErr w:type="spellStart"/>
            <w:r>
              <w:rPr>
                <w:color w:val="1A1A1A"/>
                <w:sz w:val="18"/>
                <w:szCs w:val="18"/>
              </w:rPr>
              <w:t>Sprints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cerrados. Cualquier funcionalidad nueva no crítica se mueve a Fase 2 sin negociación. Backlog priorizado y congelado al inicio de cada Sprint.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Revisión de alcance de emergencia con el sponsor. Eliminación de funcionalidades de </w:t>
            </w:r>
            <w:r>
              <w:rPr>
                <w:color w:val="1A1A1A"/>
                <w:sz w:val="18"/>
                <w:szCs w:val="18"/>
              </w:rPr>
              <w:t>baja prioridad del Sprint actual para recuperar el cronograma.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PM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Monitoreo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Sem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9 — Sin </w:t>
            </w:r>
            <w:proofErr w:type="spellStart"/>
            <w:r>
              <w:rPr>
                <w:color w:val="1A1A1A"/>
                <w:sz w:val="18"/>
                <w:szCs w:val="18"/>
              </w:rPr>
              <w:t>scope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creep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detectado hasta la fecha. Control activo del backlog.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Resistencia al Cambio del Equipo de Finanzas </w:t>
            </w:r>
            <w:r>
              <w:rPr>
                <w:color w:val="1A1A1A"/>
                <w:sz w:val="18"/>
                <w:szCs w:val="18"/>
              </w:rPr>
              <w:t xml:space="preserve">El equipo de finanzas rechaza el nuevo sistema por familiaridad con el proceso manual, </w:t>
            </w:r>
            <w:r>
              <w:rPr>
                <w:color w:val="1A1A1A"/>
                <w:sz w:val="18"/>
                <w:szCs w:val="18"/>
              </w:rPr>
              <w:lastRenderedPageBreak/>
              <w:t>dificultando la adopción interna.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lastRenderedPageBreak/>
              <w:t>Organizacional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Fase de Shadow </w:t>
            </w:r>
            <w:proofErr w:type="spellStart"/>
            <w:r>
              <w:rPr>
                <w:color w:val="1A1A1A"/>
                <w:sz w:val="18"/>
                <w:szCs w:val="18"/>
              </w:rPr>
              <w:t>Billing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(Semana 11): el sistema opera en paralelo con el proceso manual para validar resultados antes de la transición total. Capacitación y demos semanales.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Extender el periodo de Shadow </w:t>
            </w:r>
            <w:proofErr w:type="spellStart"/>
            <w:r>
              <w:rPr>
                <w:color w:val="1A1A1A"/>
                <w:sz w:val="18"/>
                <w:szCs w:val="18"/>
              </w:rPr>
              <w:t>Billing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una semana adicional. Asignar un </w:t>
            </w:r>
            <w:proofErr w:type="spellStart"/>
            <w:r>
              <w:rPr>
                <w:color w:val="1A1A1A"/>
                <w:sz w:val="18"/>
                <w:szCs w:val="18"/>
              </w:rPr>
              <w:t>champion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int</w:t>
            </w:r>
            <w:r>
              <w:rPr>
                <w:color w:val="1A1A1A"/>
                <w:sz w:val="18"/>
                <w:szCs w:val="18"/>
              </w:rPr>
              <w:t>erno del equipo de finanzas como embajador del cambio.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PM + Gerencia Financiera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Monitoreo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Sem</w:t>
            </w:r>
            <w:proofErr w:type="spellEnd"/>
            <w:r>
              <w:rPr>
                <w:color w:val="1A1A1A"/>
                <w:sz w:val="18"/>
                <w:szCs w:val="18"/>
              </w:rPr>
              <w:t>. 5 — 2 demos realizadas con el equipo de finanzas. Retroalimentación positiva general.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Pérdida de Conectividad con el ERP </w:t>
            </w:r>
            <w:r>
              <w:rPr>
                <w:color w:val="1A1A1A"/>
                <w:sz w:val="18"/>
                <w:szCs w:val="18"/>
              </w:rPr>
              <w:t>Falla catastrófica de conexión total con el ERP externo que impide la generación de nuevas facturas.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Técnico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Crítico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Diseño del Adaptador con modo de reconexión automática y </w:t>
            </w:r>
            <w:proofErr w:type="spellStart"/>
            <w:r>
              <w:rPr>
                <w:color w:val="1A1A1A"/>
                <w:sz w:val="18"/>
                <w:szCs w:val="18"/>
              </w:rPr>
              <w:t>timeout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configurado. Alertas en tiempo real al equipo de TI.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Paso 1: Activar Modo de Lectura (solo consultas de datos ya almacenados). Paso 2: Carga manual vía CSV para facturación urgente. Paso 3: Alerta a TI con diagnóstico del adaptador.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 + TI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Monitoreo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Sem</w:t>
            </w:r>
            <w:proofErr w:type="spellEnd"/>
            <w:r>
              <w:rPr>
                <w:color w:val="1A1A1A"/>
                <w:sz w:val="18"/>
                <w:szCs w:val="18"/>
              </w:rPr>
              <w:t>. 2 — Plan de contingencia documentado y ap</w:t>
            </w:r>
            <w:r>
              <w:rPr>
                <w:color w:val="1A1A1A"/>
                <w:sz w:val="18"/>
                <w:szCs w:val="18"/>
              </w:rPr>
              <w:t>robado por TI.</w:t>
            </w:r>
          </w:p>
        </w:tc>
      </w:tr>
    </w:tbl>
    <w:p w:rsidR="002E0E99" w:rsidRDefault="002E0E99">
      <w:pPr>
        <w:pBdr>
          <w:bottom w:val="single" w:sz="6" w:space="1" w:color="1E3A5F"/>
        </w:pBdr>
        <w:spacing w:before="120" w:after="120"/>
      </w:pPr>
    </w:p>
    <w:p w:rsidR="002E0E99" w:rsidRDefault="00E71F20">
      <w:pPr>
        <w:spacing w:before="280" w:after="120"/>
      </w:pPr>
      <w:r>
        <w:rPr>
          <w:b/>
          <w:bCs/>
          <w:color w:val="1E3A5F"/>
          <w:sz w:val="28"/>
          <w:szCs w:val="28"/>
        </w:rPr>
        <w:t>4. Resumen Ejecutivo — Estado de Riesgos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1085"/>
        <w:gridCol w:w="1116"/>
        <w:gridCol w:w="1068"/>
        <w:gridCol w:w="1105"/>
        <w:gridCol w:w="2479"/>
      </w:tblGrid>
      <w:tr w:rsidR="002E0E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 de Riesgo</w:t>
            </w:r>
          </w:p>
        </w:tc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Crítico</w:t>
            </w:r>
          </w:p>
        </w:tc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Técnico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Crítico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Adaptar ERP, Conciliación, Pérdida ERP, Pasarela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Operativo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AAA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Conciliación automática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Seguridad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AAA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Ciberseguridad y fuga de datos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Estratégico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AAA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Baja adopción del portal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Gestión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AAA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Scope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creep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desviación de plazos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Organizacional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AAA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Resistencia al cambio del equipo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b/>
                <w:bCs/>
                <w:color w:val="1A1A1A"/>
                <w:sz w:val="18"/>
                <w:szCs w:val="18"/>
              </w:rPr>
              <w:t>—</w:t>
            </w:r>
          </w:p>
        </w:tc>
      </w:tr>
    </w:tbl>
    <w:p w:rsidR="002E0E99" w:rsidRDefault="002E0E99">
      <w:pPr>
        <w:pBdr>
          <w:bottom w:val="single" w:sz="6" w:space="1" w:color="1E3A5F"/>
        </w:pBdr>
        <w:spacing w:before="120" w:after="120"/>
      </w:pPr>
    </w:p>
    <w:p w:rsidR="002E0E99" w:rsidRDefault="00E71F20">
      <w:pPr>
        <w:spacing w:before="280" w:after="120"/>
      </w:pPr>
      <w:r>
        <w:rPr>
          <w:b/>
          <w:bCs/>
          <w:color w:val="1E3A5F"/>
          <w:sz w:val="28"/>
          <w:szCs w:val="28"/>
        </w:rPr>
        <w:t>5. Registro de Actualizaciones — Bitácora del Ciclo del Proyecto</w:t>
      </w:r>
    </w:p>
    <w:p w:rsidR="002E0E99" w:rsidRDefault="00E71F20">
      <w:pPr>
        <w:spacing w:before="60" w:after="60"/>
      </w:pPr>
      <w:r>
        <w:rPr>
          <w:color w:val="2C2C2C"/>
        </w:rPr>
        <w:t xml:space="preserve">Este registro documenta los cambios de estado de los riesgos a lo largo del desarrollo del proyecto, cumpliendo el requisito de 'Registro de Riesgos Actualizado' del </w:t>
      </w:r>
      <w:proofErr w:type="spellStart"/>
      <w:r>
        <w:rPr>
          <w:color w:val="2C2C2C"/>
        </w:rPr>
        <w:t>checklist</w:t>
      </w:r>
      <w:proofErr w:type="spellEnd"/>
      <w:r>
        <w:rPr>
          <w:color w:val="2C2C2C"/>
        </w:rPr>
        <w:t xml:space="preserve"> académico.</w:t>
      </w:r>
    </w:p>
    <w:p w:rsidR="002E0E99" w:rsidRDefault="002E0E9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360"/>
      </w:tblGrid>
      <w:tr w:rsidR="002E0E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/ Semana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/ Fase</w:t>
            </w:r>
          </w:p>
        </w:tc>
        <w:tc>
          <w:tcPr>
            <w:tcW w:w="6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 Registrado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Semana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Inicio del proyecto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Identificación inicial de riesgos R-01 a R-06. Aprobación del plan de riesgos por el sponsor.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Semana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Fase de arquitectura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R-07 y R-08 agregados al registro tras revisión con el equipo de TI. R-01 pasa a 'En Monitoreo' tras aprobación del esquema del Adaptador ERP.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Semana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Demo con finanzas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R-07 (resistencia al cambio) bajó de 'Activo' a 'En Monitoreo' tras retroalimentación positiva en las demos del equipo de finanzas.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Semana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Integración pasarela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R-05 (indisponibilidad pasarela) en monitoreo activo. Pasarela principal integrada; pasarela de respaldo en configuración.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Semana 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Motor de conciliación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R-02 permanece 'Activo' durante el desarrollo del Motor de Conciliación. Pruebas ACID iniciadas.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Semana 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Preparación lanzamiento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R-04 (baja adopción) en monitoreo activo. Estrategia de comunicación y material de </w:t>
            </w:r>
            <w:proofErr w:type="spellStart"/>
            <w:r>
              <w:rPr>
                <w:color w:val="1A1A1A"/>
                <w:sz w:val="18"/>
                <w:szCs w:val="18"/>
              </w:rPr>
              <w:t>onboarding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en preparación con el área de finanzas.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Semana 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QA interno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R-06 (</w:t>
            </w:r>
            <w:proofErr w:type="spellStart"/>
            <w:r>
              <w:rPr>
                <w:color w:val="1A1A1A"/>
                <w:sz w:val="18"/>
                <w:szCs w:val="18"/>
              </w:rPr>
              <w:t>scope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creep</w:t>
            </w:r>
            <w:proofErr w:type="spellEnd"/>
            <w:r>
              <w:rPr>
                <w:color w:val="1A1A1A"/>
                <w:sz w:val="18"/>
                <w:szCs w:val="18"/>
              </w:rPr>
              <w:t>) sin incidencias. Backlog congelado para Sprint final. Sin nuevas funcionalidades incorporadas fuera del alcance definido.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Semana 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Pre-producción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Auditoría de seguridad para R-03 programada para Semana 12. Pruebas de carga iniciadas para validar RNF-05 y RNF-06.</w:t>
            </w:r>
          </w:p>
        </w:tc>
      </w:tr>
    </w:tbl>
    <w:p w:rsidR="002E0E99" w:rsidRDefault="002E0E99">
      <w:pPr>
        <w:pBdr>
          <w:bottom w:val="single" w:sz="6" w:space="1" w:color="1E3A5F"/>
        </w:pBdr>
        <w:spacing w:before="120" w:after="120"/>
      </w:pPr>
    </w:p>
    <w:p w:rsidR="002E0E99" w:rsidRDefault="00E71F20">
      <w:pPr>
        <w:spacing w:before="280" w:after="120"/>
      </w:pPr>
      <w:r>
        <w:rPr>
          <w:b/>
          <w:bCs/>
          <w:color w:val="1E3A5F"/>
          <w:sz w:val="28"/>
          <w:szCs w:val="28"/>
        </w:rPr>
        <w:t>6. Plan de Contingencia General — Falla Catastrófica</w:t>
      </w:r>
    </w:p>
    <w:p w:rsidR="002E0E99" w:rsidRDefault="00E71F20">
      <w:pPr>
        <w:spacing w:before="60" w:after="60"/>
      </w:pPr>
      <w:r>
        <w:rPr>
          <w:color w:val="2C2C2C"/>
        </w:rPr>
        <w:t>En caso de falla catastrófica del sistema (ej. pérdida total de conectividad con el ERP externo o caída completa del portal):</w:t>
      </w:r>
    </w:p>
    <w:p w:rsidR="002E0E99" w:rsidRDefault="002E0E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7202"/>
        <w:gridCol w:w="1361"/>
      </w:tblGrid>
      <w:tr w:rsidR="002E0E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7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de Contingencia</w:t>
            </w:r>
          </w:p>
        </w:tc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Activar 'Modo de Lectura': el sistema permite solo consultas sobre datos ya almacenados. No se generan nuevas facturas ni se procesan pagos.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Habilitar carga manual vía CSV para casos de facturación urgente (Plan de Emergencia). El equipo de finanzas puede registrar facturas críticas sin el sistema automático.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PM + Finanzas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Envío automático de notificación al equipo de IT vía </w:t>
            </w:r>
            <w:proofErr w:type="spellStart"/>
            <w:r>
              <w:rPr>
                <w:color w:val="1A1A1A"/>
                <w:sz w:val="18"/>
                <w:szCs w:val="18"/>
              </w:rPr>
              <w:t>Slack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/Email con diagnóstico técnico del adaptador afectado, logs de error y </w:t>
            </w:r>
            <w:proofErr w:type="spellStart"/>
            <w:r>
              <w:rPr>
                <w:color w:val="1A1A1A"/>
                <w:sz w:val="18"/>
                <w:szCs w:val="18"/>
              </w:rPr>
              <w:t>timestamp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del incidente.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Sistema (auto)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 xml:space="preserve">Revisión del incidente: el </w:t>
            </w:r>
            <w:proofErr w:type="spellStart"/>
            <w:r>
              <w:rPr>
                <w:color w:val="1A1A1A"/>
                <w:sz w:val="18"/>
                <w:szCs w:val="18"/>
              </w:rPr>
              <w:t>Tech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Lead analiza logs de auditoría (RNF-04), identifica la causa raíz y estima tiempo de recuperación.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roofErr w:type="spellStart"/>
            <w:r>
              <w:rPr>
                <w:color w:val="1A1A1A"/>
                <w:sz w:val="18"/>
                <w:szCs w:val="18"/>
              </w:rPr>
              <w:t>Tech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Lead</w:t>
            </w:r>
          </w:p>
        </w:tc>
      </w:tr>
      <w:tr w:rsidR="002E0E9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Comunicación al sponsor y clientes afectados (si aplica) con un ETA de restauración del servicio y confirmación de que no se han perdido datos financieros.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E99" w:rsidRDefault="00E71F20">
            <w:r>
              <w:rPr>
                <w:color w:val="1A1A1A"/>
                <w:sz w:val="18"/>
                <w:szCs w:val="18"/>
              </w:rPr>
              <w:t>PM</w:t>
            </w:r>
          </w:p>
        </w:tc>
      </w:tr>
    </w:tbl>
    <w:p w:rsidR="00E71F20" w:rsidRDefault="00E71F20"/>
    <w:sectPr w:rsidR="00E71F20">
      <w:headerReference w:type="default" r:id="rId7"/>
      <w:footerReference w:type="default" r:id="rId8"/>
      <w:pgSz w:w="2016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1F20" w:rsidRDefault="00E71F20">
      <w:r>
        <w:separator/>
      </w:r>
    </w:p>
  </w:endnote>
  <w:endnote w:type="continuationSeparator" w:id="0">
    <w:p w:rsidR="00E71F20" w:rsidRDefault="00E71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0E99" w:rsidRDefault="00E71F20">
    <w:pPr>
      <w:pBdr>
        <w:top w:val="single" w:sz="4" w:space="4" w:color="1E3A5F"/>
      </w:pBdr>
      <w:jc w:val="center"/>
    </w:pPr>
    <w:r>
      <w:rPr>
        <w:color w:val="888888"/>
        <w:sz w:val="16"/>
        <w:szCs w:val="16"/>
      </w:rPr>
      <w:t xml:space="preserve">Proyecto </w:t>
    </w:r>
    <w:proofErr w:type="spellStart"/>
    <w:r>
      <w:rPr>
        <w:color w:val="888888"/>
        <w:sz w:val="16"/>
        <w:szCs w:val="16"/>
      </w:rPr>
      <w:t>The</w:t>
    </w:r>
    <w:proofErr w:type="spellEnd"/>
    <w:r>
      <w:rPr>
        <w:color w:val="888888"/>
        <w:sz w:val="16"/>
        <w:szCs w:val="16"/>
      </w:rPr>
      <w:t xml:space="preserve"> Bill JDVS — Equipo JDVS  |  Pág. </w:t>
    </w:r>
    <w:r>
      <w:fldChar w:fldCharType="begin"/>
    </w:r>
    <w:r>
      <w:instrText>PAGE</w:instrText>
    </w:r>
    <w:r>
      <w:fldChar w:fldCharType="separate"/>
    </w:r>
    <w:r w:rsidR="00CC02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1F20" w:rsidRDefault="00E71F20">
      <w:r>
        <w:separator/>
      </w:r>
    </w:p>
  </w:footnote>
  <w:footnote w:type="continuationSeparator" w:id="0">
    <w:p w:rsidR="00E71F20" w:rsidRDefault="00E71F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0E99" w:rsidRDefault="00E71F20">
    <w:pPr>
      <w:pBdr>
        <w:bottom w:val="single" w:sz="4" w:space="4" w:color="1E3A5F"/>
      </w:pBdr>
      <w:jc w:val="right"/>
    </w:pPr>
    <w:proofErr w:type="spellStart"/>
    <w:r>
      <w:rPr>
        <w:color w:val="666666"/>
        <w:sz w:val="16"/>
        <w:szCs w:val="16"/>
      </w:rPr>
      <w:t>The</w:t>
    </w:r>
    <w:proofErr w:type="spellEnd"/>
    <w:r>
      <w:rPr>
        <w:color w:val="666666"/>
        <w:sz w:val="16"/>
        <w:szCs w:val="16"/>
      </w:rPr>
      <w:t xml:space="preserve"> Bill JDVS  |  Registro y Matriz de Riesgos  |  v1.0 — Mayo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674054"/>
    <w:multiLevelType w:val="hybridMultilevel"/>
    <w:tmpl w:val="186C4340"/>
    <w:lvl w:ilvl="0" w:tplc="7A56B22C">
      <w:start w:val="1"/>
      <w:numFmt w:val="bullet"/>
      <w:lvlText w:val="●"/>
      <w:lvlJc w:val="left"/>
      <w:pPr>
        <w:ind w:left="720" w:hanging="360"/>
      </w:pPr>
    </w:lvl>
    <w:lvl w:ilvl="1" w:tplc="B88698E6">
      <w:start w:val="1"/>
      <w:numFmt w:val="bullet"/>
      <w:lvlText w:val="○"/>
      <w:lvlJc w:val="left"/>
      <w:pPr>
        <w:ind w:left="1440" w:hanging="360"/>
      </w:pPr>
    </w:lvl>
    <w:lvl w:ilvl="2" w:tplc="24AA06C6">
      <w:start w:val="1"/>
      <w:numFmt w:val="bullet"/>
      <w:lvlText w:val="■"/>
      <w:lvlJc w:val="left"/>
      <w:pPr>
        <w:ind w:left="2160" w:hanging="360"/>
      </w:pPr>
    </w:lvl>
    <w:lvl w:ilvl="3" w:tplc="3C8C59E6">
      <w:start w:val="1"/>
      <w:numFmt w:val="bullet"/>
      <w:lvlText w:val="●"/>
      <w:lvlJc w:val="left"/>
      <w:pPr>
        <w:ind w:left="2880" w:hanging="360"/>
      </w:pPr>
    </w:lvl>
    <w:lvl w:ilvl="4" w:tplc="5CDCCB60">
      <w:start w:val="1"/>
      <w:numFmt w:val="bullet"/>
      <w:lvlText w:val="○"/>
      <w:lvlJc w:val="left"/>
      <w:pPr>
        <w:ind w:left="3600" w:hanging="360"/>
      </w:pPr>
    </w:lvl>
    <w:lvl w:ilvl="5" w:tplc="BA9A518E">
      <w:start w:val="1"/>
      <w:numFmt w:val="bullet"/>
      <w:lvlText w:val="■"/>
      <w:lvlJc w:val="left"/>
      <w:pPr>
        <w:ind w:left="4320" w:hanging="360"/>
      </w:pPr>
    </w:lvl>
    <w:lvl w:ilvl="6" w:tplc="2E2A55FE">
      <w:start w:val="1"/>
      <w:numFmt w:val="bullet"/>
      <w:lvlText w:val="●"/>
      <w:lvlJc w:val="left"/>
      <w:pPr>
        <w:ind w:left="5040" w:hanging="360"/>
      </w:pPr>
    </w:lvl>
    <w:lvl w:ilvl="7" w:tplc="7DD83A2E">
      <w:start w:val="1"/>
      <w:numFmt w:val="bullet"/>
      <w:lvlText w:val="●"/>
      <w:lvlJc w:val="left"/>
      <w:pPr>
        <w:ind w:left="5760" w:hanging="360"/>
      </w:pPr>
    </w:lvl>
    <w:lvl w:ilvl="8" w:tplc="4476B0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A960C9"/>
    <w:multiLevelType w:val="hybridMultilevel"/>
    <w:tmpl w:val="76D6853E"/>
    <w:lvl w:ilvl="0" w:tplc="33084002">
      <w:start w:val="1"/>
      <w:numFmt w:val="bullet"/>
      <w:lvlText w:val="•"/>
      <w:lvlJc w:val="left"/>
      <w:pPr>
        <w:ind w:left="720" w:hanging="360"/>
      </w:pPr>
    </w:lvl>
    <w:lvl w:ilvl="1" w:tplc="E78A233C">
      <w:numFmt w:val="decimal"/>
      <w:lvlText w:val=""/>
      <w:lvlJc w:val="left"/>
    </w:lvl>
    <w:lvl w:ilvl="2" w:tplc="094CF402">
      <w:numFmt w:val="decimal"/>
      <w:lvlText w:val=""/>
      <w:lvlJc w:val="left"/>
    </w:lvl>
    <w:lvl w:ilvl="3" w:tplc="764CCEEC">
      <w:numFmt w:val="decimal"/>
      <w:lvlText w:val=""/>
      <w:lvlJc w:val="left"/>
    </w:lvl>
    <w:lvl w:ilvl="4" w:tplc="CFA0B2CC">
      <w:numFmt w:val="decimal"/>
      <w:lvlText w:val=""/>
      <w:lvlJc w:val="left"/>
    </w:lvl>
    <w:lvl w:ilvl="5" w:tplc="E1D098A2">
      <w:numFmt w:val="decimal"/>
      <w:lvlText w:val=""/>
      <w:lvlJc w:val="left"/>
    </w:lvl>
    <w:lvl w:ilvl="6" w:tplc="206E7514">
      <w:numFmt w:val="decimal"/>
      <w:lvlText w:val=""/>
      <w:lvlJc w:val="left"/>
    </w:lvl>
    <w:lvl w:ilvl="7" w:tplc="1AACC0B2">
      <w:numFmt w:val="decimal"/>
      <w:lvlText w:val=""/>
      <w:lvlJc w:val="left"/>
    </w:lvl>
    <w:lvl w:ilvl="8" w:tplc="12EAE4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E99"/>
    <w:rsid w:val="002E0E99"/>
    <w:rsid w:val="00CC02E9"/>
    <w:rsid w:val="00E7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7A89B5-8C48-4212-8209-3CC1DAED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1415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2026-06-04T05:57:00Z</dcterms:created>
  <dcterms:modified xsi:type="dcterms:W3CDTF">2026-06-04T05:57:00Z</dcterms:modified>
</cp:coreProperties>
</file>