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3B" w:rsidRPr="00E10F5C" w:rsidRDefault="00CF3E3B" w:rsidP="00E10F5C">
      <w:pPr>
        <w:spacing w:line="360" w:lineRule="auto"/>
        <w:jc w:val="center"/>
        <w:rPr>
          <w:b/>
        </w:rPr>
      </w:pPr>
      <w:r w:rsidRPr="00E10F5C">
        <w:rPr>
          <w:b/>
        </w:rPr>
        <w:t xml:space="preserve">Steps for Updating </w:t>
      </w:r>
      <w:r w:rsidR="003E4592">
        <w:rPr>
          <w:b/>
        </w:rPr>
        <w:t>gSSURGO-XML Workspace Documents</w:t>
      </w:r>
    </w:p>
    <w:p w:rsidR="00CF3E3B" w:rsidRDefault="00CF3E3B" w:rsidP="00CF3E3B">
      <w:pPr>
        <w:spacing w:line="360" w:lineRule="auto"/>
      </w:pPr>
      <w:r>
        <w:t xml:space="preserve">Normally this process is performed by the </w:t>
      </w:r>
      <w:proofErr w:type="gramStart"/>
      <w:r>
        <w:t>gSSURGO  developers</w:t>
      </w:r>
      <w:proofErr w:type="gramEnd"/>
      <w:r>
        <w:t xml:space="preserve"> and the XML files are supplied along with the ArcToolbox and Python scripts. (Steve Peaslee, USDA-NRCS NSSC </w:t>
      </w:r>
      <w:r w:rsidR="00B1469D">
        <w:t xml:space="preserve">Oct. </w:t>
      </w:r>
      <w:r>
        <w:t>2015). These</w:t>
      </w:r>
      <w:r w:rsidR="00E10F5C">
        <w:t xml:space="preserve"> very important</w:t>
      </w:r>
      <w:r>
        <w:t xml:space="preserve"> XML workspace documents are used to create the gSSURGO database schema</w:t>
      </w:r>
      <w:r w:rsidR="007010F2">
        <w:t>, base-metadata</w:t>
      </w:r>
      <w:r>
        <w:t xml:space="preserve"> and spatial reference (Albers).</w:t>
      </w:r>
    </w:p>
    <w:p w:rsidR="00CF3E3B" w:rsidRDefault="00CF3E3B" w:rsidP="00CF3E3B">
      <w:pPr>
        <w:spacing w:line="360" w:lineRule="auto"/>
      </w:pPr>
      <w:r>
        <w:t>1. There are currently 5 XML workspace do</w:t>
      </w:r>
      <w:r w:rsidR="00C05A9E">
        <w:t>cuments plus two metadata files;</w:t>
      </w:r>
      <w:r>
        <w:t xml:space="preserve"> </w:t>
      </w:r>
      <w:r w:rsidR="00C05A9E">
        <w:t>o</w:t>
      </w:r>
      <w:r>
        <w:t>ne for each geographic region used by gSSURGO.</w:t>
      </w:r>
      <w:r w:rsidR="00EF5954">
        <w:t xml:space="preserve"> The metadata files are n</w:t>
      </w:r>
      <w:r w:rsidR="00802290">
        <w:t>ot part of the initial download process, but are used when creating the gSSURGO databases.</w:t>
      </w:r>
      <w:bookmarkStart w:id="0" w:name="_GoBack"/>
      <w:bookmarkEnd w:id="0"/>
    </w:p>
    <w:p w:rsidR="00CF3E3B" w:rsidRDefault="00CF3E3B" w:rsidP="00EF5954">
      <w:pPr>
        <w:pStyle w:val="ListParagraph"/>
        <w:numPr>
          <w:ilvl w:val="0"/>
          <w:numId w:val="1"/>
        </w:numPr>
        <w:spacing w:line="360" w:lineRule="auto"/>
      </w:pPr>
      <w:r>
        <w:t>gSSURGO_Alaska_AlbersWGS1984.xml</w:t>
      </w:r>
    </w:p>
    <w:p w:rsidR="00CF3E3B" w:rsidRDefault="00CF3E3B" w:rsidP="00EF5954">
      <w:pPr>
        <w:pStyle w:val="ListParagraph"/>
        <w:numPr>
          <w:ilvl w:val="0"/>
          <w:numId w:val="1"/>
        </w:numPr>
        <w:spacing w:line="360" w:lineRule="auto"/>
      </w:pPr>
      <w:r>
        <w:t>gSSURGO_CONUS_AlbersNAD1983.xml</w:t>
      </w:r>
    </w:p>
    <w:p w:rsidR="00CF3E3B" w:rsidRDefault="00CF3E3B" w:rsidP="00EF5954">
      <w:pPr>
        <w:pStyle w:val="ListParagraph"/>
        <w:numPr>
          <w:ilvl w:val="0"/>
          <w:numId w:val="1"/>
        </w:numPr>
        <w:spacing w:line="360" w:lineRule="auto"/>
      </w:pPr>
      <w:r>
        <w:t>gSSURGO_Geographic_WGS1984.xml</w:t>
      </w:r>
    </w:p>
    <w:p w:rsidR="00CF3E3B" w:rsidRDefault="00CF3E3B" w:rsidP="00EF5954">
      <w:pPr>
        <w:pStyle w:val="ListParagraph"/>
        <w:numPr>
          <w:ilvl w:val="0"/>
          <w:numId w:val="1"/>
        </w:numPr>
        <w:spacing w:line="360" w:lineRule="auto"/>
      </w:pPr>
      <w:r>
        <w:t>g</w:t>
      </w:r>
      <w:r w:rsidR="00EF5954">
        <w:t>SSURGO_Hawaii_AlbersWGS1984.xml</w:t>
      </w:r>
    </w:p>
    <w:p w:rsidR="00CF3E3B" w:rsidRDefault="00CF3E3B" w:rsidP="00EF5954">
      <w:pPr>
        <w:pStyle w:val="ListParagraph"/>
        <w:numPr>
          <w:ilvl w:val="0"/>
          <w:numId w:val="1"/>
        </w:numPr>
        <w:spacing w:line="360" w:lineRule="auto"/>
      </w:pPr>
      <w:r>
        <w:t>gSS</w:t>
      </w:r>
      <w:r w:rsidR="00EF5954">
        <w:t>URGO_PACBasin_AlbersWGS1984.xml</w:t>
      </w:r>
    </w:p>
    <w:p w:rsidR="00FA304A" w:rsidRDefault="00FA304A" w:rsidP="00FA304A">
      <w:pPr>
        <w:pStyle w:val="ListParagraph"/>
        <w:numPr>
          <w:ilvl w:val="0"/>
          <w:numId w:val="1"/>
        </w:numPr>
        <w:spacing w:line="360" w:lineRule="auto"/>
      </w:pPr>
      <w:r w:rsidRPr="00FA304A">
        <w:t>gSSURGO_MapunitRaster.xml (</w:t>
      </w:r>
      <w:r w:rsidRPr="00FA304A">
        <w:rPr>
          <w:b/>
        </w:rPr>
        <w:t>metadata</w:t>
      </w:r>
      <w:r w:rsidRPr="00FA304A">
        <w:t>)</w:t>
      </w:r>
    </w:p>
    <w:p w:rsidR="00FA304A" w:rsidRDefault="00FA304A" w:rsidP="00FA304A">
      <w:pPr>
        <w:pStyle w:val="ListParagraph"/>
        <w:numPr>
          <w:ilvl w:val="0"/>
          <w:numId w:val="1"/>
        </w:numPr>
        <w:spacing w:line="360" w:lineRule="auto"/>
      </w:pPr>
      <w:r w:rsidRPr="00FA304A">
        <w:t>gSSURGO_ValuTable.xml  (</w:t>
      </w:r>
      <w:r w:rsidRPr="00FA304A">
        <w:rPr>
          <w:b/>
        </w:rPr>
        <w:t>metadata</w:t>
      </w:r>
      <w:r w:rsidRPr="00FA304A">
        <w:t>)</w:t>
      </w:r>
    </w:p>
    <w:p w:rsidR="00CF3E3B" w:rsidRDefault="00CF3E3B" w:rsidP="00CF3E3B">
      <w:pPr>
        <w:spacing w:line="360" w:lineRule="auto"/>
      </w:pPr>
      <w:r>
        <w:t>2. Copy each of these XML files to an empty folder.</w:t>
      </w:r>
    </w:p>
    <w:p w:rsidR="00CF3E3B" w:rsidRDefault="000C2488" w:rsidP="00CF3E3B">
      <w:pPr>
        <w:spacing w:line="360" w:lineRule="auto"/>
      </w:pPr>
      <w:r>
        <w:t>3. Use</w:t>
      </w:r>
      <w:r w:rsidR="00CF3E3B">
        <w:t xml:space="preserve"> the </w:t>
      </w:r>
      <w:r>
        <w:t>“</w:t>
      </w:r>
      <w:r w:rsidR="00CF3E3B">
        <w:t>Data Management\Workspace\Create File GDB</w:t>
      </w:r>
      <w:r>
        <w:t>”</w:t>
      </w:r>
      <w:r w:rsidR="00CF3E3B">
        <w:t xml:space="preserve"> </w:t>
      </w:r>
      <w:proofErr w:type="spellStart"/>
      <w:r w:rsidR="00CF3E3B">
        <w:t>ArcTool</w:t>
      </w:r>
      <w:proofErr w:type="spellEnd"/>
      <w:r w:rsidR="00CF3E3B">
        <w:t xml:space="preserve"> to create a corresponding empty </w:t>
      </w:r>
      <w:r w:rsidR="00151EF5">
        <w:t xml:space="preserve">(except for </w:t>
      </w:r>
      <w:proofErr w:type="spellStart"/>
      <w:r w:rsidR="00151EF5">
        <w:t>mdstat</w:t>
      </w:r>
      <w:proofErr w:type="spellEnd"/>
      <w:r w:rsidR="00151EF5">
        <w:t>* tables</w:t>
      </w:r>
      <w:r>
        <w:t xml:space="preserve"> which must be populated</w:t>
      </w:r>
      <w:r w:rsidR="00151EF5">
        <w:t xml:space="preserve">) </w:t>
      </w:r>
      <w:r w:rsidR="00CF3E3B">
        <w:t>ArcGIS 10.0 FGDB for each of the five XML Workspace documents (</w:t>
      </w:r>
      <w:proofErr w:type="spellStart"/>
      <w:r w:rsidR="00CF3E3B">
        <w:t>Alaska.gdb</w:t>
      </w:r>
      <w:proofErr w:type="spellEnd"/>
      <w:r w:rsidR="00CF3E3B">
        <w:t xml:space="preserve">, </w:t>
      </w:r>
      <w:proofErr w:type="spellStart"/>
      <w:r w:rsidR="00CF3E3B">
        <w:t>Conus.gdb</w:t>
      </w:r>
      <w:proofErr w:type="spellEnd"/>
      <w:r w:rsidR="00CF3E3B">
        <w:t xml:space="preserve">, </w:t>
      </w:r>
      <w:proofErr w:type="spellStart"/>
      <w:r w:rsidR="00CF3E3B">
        <w:t>Geographic.gdb</w:t>
      </w:r>
      <w:proofErr w:type="spellEnd"/>
      <w:r w:rsidR="00CF3E3B">
        <w:t xml:space="preserve">, </w:t>
      </w:r>
      <w:proofErr w:type="spellStart"/>
      <w:r w:rsidR="00CF3E3B">
        <w:t>Hawaii.gdb</w:t>
      </w:r>
      <w:proofErr w:type="spellEnd"/>
      <w:r w:rsidR="00CF3E3B">
        <w:t xml:space="preserve">, </w:t>
      </w:r>
      <w:proofErr w:type="spellStart"/>
      <w:r w:rsidR="00CF3E3B">
        <w:t>PacBasin.gdb</w:t>
      </w:r>
      <w:proofErr w:type="spellEnd"/>
      <w:r w:rsidR="00CF3E3B">
        <w:t xml:space="preserve">). Make sure the geodatabase version is set to '10.0'. </w:t>
      </w:r>
      <w:proofErr w:type="gramStart"/>
      <w:r w:rsidR="00CF3E3B">
        <w:t>not</w:t>
      </w:r>
      <w:proofErr w:type="gramEnd"/>
      <w:r w:rsidR="00CF3E3B">
        <w:t xml:space="preserve"> 'Current'.</w:t>
      </w:r>
    </w:p>
    <w:p w:rsidR="00006D64" w:rsidRDefault="00006D64">
      <w:r>
        <w:br w:type="page"/>
      </w:r>
    </w:p>
    <w:p w:rsidR="001D52CF" w:rsidRDefault="00006D64" w:rsidP="00CF3E3B">
      <w:pPr>
        <w:spacing w:line="360" w:lineRule="auto"/>
      </w:pPr>
      <w:r>
        <w:rPr>
          <w:noProof/>
        </w:rPr>
        <w:lastRenderedPageBreak/>
        <w:drawing>
          <wp:anchor distT="91440" distB="274320" distL="114300" distR="114300" simplePos="0" relativeHeight="251659264" behindDoc="0" locked="0" layoutInCell="1" allowOverlap="0" wp14:anchorId="555AF3E6" wp14:editId="1D4B9207">
            <wp:simplePos x="0" y="0"/>
            <wp:positionH relativeFrom="leftMargin">
              <wp:posOffset>904875</wp:posOffset>
            </wp:positionH>
            <wp:positionV relativeFrom="paragraph">
              <wp:posOffset>1316355</wp:posOffset>
            </wp:positionV>
            <wp:extent cx="5934075" cy="254190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B">
        <w:t xml:space="preserve">4. Use the Data Management\Distributed Database\Import XML Workspace Document </w:t>
      </w:r>
      <w:proofErr w:type="spellStart"/>
      <w:r w:rsidR="00CF3E3B">
        <w:t>ArcTool</w:t>
      </w:r>
      <w:proofErr w:type="spellEnd"/>
      <w:r w:rsidR="00CF3E3B">
        <w:t xml:space="preserve"> to import the five XML files into the corresponding geodatabase. This</w:t>
      </w:r>
      <w:r w:rsidR="007A12BD">
        <w:t xml:space="preserve"> will create the gSSURGO schema for each of the empty geodatabases.</w:t>
      </w:r>
      <w:r w:rsidR="00264773">
        <w:t xml:space="preserve"> Make sure that the </w:t>
      </w:r>
      <w:r w:rsidR="00151EF5">
        <w:t>“Data” option is selected so that the ‘</w:t>
      </w:r>
      <w:proofErr w:type="spellStart"/>
      <w:r w:rsidR="00151EF5">
        <w:t>mdstat</w:t>
      </w:r>
      <w:proofErr w:type="spellEnd"/>
      <w:r w:rsidR="00151EF5">
        <w:t>*’ tables are imported.</w:t>
      </w:r>
    </w:p>
    <w:p w:rsidR="005D247A" w:rsidRDefault="007A12BD" w:rsidP="00CF3E3B">
      <w:pPr>
        <w:spacing w:line="360" w:lineRule="auto"/>
      </w:pPr>
      <w:r>
        <w:t>5. Using ArcCatalog, update any metadata items such as publication date</w:t>
      </w:r>
      <w:r w:rsidR="000B1225">
        <w:t xml:space="preserve">, </w:t>
      </w:r>
      <w:proofErr w:type="spellStart"/>
      <w:r w:rsidR="000B1225">
        <w:t>etc</w:t>
      </w:r>
      <w:proofErr w:type="spellEnd"/>
      <w:r w:rsidR="000B1225">
        <w:t xml:space="preserve"> for one of the geodatabases and then </w:t>
      </w:r>
    </w:p>
    <w:p w:rsidR="005D247A" w:rsidRDefault="005D247A" w:rsidP="00CF3E3B">
      <w:pPr>
        <w:spacing w:line="360" w:lineRule="auto"/>
        <w:rPr>
          <w:rFonts w:ascii="Courier New" w:hAnsi="Courier New" w:cs="Courier New"/>
          <w:color w:val="404040"/>
          <w:sz w:val="20"/>
          <w:szCs w:val="20"/>
        </w:rPr>
      </w:pPr>
      <w:r>
        <w:t>6. E</w:t>
      </w:r>
      <w:r w:rsidR="000B1225">
        <w:t xml:space="preserve">xport metadata </w:t>
      </w:r>
      <w:r>
        <w:t xml:space="preserve">to an XML file </w:t>
      </w:r>
      <w:r w:rsidR="000B1225">
        <w:t>using the</w:t>
      </w:r>
      <w:r>
        <w:t xml:space="preserve"> Export Metadata tool with</w:t>
      </w:r>
      <w:r w:rsidR="000B1225">
        <w:t xml:space="preserve"> ArcGIS2ISO1939</w:t>
      </w:r>
      <w:r>
        <w:t xml:space="preserve"> option</w:t>
      </w:r>
      <w:r w:rsidR="000B1225">
        <w:t xml:space="preserve">. </w:t>
      </w:r>
      <w:r w:rsidR="00B44BF0">
        <w:t xml:space="preserve"> </w:t>
      </w:r>
      <w:proofErr w:type="spellStart"/>
      <w:r w:rsidR="00B44BF0">
        <w:rPr>
          <w:rFonts w:ascii="Courier New" w:hAnsi="Courier New" w:cs="Courier New"/>
          <w:color w:val="404040"/>
          <w:sz w:val="20"/>
          <w:szCs w:val="20"/>
        </w:rPr>
        <w:t>ImportMetadata</w:t>
      </w:r>
      <w:proofErr w:type="spellEnd"/>
      <w:r w:rsidR="00B44BF0">
        <w:rPr>
          <w:rFonts w:ascii="Courier New" w:hAnsi="Courier New" w:cs="Courier New"/>
          <w:color w:val="404040"/>
          <w:sz w:val="20"/>
          <w:szCs w:val="20"/>
        </w:rPr>
        <w:t xml:space="preserve"> </w:t>
      </w:r>
    </w:p>
    <w:p w:rsidR="00AE3429" w:rsidRPr="00AE3429" w:rsidRDefault="00AE3429" w:rsidP="00CF3E3B">
      <w:pPr>
        <w:spacing w:line="360" w:lineRule="auto"/>
        <w:rPr>
          <w:rFonts w:ascii="Calibri" w:hAnsi="Calibri"/>
        </w:rPr>
      </w:pPr>
      <w:r w:rsidRPr="00AE3429">
        <w:rPr>
          <w:rFonts w:ascii="Calibri" w:hAnsi="Calibri" w:cs="Courier New"/>
          <w:color w:val="404040"/>
        </w:rPr>
        <w:t xml:space="preserve">7. Use the Import Metadata tool to import </w:t>
      </w:r>
      <w:r w:rsidR="00B44BF0" w:rsidRPr="00AE3429">
        <w:rPr>
          <w:rFonts w:ascii="Calibri" w:hAnsi="Calibri" w:cs="Courier New"/>
          <w:color w:val="404040"/>
        </w:rPr>
        <w:t xml:space="preserve">\Metadata_ArcGIS2ISO.xml </w:t>
      </w:r>
      <w:r w:rsidRPr="00AE3429">
        <w:rPr>
          <w:rFonts w:ascii="Calibri" w:hAnsi="Calibri" w:cs="Courier New"/>
          <w:color w:val="404040"/>
        </w:rPr>
        <w:t xml:space="preserve">using the </w:t>
      </w:r>
      <w:r w:rsidR="00B44BF0" w:rsidRPr="00AE3429">
        <w:rPr>
          <w:rFonts w:ascii="Calibri" w:hAnsi="Calibri" w:cs="Courier New"/>
          <w:color w:val="404040"/>
        </w:rPr>
        <w:t>FROM_ISO_19139</w:t>
      </w:r>
      <w:r w:rsidR="00B44BF0" w:rsidRPr="00AE3429">
        <w:rPr>
          <w:rFonts w:ascii="Calibri" w:hAnsi="Calibri"/>
        </w:rPr>
        <w:t xml:space="preserve"> </w:t>
      </w:r>
      <w:r w:rsidRPr="00AE3429">
        <w:rPr>
          <w:rFonts w:ascii="Calibri" w:hAnsi="Calibri"/>
        </w:rPr>
        <w:t>option</w:t>
      </w:r>
      <w:r w:rsidR="00B44BF0" w:rsidRPr="00AE3429">
        <w:rPr>
          <w:rFonts w:ascii="Calibri" w:hAnsi="Calibri"/>
        </w:rPr>
        <w:t>.</w:t>
      </w:r>
      <w:r w:rsidRPr="00AE3429">
        <w:rPr>
          <w:rFonts w:ascii="Calibri" w:hAnsi="Calibri"/>
        </w:rPr>
        <w:t xml:space="preserve"> </w:t>
      </w:r>
    </w:p>
    <w:p w:rsidR="00C20429" w:rsidRDefault="00AE3429" w:rsidP="00CF3E3B">
      <w:pPr>
        <w:spacing w:line="360" w:lineRule="auto"/>
      </w:pPr>
      <w:r>
        <w:t xml:space="preserve">8. Using ArcCatalog, check the imported metadata. </w:t>
      </w:r>
      <w:r w:rsidR="007A12BD">
        <w:t>Please note that place</w:t>
      </w:r>
      <w:r w:rsidR="00C20429">
        <w:t>-</w:t>
      </w:r>
      <w:r w:rsidR="007A12BD">
        <w:t>hold</w:t>
      </w:r>
      <w:r w:rsidR="00C20429">
        <w:t>er</w:t>
      </w:r>
      <w:r w:rsidR="007A12BD">
        <w:t xml:space="preserve"> strings in the metadata such as ‘</w:t>
      </w:r>
      <w:proofErr w:type="spellStart"/>
      <w:r w:rsidR="007A12BD">
        <w:t>xxSTATExx</w:t>
      </w:r>
      <w:proofErr w:type="spellEnd"/>
      <w:r w:rsidR="007A12BD">
        <w:t>’ and ‘</w:t>
      </w:r>
      <w:proofErr w:type="spellStart"/>
      <w:r w:rsidR="007A12BD">
        <w:t>xxSurveysxx</w:t>
      </w:r>
      <w:proofErr w:type="spellEnd"/>
      <w:r w:rsidR="007A12BD">
        <w:t>’ should not be edited or removed. These are a required part of the au</w:t>
      </w:r>
      <w:r w:rsidR="00C20429">
        <w:t>tomated metadata update process. Metadata items that need to be manually updated:</w:t>
      </w:r>
    </w:p>
    <w:p w:rsidR="00C20429" w:rsidRDefault="00C20429" w:rsidP="00C20429">
      <w:pPr>
        <w:ind w:left="14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tab/>
        <w:t xml:space="preserve">a. </w:t>
      </w:r>
      <w:r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 xml:space="preserve">Citation </w:t>
      </w:r>
      <w:r w:rsidRPr="00C20429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Publication date</w:t>
      </w:r>
      <w:r w:rsidRPr="00C20429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C20429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201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5</w:t>
      </w:r>
      <w:r w:rsidRPr="00C20429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-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1-15</w:t>
      </w:r>
      <w:r w:rsidRPr="00C20429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C20429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00:00:00</w:t>
      </w:r>
    </w:p>
    <w:p w:rsidR="00C20429" w:rsidRDefault="00C20429" w:rsidP="00C20429">
      <w:pPr>
        <w:ind w:left="14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tab/>
        <w:t xml:space="preserve">b. </w:t>
      </w:r>
      <w:r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Citation e</w:t>
      </w:r>
      <w:r w:rsidRPr="00C20429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dition</w:t>
      </w:r>
      <w:r w:rsidRPr="00C20429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FY 2015</w:t>
      </w:r>
    </w:p>
    <w:p w:rsidR="00006D64" w:rsidRDefault="00006D64" w:rsidP="00EB53D8">
      <w:pPr>
        <w:ind w:left="288"/>
        <w:rPr>
          <w:rFonts w:ascii="Verdana" w:eastAsia="Times New Roman" w:hAnsi="Verdana" w:cs="Times New Roman"/>
          <w:color w:val="FF0000"/>
          <w:sz w:val="19"/>
          <w:szCs w:val="19"/>
          <w:lang w:val="en"/>
        </w:rPr>
      </w:pPr>
      <w:r>
        <w:tab/>
        <w:t xml:space="preserve">c. </w:t>
      </w:r>
      <w:r w:rsidR="00EB53D8">
        <w:rPr>
          <w:rStyle w:val="esrielement1"/>
          <w:rFonts w:ascii="Verdana" w:hAnsi="Verdana"/>
          <w:sz w:val="17"/>
          <w:szCs w:val="17"/>
          <w:lang w:val="en"/>
        </w:rPr>
        <w:t>Extent</w:t>
      </w:r>
      <w:r w:rsidR="00EB53D8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 xml:space="preserve">, </w:t>
      </w:r>
      <w:r w:rsidRPr="00006D64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Temporal extent</w:t>
      </w:r>
      <w:r w:rsid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, </w:t>
      </w:r>
      <w:r w:rsidRPr="00006D64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Date and time</w:t>
      </w:r>
      <w:r w:rsidRPr="00006D64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006D64">
        <w:rPr>
          <w:rFonts w:ascii="Verdana" w:eastAsia="Times New Roman" w:hAnsi="Verdana" w:cs="Times New Roman"/>
          <w:color w:val="FF0000"/>
          <w:sz w:val="19"/>
          <w:szCs w:val="19"/>
          <w:lang w:val="en"/>
        </w:rPr>
        <w:t>201</w:t>
      </w:r>
      <w:r w:rsidR="00EB53D8">
        <w:rPr>
          <w:rFonts w:ascii="Verdana" w:eastAsia="Times New Roman" w:hAnsi="Verdana" w:cs="Times New Roman"/>
          <w:color w:val="FF0000"/>
          <w:sz w:val="19"/>
          <w:szCs w:val="19"/>
          <w:lang w:val="en"/>
        </w:rPr>
        <w:t>5</w:t>
      </w:r>
      <w:r w:rsidRPr="00006D64">
        <w:rPr>
          <w:rFonts w:ascii="Verdana" w:eastAsia="Times New Roman" w:hAnsi="Verdana" w:cs="Times New Roman"/>
          <w:color w:val="FF0000"/>
          <w:sz w:val="19"/>
          <w:szCs w:val="19"/>
          <w:lang w:val="en"/>
        </w:rPr>
        <w:t>-10-15</w:t>
      </w:r>
    </w:p>
    <w:p w:rsidR="00EB53D8" w:rsidRPr="00EB53D8" w:rsidRDefault="00EB53D8" w:rsidP="00EB53D8">
      <w:pPr>
        <w:ind w:left="28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tab/>
        <w:t xml:space="preserve">d. </w:t>
      </w:r>
      <w:r w:rsidRPr="00EB53D8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Date of next update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201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5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-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10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-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15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00:00:00</w:t>
      </w:r>
    </w:p>
    <w:p w:rsidR="00EB53D8" w:rsidRDefault="00EB53D8" w:rsidP="00EB53D8">
      <w:pPr>
        <w:ind w:left="28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lastRenderedPageBreak/>
        <w:tab/>
        <w:t xml:space="preserve">e. </w:t>
      </w:r>
      <w:r w:rsidRPr="00EB53D8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When the process occurred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201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4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-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10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-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15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proofErr w:type="gramStart"/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00:00:00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 (</w:t>
      </w:r>
      <w:proofErr w:type="gramEnd"/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several </w:t>
      </w:r>
      <w:r w:rsidR="009240E2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occurrences</w:t>
      </w:r>
      <w:r w:rsidR="002F16A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, may vary slightly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)</w:t>
      </w:r>
    </w:p>
    <w:p w:rsidR="002F16A7" w:rsidRDefault="002F16A7" w:rsidP="00EB53D8">
      <w:pPr>
        <w:ind w:left="288"/>
        <w:rPr>
          <w:rFonts w:ascii="Verdana" w:hAnsi="Verdana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ab/>
        <w:t xml:space="preserve">f. </w:t>
      </w:r>
      <w:r>
        <w:rPr>
          <w:rStyle w:val="esrielement1"/>
          <w:rFonts w:ascii="Verdana" w:hAnsi="Verdana"/>
          <w:sz w:val="17"/>
          <w:szCs w:val="17"/>
          <w:lang w:val="en"/>
        </w:rPr>
        <w:t>Publication date</w:t>
      </w:r>
      <w:r>
        <w:rPr>
          <w:rFonts w:ascii="Verdana" w:hAnsi="Verdana"/>
          <w:color w:val="000020"/>
          <w:sz w:val="19"/>
          <w:szCs w:val="19"/>
          <w:lang w:val="en"/>
        </w:rPr>
        <w:t> </w:t>
      </w:r>
      <w:r>
        <w:rPr>
          <w:rFonts w:ascii="Verdana" w:hAnsi="Verdana"/>
          <w:color w:val="000020"/>
          <w:sz w:val="19"/>
          <w:szCs w:val="19"/>
          <w:lang w:val="en"/>
        </w:rPr>
        <w:t>2006-01-</w:t>
      </w:r>
      <w:proofErr w:type="gramStart"/>
      <w:r>
        <w:rPr>
          <w:rFonts w:ascii="Verdana" w:hAnsi="Verdana"/>
          <w:color w:val="000020"/>
          <w:sz w:val="19"/>
          <w:szCs w:val="19"/>
          <w:lang w:val="en"/>
        </w:rPr>
        <w:t>01  (</w:t>
      </w:r>
      <w:proofErr w:type="gramEnd"/>
      <w:r>
        <w:rPr>
          <w:rFonts w:ascii="Verdana" w:hAnsi="Verdana"/>
          <w:color w:val="000020"/>
          <w:sz w:val="19"/>
          <w:szCs w:val="19"/>
          <w:lang w:val="en"/>
        </w:rPr>
        <w:t>NLCD could be updated to 2011-01-01)</w:t>
      </w:r>
    </w:p>
    <w:p w:rsidR="002F16A7" w:rsidRDefault="002F16A7" w:rsidP="002F16A7">
      <w:pPr>
        <w:ind w:left="43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ab/>
        <w:t xml:space="preserve">g. </w:t>
      </w:r>
      <w:r w:rsidRPr="002F16A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Temporal extent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, </w:t>
      </w:r>
      <w:r w:rsidRPr="002F16A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Date and time</w:t>
      </w:r>
      <w:r w:rsidRPr="002F16A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F16A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2006-01-01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(NLCD could be updated to 2011 also)</w:t>
      </w:r>
    </w:p>
    <w:p w:rsidR="002F16A7" w:rsidRPr="002F16A7" w:rsidRDefault="002F16A7" w:rsidP="002F16A7">
      <w:pPr>
        <w:ind w:left="43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ab/>
        <w:t>h. Do not change geoprocessing history.</w:t>
      </w:r>
    </w:p>
    <w:p w:rsidR="002F16A7" w:rsidRPr="00EB53D8" w:rsidRDefault="002F16A7" w:rsidP="00EB53D8">
      <w:pPr>
        <w:ind w:left="28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</w:p>
    <w:p w:rsidR="00C20429" w:rsidRPr="003E4592" w:rsidRDefault="003E4592" w:rsidP="003E4592">
      <w:pPr>
        <w:spacing w:line="360" w:lineRule="auto"/>
        <w:jc w:val="center"/>
        <w:rPr>
          <w:b/>
        </w:rPr>
      </w:pPr>
      <w:r w:rsidRPr="00E10F5C">
        <w:rPr>
          <w:b/>
        </w:rPr>
        <w:t xml:space="preserve">Steps for </w:t>
      </w:r>
      <w:proofErr w:type="gramStart"/>
      <w:r w:rsidRPr="00E10F5C">
        <w:rPr>
          <w:b/>
        </w:rPr>
        <w:t>Updating</w:t>
      </w:r>
      <w:proofErr w:type="gramEnd"/>
      <w:r w:rsidRPr="00E10F5C">
        <w:rPr>
          <w:b/>
        </w:rPr>
        <w:t xml:space="preserve"> </w:t>
      </w:r>
      <w:r>
        <w:rPr>
          <w:b/>
        </w:rPr>
        <w:t>gSSURGO-Metadata (XML)</w:t>
      </w:r>
    </w:p>
    <w:p w:rsidR="00CF3E3B" w:rsidRDefault="003E4592" w:rsidP="003E4592">
      <w:pPr>
        <w:spacing w:line="360" w:lineRule="auto"/>
      </w:pPr>
      <w:r>
        <w:t>Normally this process is performed by the gSSURGO  developers…</w:t>
      </w:r>
    </w:p>
    <w:sectPr w:rsidR="00CF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F5A64"/>
    <w:multiLevelType w:val="hybridMultilevel"/>
    <w:tmpl w:val="1324B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3B"/>
    <w:rsid w:val="00006D64"/>
    <w:rsid w:val="000B1225"/>
    <w:rsid w:val="000C2488"/>
    <w:rsid w:val="000F6D9F"/>
    <w:rsid w:val="00151EF5"/>
    <w:rsid w:val="001D52CF"/>
    <w:rsid w:val="00264773"/>
    <w:rsid w:val="002F16A7"/>
    <w:rsid w:val="003E4592"/>
    <w:rsid w:val="005D247A"/>
    <w:rsid w:val="007010F2"/>
    <w:rsid w:val="007A12BD"/>
    <w:rsid w:val="00802290"/>
    <w:rsid w:val="009240E2"/>
    <w:rsid w:val="00AE3429"/>
    <w:rsid w:val="00B1469D"/>
    <w:rsid w:val="00B44BF0"/>
    <w:rsid w:val="00C05A9E"/>
    <w:rsid w:val="00C20429"/>
    <w:rsid w:val="00CF3E3B"/>
    <w:rsid w:val="00E10F5C"/>
    <w:rsid w:val="00EB53D8"/>
    <w:rsid w:val="00EF5954"/>
    <w:rsid w:val="00FA304A"/>
    <w:rsid w:val="00FB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54"/>
    <w:pPr>
      <w:ind w:left="720"/>
      <w:contextualSpacing/>
    </w:pPr>
  </w:style>
  <w:style w:type="character" w:customStyle="1" w:styleId="esrielement1">
    <w:name w:val="esrielement1"/>
    <w:basedOn w:val="DefaultParagraphFont"/>
    <w:rsid w:val="00C20429"/>
    <w:rPr>
      <w:b w:val="0"/>
      <w:bCs w:val="0"/>
      <w:smallCaps/>
      <w:color w:val="006688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54"/>
    <w:pPr>
      <w:ind w:left="720"/>
      <w:contextualSpacing/>
    </w:pPr>
  </w:style>
  <w:style w:type="character" w:customStyle="1" w:styleId="esrielement1">
    <w:name w:val="esrielement1"/>
    <w:basedOn w:val="DefaultParagraphFont"/>
    <w:rsid w:val="00C20429"/>
    <w:rPr>
      <w:b w:val="0"/>
      <w:bCs w:val="0"/>
      <w:smallCaps/>
      <w:color w:val="00668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3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5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9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Peaslee, Steve - NRCS, Lincoln, NE</dc:creator>
  <cp:lastModifiedBy>Peaslee, Steve - NRCS, Lincoln, NE</cp:lastModifiedBy>
  <cp:revision>22</cp:revision>
  <dcterms:created xsi:type="dcterms:W3CDTF">2014-09-28T11:55:00Z</dcterms:created>
  <dcterms:modified xsi:type="dcterms:W3CDTF">2014-10-03T11:53:00Z</dcterms:modified>
</cp:coreProperties>
</file>