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0" w:lineRule="auto"/>
        <w:ind w:firstLine="0"/>
        <w:rPr>
          <w:rFonts w:ascii="Georgia" w:cs="Georgia" w:eastAsia="Georgia" w:hAnsi="Georgia"/>
          <w:color w:val="000000"/>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171450</wp:posOffset>
            </wp:positionV>
            <wp:extent cx="5267960" cy="8309580"/>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67960" cy="8309580"/>
                    </a:xfrm>
                    <a:prstGeom prst="rect"/>
                    <a:ln/>
                  </pic:spPr>
                </pic:pic>
              </a:graphicData>
            </a:graphic>
          </wp:anchor>
        </w:drawing>
      </w:r>
    </w:p>
    <w:p w:rsidR="00000000" w:rsidDel="00000000" w:rsidP="00000000" w:rsidRDefault="00000000" w:rsidRPr="00000000" w14:paraId="00000002">
      <w:pPr>
        <w:pStyle w:val="Title"/>
        <w:spacing w:before="2400" w:lineRule="auto"/>
        <w:ind w:firstLine="0"/>
        <w:rPr>
          <w:rFonts w:ascii="Georgia" w:cs="Georgia" w:eastAsia="Georgia" w:hAnsi="Georgia"/>
          <w:color w:val="000000"/>
          <w:sz w:val="30"/>
          <w:szCs w:val="30"/>
        </w:rPr>
      </w:pPr>
      <w:r w:rsidDel="00000000" w:rsidR="00000000" w:rsidRPr="00000000">
        <w:rPr>
          <w:rtl w:val="0"/>
        </w:rPr>
      </w:r>
    </w:p>
    <w:p w:rsidR="00000000" w:rsidDel="00000000" w:rsidP="00000000" w:rsidRDefault="00000000" w:rsidRPr="00000000" w14:paraId="00000003">
      <w:pPr>
        <w:pStyle w:val="Title"/>
        <w:spacing w:before="2400" w:lineRule="auto"/>
        <w:ind w:firstLine="0"/>
        <w:rPr>
          <w:rFonts w:ascii="Georgia" w:cs="Georgia" w:eastAsia="Georgia" w:hAnsi="Georgia"/>
          <w:color w:val="000000"/>
          <w:sz w:val="30"/>
          <w:szCs w:val="30"/>
        </w:rPr>
      </w:pPr>
      <w:r w:rsidDel="00000000" w:rsidR="00000000" w:rsidRPr="00000000">
        <w:rPr>
          <w:rtl w:val="0"/>
        </w:rPr>
      </w:r>
    </w:p>
    <w:p w:rsidR="00000000" w:rsidDel="00000000" w:rsidP="00000000" w:rsidRDefault="00000000" w:rsidRPr="00000000" w14:paraId="00000004">
      <w:pPr>
        <w:pStyle w:val="Title"/>
        <w:spacing w:before="2400" w:lineRule="auto"/>
        <w:ind w:firstLine="0"/>
        <w:rPr>
          <w:rFonts w:ascii="Georgia" w:cs="Georgia" w:eastAsia="Georgia" w:hAnsi="Georgia"/>
          <w:color w:val="000000"/>
          <w:sz w:val="30"/>
          <w:szCs w:val="30"/>
        </w:rPr>
      </w:pPr>
      <w:r w:rsidDel="00000000" w:rsidR="00000000" w:rsidRPr="00000000">
        <w:rPr>
          <w:rtl w:val="0"/>
        </w:rPr>
      </w:r>
    </w:p>
    <w:p w:rsidR="00000000" w:rsidDel="00000000" w:rsidP="00000000" w:rsidRDefault="00000000" w:rsidRPr="00000000" w14:paraId="00000005">
      <w:pPr>
        <w:pStyle w:val="Title"/>
        <w:spacing w:before="2400" w:lineRule="auto"/>
        <w:ind w:firstLine="0"/>
        <w:rPr>
          <w:rFonts w:ascii="Georgia" w:cs="Georgia" w:eastAsia="Georgia" w:hAnsi="Georgia"/>
          <w:color w:val="000000"/>
          <w:sz w:val="30"/>
          <w:szCs w:val="30"/>
        </w:rPr>
      </w:pPr>
      <w:r w:rsidDel="00000000" w:rsidR="00000000" w:rsidRPr="00000000">
        <w:rPr>
          <w:rtl w:val="0"/>
        </w:rPr>
      </w:r>
    </w:p>
    <w:p w:rsidR="00000000" w:rsidDel="00000000" w:rsidP="00000000" w:rsidRDefault="00000000" w:rsidRPr="00000000" w14:paraId="00000006">
      <w:pPr>
        <w:pStyle w:val="Title"/>
        <w:spacing w:before="2400" w:lineRule="auto"/>
        <w:ind w:firstLine="0"/>
        <w:jc w:val="left"/>
        <w:rPr>
          <w:rFonts w:ascii="Georgia" w:cs="Georgia" w:eastAsia="Georgia" w:hAnsi="Georgia"/>
          <w:color w:val="000000"/>
          <w:sz w:val="30"/>
          <w:szCs w:val="30"/>
        </w:rPr>
      </w:pPr>
      <w:r w:rsidDel="00000000" w:rsidR="00000000" w:rsidRPr="00000000">
        <w:rPr>
          <w:rtl w:val="0"/>
        </w:rPr>
      </w:r>
    </w:p>
    <w:p w:rsidR="00000000" w:rsidDel="00000000" w:rsidP="00000000" w:rsidRDefault="00000000" w:rsidRPr="00000000" w14:paraId="00000007">
      <w:pPr>
        <w:pStyle w:val="Title"/>
        <w:spacing w:before="2400" w:lineRule="auto"/>
        <w:ind w:firstLine="0"/>
        <w:rPr>
          <w:rFonts w:ascii="Georgia" w:cs="Georgia" w:eastAsia="Georgia" w:hAnsi="Georgia"/>
          <w:color w:val="000000"/>
          <w:sz w:val="30"/>
          <w:szCs w:val="30"/>
        </w:rPr>
      </w:pPr>
      <w:r w:rsidDel="00000000" w:rsidR="00000000" w:rsidRPr="00000000">
        <w:rPr>
          <w:rFonts w:ascii="Georgia" w:cs="Georgia" w:eastAsia="Georgia" w:hAnsi="Georgia"/>
          <w:color w:val="000000"/>
          <w:sz w:val="30"/>
          <w:szCs w:val="30"/>
          <w:rtl w:val="0"/>
        </w:rPr>
        <w:t xml:space="preserve">JUDICIAL RENAISSANCE</w:t>
      </w:r>
    </w:p>
    <w:p w:rsidR="00000000" w:rsidDel="00000000" w:rsidP="00000000" w:rsidRDefault="00000000" w:rsidRPr="00000000" w14:paraId="00000008">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ARTEMIO V. PANGANIBAN</w:t>
      </w:r>
    </w:p>
    <w:p w:rsidR="00000000" w:rsidDel="00000000" w:rsidP="00000000" w:rsidRDefault="00000000" w:rsidRPr="00000000" w14:paraId="0000000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Other Books by the Author</w:t>
      </w:r>
    </w:p>
    <w:p w:rsidR="00000000" w:rsidDel="00000000" w:rsidP="00000000" w:rsidRDefault="00000000" w:rsidRPr="00000000" w14:paraId="0000000B">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Leveling the Playing Field (2004)</w:t>
      </w:r>
    </w:p>
    <w:p w:rsidR="00000000" w:rsidDel="00000000" w:rsidP="00000000" w:rsidRDefault="00000000" w:rsidRPr="00000000" w14:paraId="0000000C">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Bio-Age Dawns on the Judiciary (2003)</w:t>
      </w:r>
    </w:p>
    <w:p w:rsidR="00000000" w:rsidDel="00000000" w:rsidP="00000000" w:rsidRDefault="00000000" w:rsidRPr="00000000" w14:paraId="0000000D">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Reforming the Judiciary (2002)</w:t>
      </w:r>
    </w:p>
    <w:p w:rsidR="00000000" w:rsidDel="00000000" w:rsidP="00000000" w:rsidRDefault="00000000" w:rsidRPr="00000000" w14:paraId="0000000E">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Centenary of Justice (2001)</w:t>
      </w:r>
    </w:p>
    <w:p w:rsidR="00000000" w:rsidDel="00000000" w:rsidP="00000000" w:rsidRDefault="00000000" w:rsidRPr="00000000" w14:paraId="0000000F">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Transparency, Unanimity &amp; Diversity (2000)</w:t>
      </w:r>
    </w:p>
    <w:p w:rsidR="00000000" w:rsidDel="00000000" w:rsidP="00000000" w:rsidRDefault="00000000" w:rsidRPr="00000000" w14:paraId="00000010">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Leadership by Example (1999)</w:t>
      </w:r>
    </w:p>
    <w:p w:rsidR="00000000" w:rsidDel="00000000" w:rsidP="00000000" w:rsidRDefault="00000000" w:rsidRPr="00000000" w14:paraId="00000011">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Battles in the Supreme Court (1998)</w:t>
      </w:r>
    </w:p>
    <w:p w:rsidR="00000000" w:rsidDel="00000000" w:rsidP="00000000" w:rsidRDefault="00000000" w:rsidRPr="00000000" w14:paraId="00000012">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and Faith (1997)</w:t>
      </w:r>
    </w:p>
    <w:p w:rsidR="00000000" w:rsidDel="00000000" w:rsidP="00000000" w:rsidRDefault="00000000" w:rsidRPr="00000000" w14:paraId="00000013">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God, Serve Man (1994)</w:t>
      </w:r>
    </w:p>
    <w:p w:rsidR="00000000" w:rsidDel="00000000" w:rsidP="00000000" w:rsidRDefault="00000000" w:rsidRPr="00000000" w14:paraId="00000014">
      <w:pPr>
        <w:ind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5">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About the Author</w:t>
      </w:r>
    </w:p>
    <w:p w:rsidR="00000000" w:rsidDel="00000000" w:rsidP="00000000" w:rsidRDefault="00000000" w:rsidRPr="00000000" w14:paraId="000000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Prolific Writer. Justice Panganiban is the concurrent chairperson of the Supreme Court (SC) Third Division and the House of Representatives Electoral Tribunal (HRET), as well as of seven SC committees involved mainly in judicial reforms. Described by a colleague (Justice Antonio T. Carpio) as “undoubtedly the most prolific writer of the Court, bar none,” he has during the last ten years penned more than 1,000 full-length decisions and ten books plus several thousand minute resolutions disposing of controversies. As Justice Romeo J. Callejo Sr. puts it, “One book a year and no cases left undecided. This is Mr. Justice Artemio V. Panganiban’s unsurpassed record. It is also the best summation of judicial reform.” Another colleague (Justice Angelina Sandoval-Gutierrez) lauds his “preeminent judicial craftsmanship, social philosophies and literary style . . . .”</w:t>
      </w:r>
    </w:p>
    <w:p w:rsidR="00000000" w:rsidDel="00000000" w:rsidP="00000000" w:rsidRDefault="00000000" w:rsidRPr="00000000" w14:paraId="000000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Diverse Subjects. Known for his pro-poor opinions, he has nonetheless spoken for the Court on a wide range of legal controversies touching on diverse subjects, like mathematics, economics, business, accounting, and even canon law. A much sought-after speaker, he has addressed audiences around the world on various subjects, including five lectures on the biosciences in two international fora held in Chile in 2004. Of his “mental dexterity,” Chief Justice Hilario G. Davide Jr. explains that Justice Panganiban “extricates the possible from the hypothetical, the emerging from the established, the literature in science and the law in art.”</w:t>
      </w:r>
    </w:p>
    <w:p w:rsidR="00000000" w:rsidDel="00000000" w:rsidP="00000000" w:rsidRDefault="00000000" w:rsidRPr="00000000" w14:paraId="0000001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spacing w:before="2200" w:lineRule="auto"/>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JUDICIAL</w:t>
        <w:br w:type="textWrapping"/>
        <w:t xml:space="preserve">RENAISSANCE</w:t>
      </w:r>
    </w:p>
    <w:p w:rsidR="00000000" w:rsidDel="00000000" w:rsidP="00000000" w:rsidRDefault="00000000" w:rsidRPr="00000000" w14:paraId="0000001A">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w:t>
        <w:br w:type="textWrapping"/>
        <w:t xml:space="preserve">JUSTICE ARTEMIO V. PANGANIBAN</w:t>
      </w:r>
    </w:p>
    <w:p w:rsidR="00000000" w:rsidDel="00000000" w:rsidP="00000000" w:rsidRDefault="00000000" w:rsidRPr="00000000" w14:paraId="0000001B">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br w:type="textWrapping"/>
        <w:t xml:space="preserve">PRINTED BY</w:t>
        <w:br w:type="textWrapping"/>
        <w:t xml:space="preserve">THE SUPREME COURT PRINTING PRESS</w:t>
        <w:br w:type="textWrapping"/>
        <w:t xml:space="preserve">NOVEMBER 2005</w:t>
      </w:r>
    </w:p>
    <w:p w:rsidR="00000000" w:rsidDel="00000000" w:rsidP="00000000" w:rsidRDefault="00000000" w:rsidRPr="00000000" w14:paraId="0000001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Copyright</w:t>
      </w:r>
    </w:p>
    <w:p w:rsidR="00000000" w:rsidDel="00000000" w:rsidP="00000000" w:rsidRDefault="00000000" w:rsidRPr="00000000" w14:paraId="0000001E">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Philippine Copyright 2005</w:t>
        <w:br w:type="textWrapping"/>
        <w:t xml:space="preserve">by</w:t>
        <w:br w:type="textWrapping"/>
        <w:t xml:space="preserve">Justice Artemio V. Panganiban</w:t>
      </w:r>
    </w:p>
    <w:p w:rsidR="00000000" w:rsidDel="00000000" w:rsidP="00000000" w:rsidRDefault="00000000" w:rsidRPr="00000000" w14:paraId="000000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portion of this book may be copied or reproduced in books, pamphlets, outlines or notes -- whether printed, mimeographed, typewritten, copied in different electronic devices or in any other form -- without the written permission of the author, except in brief passages in books, articles, reviews, legal papers, and judicial or other official proceedings with proper citation.</w:t>
      </w:r>
    </w:p>
    <w:p w:rsidR="00000000" w:rsidDel="00000000" w:rsidP="00000000" w:rsidRDefault="00000000" w:rsidRPr="00000000" w14:paraId="00000020">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RIGHTS RESERVED</w:t>
        <w:br w:type="textWrapping"/>
        <w:t xml:space="preserve">BY THE AUTHOR.</w:t>
      </w:r>
    </w:p>
    <w:p w:rsidR="00000000" w:rsidDel="00000000" w:rsidP="00000000" w:rsidRDefault="00000000" w:rsidRPr="00000000" w14:paraId="000000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book is not sold commercially, but is distributed by the Supreme Court to various stakeholders of the judiciary and to law libraries in the country.</w:t>
      </w:r>
    </w:p>
    <w:p w:rsidR="00000000" w:rsidDel="00000000" w:rsidP="00000000" w:rsidRDefault="00000000" w:rsidRPr="00000000" w14:paraId="000000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3">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Printed by</w:t>
        <w:br w:type="textWrapping"/>
        <w:t xml:space="preserve">The Supreme Court Printing Press</w:t>
        <w:br w:type="textWrapping"/>
        <w:t xml:space="preserve">Padre Faura, Ermita, Manila</w:t>
        <w:br w:type="textWrapping"/>
        <w:t xml:space="preserve">Philippines</w:t>
      </w:r>
    </w:p>
    <w:p w:rsidR="00000000" w:rsidDel="00000000" w:rsidP="00000000" w:rsidRDefault="00000000" w:rsidRPr="00000000" w14:paraId="0000002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Contents</w:t>
      </w:r>
    </w:p>
    <w:p w:rsidR="00000000" w:rsidDel="00000000" w:rsidP="00000000" w:rsidRDefault="00000000" w:rsidRPr="00000000" w14:paraId="00000026">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Foreword — Chief Justice Hilario G. Davide Jr.</w:t>
        <w:tab/>
        <w:t xml:space="preserve">xi</w:t>
      </w:r>
    </w:p>
    <w:p w:rsidR="00000000" w:rsidDel="00000000" w:rsidP="00000000" w:rsidRDefault="00000000" w:rsidRPr="00000000" w14:paraId="00000027">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Preface — Justice Artemio V. Panganiban</w:t>
        <w:tab/>
        <w:t xml:space="preserve">xiii</w:t>
      </w:r>
    </w:p>
    <w:p w:rsidR="00000000" w:rsidDel="00000000" w:rsidP="00000000" w:rsidRDefault="00000000" w:rsidRPr="00000000" w14:paraId="00000028">
      <w:pPr>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 — THE PHILIPPINE JUDICIARY REINVENTED</w:t>
      </w:r>
      <w:r w:rsidDel="00000000" w:rsidR="00000000" w:rsidRPr="00000000">
        <w:rPr>
          <w:rtl w:val="0"/>
        </w:rPr>
      </w:r>
    </w:p>
    <w:p w:rsidR="00000000" w:rsidDel="00000000" w:rsidP="00000000" w:rsidRDefault="00000000" w:rsidRPr="00000000" w14:paraId="00000029">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 A Transformed Judiciary</w:t>
        <w:tab/>
        <w:t xml:space="preserve">3</w:t>
      </w:r>
    </w:p>
    <w:p w:rsidR="00000000" w:rsidDel="00000000" w:rsidP="00000000" w:rsidRDefault="00000000" w:rsidRPr="00000000" w14:paraId="0000002A">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 The APJR: An Executive Summary</w:t>
        <w:tab/>
        <w:t xml:space="preserve">47</w:t>
      </w:r>
    </w:p>
    <w:p w:rsidR="00000000" w:rsidDel="00000000" w:rsidP="00000000" w:rsidRDefault="00000000" w:rsidRPr="00000000" w14:paraId="0000002B">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3. Global Support for Judicial Reforms</w:t>
        <w:tab/>
        <w:t xml:space="preserve">61</w:t>
      </w:r>
    </w:p>
    <w:p w:rsidR="00000000" w:rsidDel="00000000" w:rsidP="00000000" w:rsidRDefault="00000000" w:rsidRPr="00000000" w14:paraId="0000002C">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4. Judicial Reform — Issues to Consider: The Philippines and Indonesia, by Anthony Gerald Toft</w:t>
        <w:tab/>
        <w:t xml:space="preserve">76</w:t>
      </w:r>
    </w:p>
    <w:p w:rsidR="00000000" w:rsidDel="00000000" w:rsidP="00000000" w:rsidRDefault="00000000" w:rsidRPr="00000000" w14:paraId="0000002D">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5. A Celebration of Thanksgiving</w:t>
        <w:tab/>
        <w:t xml:space="preserve">111</w:t>
      </w:r>
    </w:p>
    <w:p w:rsidR="00000000" w:rsidDel="00000000" w:rsidP="00000000" w:rsidRDefault="00000000" w:rsidRPr="00000000" w14:paraId="0000002E">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6. Holmes, Money and Trust</w:t>
        <w:tab/>
        <w:t xml:space="preserve">123</w:t>
      </w:r>
    </w:p>
    <w:p w:rsidR="00000000" w:rsidDel="00000000" w:rsidP="00000000" w:rsidRDefault="00000000" w:rsidRPr="00000000" w14:paraId="0000002F">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7. Independence and Integrity of the Philippine Judiciary</w:t>
        <w:tab/>
        <w:t xml:space="preserve">138</w:t>
      </w:r>
    </w:p>
    <w:p w:rsidR="00000000" w:rsidDel="00000000" w:rsidP="00000000" w:rsidRDefault="00000000" w:rsidRPr="00000000" w14:paraId="00000030">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8. Access to Justice: A Prerequisite to Economic Development</w:t>
        <w:tab/>
        <w:t xml:space="preserve">145</w:t>
      </w:r>
    </w:p>
    <w:p w:rsidR="00000000" w:rsidDel="00000000" w:rsidP="00000000" w:rsidRDefault="00000000" w:rsidRPr="00000000" w14:paraId="00000031">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9. Judging the Judges</w:t>
        <w:tab/>
        <w:t xml:space="preserve">167</w:t>
      </w:r>
    </w:p>
    <w:p w:rsidR="00000000" w:rsidDel="00000000" w:rsidP="00000000" w:rsidRDefault="00000000" w:rsidRPr="00000000" w14:paraId="00000032">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10. Beyond Excellence</w:t>
        <w:tab/>
        <w:t xml:space="preserve">185</w:t>
      </w:r>
    </w:p>
    <w:p w:rsidR="00000000" w:rsidDel="00000000" w:rsidP="00000000" w:rsidRDefault="00000000" w:rsidRPr="00000000" w14:paraId="00000033">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11. Liberty and Prosperity</w:t>
        <w:tab/>
        <w:t xml:space="preserve">195</w:t>
      </w:r>
    </w:p>
    <w:p w:rsidR="00000000" w:rsidDel="00000000" w:rsidP="00000000" w:rsidRDefault="00000000" w:rsidRPr="00000000" w14:paraId="00000034">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12. An Ethical Compass for the Legal Profession</w:t>
        <w:tab/>
        <w:t xml:space="preserve">214</w:t>
      </w:r>
    </w:p>
    <w:p w:rsidR="00000000" w:rsidDel="00000000" w:rsidP="00000000" w:rsidRDefault="00000000" w:rsidRPr="00000000" w14:paraId="00000035">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13. The Power of Example</w:t>
        <w:tab/>
        <w:t xml:space="preserve">228</w:t>
      </w:r>
    </w:p>
    <w:p w:rsidR="00000000" w:rsidDel="00000000" w:rsidP="00000000" w:rsidRDefault="00000000" w:rsidRPr="00000000" w14:paraId="00000036">
      <w:pPr>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II — THE CONTROVERSIAL CASES</w:t>
      </w:r>
      <w:r w:rsidDel="00000000" w:rsidR="00000000" w:rsidRPr="00000000">
        <w:rPr>
          <w:rtl w:val="0"/>
        </w:rPr>
      </w:r>
    </w:p>
    <w:p w:rsidR="00000000" w:rsidDel="00000000" w:rsidP="00000000" w:rsidRDefault="00000000" w:rsidRPr="00000000" w14:paraId="00000037">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14. Invest in the Whole Country, Not Just in the Mining Industry</w:t>
        <w:tab/>
        <w:t xml:space="preserve">243</w:t>
      </w:r>
    </w:p>
    <w:p w:rsidR="00000000" w:rsidDel="00000000" w:rsidP="00000000" w:rsidRDefault="00000000" w:rsidRPr="00000000" w14:paraId="00000038">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15. La Bugal B’laan v. Ramos: The Constitutionality of the Mining Law</w:t>
        <w:tab/>
        <w:t xml:space="preserve">261</w:t>
      </w:r>
    </w:p>
    <w:p w:rsidR="00000000" w:rsidDel="00000000" w:rsidP="00000000" w:rsidRDefault="00000000" w:rsidRPr="00000000" w14:paraId="00000039">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16. Abakada Guro Party List v. Ermita: The Constitutionality of the E-Vat Law</w:t>
        <w:tab/>
        <w:t xml:space="preserve">321</w:t>
      </w:r>
    </w:p>
    <w:p w:rsidR="00000000" w:rsidDel="00000000" w:rsidP="00000000" w:rsidRDefault="00000000" w:rsidRPr="00000000" w14:paraId="0000003A">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17. Southern Cross Cement Corporation v. Philippine Cement Manufacturers Corporation: Executive Power to Protect Local Industries</w:t>
        <w:tab/>
        <w:t xml:space="preserve">358</w:t>
      </w:r>
    </w:p>
    <w:p w:rsidR="00000000" w:rsidDel="00000000" w:rsidP="00000000" w:rsidRDefault="00000000" w:rsidRPr="00000000" w14:paraId="0000003B">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18. Central Bank Employees Association v. Monetary Board: Constitutionality of Increases in CB Employees’ Compensation</w:t>
        <w:tab/>
        <w:t xml:space="preserve">388</w:t>
      </w:r>
    </w:p>
    <w:p w:rsidR="00000000" w:rsidDel="00000000" w:rsidP="00000000" w:rsidRDefault="00000000" w:rsidRPr="00000000" w14:paraId="0000003C">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19. Agabon v. NLRC: Sanctions for Violation of Due Process in Labor Cases</w:t>
        <w:tab/>
        <w:t xml:space="preserve">407</w:t>
      </w:r>
    </w:p>
    <w:p w:rsidR="00000000" w:rsidDel="00000000" w:rsidP="00000000" w:rsidRDefault="00000000" w:rsidRPr="00000000" w14:paraId="0000003D">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20. Presidential Commission on Good Government v. Lucio Tan: Ethical Conduct of a Lawyer</w:t>
        <w:tab/>
        <w:t xml:space="preserve">426</w:t>
      </w:r>
    </w:p>
    <w:p w:rsidR="00000000" w:rsidDel="00000000" w:rsidP="00000000" w:rsidRDefault="00000000" w:rsidRPr="00000000" w14:paraId="0000003E">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21. Information Technology Foundation of the Philippines v. Comelec: The Use of ACMs in the ARMM Elections: A Reprise</w:t>
        <w:tab/>
        <w:t xml:space="preserve">443</w:t>
      </w:r>
    </w:p>
    <w:p w:rsidR="00000000" w:rsidDel="00000000" w:rsidP="00000000" w:rsidRDefault="00000000" w:rsidRPr="00000000" w14:paraId="0000003F">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22. The HRET at Work</w:t>
        <w:tab/>
        <w:t xml:space="preserve">453</w:t>
      </w:r>
    </w:p>
    <w:p w:rsidR="00000000" w:rsidDel="00000000" w:rsidP="00000000" w:rsidRDefault="00000000" w:rsidRPr="00000000" w14:paraId="00000040">
      <w:pPr>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APPENDICES</w:t>
      </w:r>
      <w:r w:rsidDel="00000000" w:rsidR="00000000" w:rsidRPr="00000000">
        <w:rPr>
          <w:rtl w:val="0"/>
        </w:rPr>
      </w:r>
    </w:p>
    <w:p w:rsidR="00000000" w:rsidDel="00000000" w:rsidP="00000000" w:rsidRDefault="00000000" w:rsidRPr="00000000" w14:paraId="00000041">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Appendix A. VVM: Vital Volume from a Magistrate</w:t>
        <w:tab/>
        <w:t xml:space="preserve">489</w:t>
      </w:r>
    </w:p>
    <w:p w:rsidR="00000000" w:rsidDel="00000000" w:rsidP="00000000" w:rsidRDefault="00000000" w:rsidRPr="00000000" w14:paraId="00000042">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Appendix B. Brilliant, Versatile and Venerable</w:t>
        <w:tab/>
        <w:t xml:space="preserve">497</w:t>
      </w:r>
    </w:p>
    <w:p w:rsidR="00000000" w:rsidDel="00000000" w:rsidP="00000000" w:rsidRDefault="00000000" w:rsidRPr="00000000" w14:paraId="00000043">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Appendix C. A Century of Service Above Self</w:t>
        <w:tab/>
        <w:t xml:space="preserve">500</w:t>
      </w:r>
    </w:p>
    <w:p w:rsidR="00000000" w:rsidDel="00000000" w:rsidP="00000000" w:rsidRDefault="00000000" w:rsidRPr="00000000" w14:paraId="00000044">
      <w:pPr>
        <w:tabs>
          <w:tab w:val="left" w:leader="none" w:pos="9072"/>
        </w:tabs>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Index</w:t>
        <w:tab/>
        <w:t xml:space="preserve">511</w:t>
      </w:r>
    </w:p>
    <w:p w:rsidR="00000000" w:rsidDel="00000000" w:rsidP="00000000" w:rsidRDefault="00000000" w:rsidRPr="00000000" w14:paraId="00000045">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240" w:before="480" w:line="240" w:lineRule="auto"/>
        <w:ind w:firstLine="0"/>
        <w:rPr>
          <w:rFonts w:ascii="Georgia" w:cs="Georgia" w:eastAsia="Georgia" w:hAnsi="Georgia"/>
          <w:color w:val="000000"/>
          <w:sz w:val="22"/>
          <w:szCs w:val="22"/>
        </w:rPr>
      </w:pPr>
      <w:bookmarkStart w:colFirst="0" w:colLast="0" w:name="_heading=h.2e9dlp4n9qw" w:id="0"/>
      <w:bookmarkEnd w:id="0"/>
      <w:r w:rsidDel="00000000" w:rsidR="00000000" w:rsidRPr="00000000">
        <w:rPr>
          <w:rFonts w:ascii="Georgia" w:cs="Georgia" w:eastAsia="Georgia" w:hAnsi="Georgia"/>
          <w:color w:val="000000"/>
          <w:sz w:val="22"/>
          <w:szCs w:val="22"/>
          <w:rtl w:val="0"/>
        </w:rPr>
        <w:t xml:space="preserve">Foreword</w:t>
      </w:r>
    </w:p>
    <w:p w:rsidR="00000000" w:rsidDel="00000000" w:rsidP="00000000" w:rsidRDefault="00000000" w:rsidRPr="00000000" w14:paraId="0000004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8">
      <w:pPr>
        <w:spacing w:after="120" w:before="120" w:line="240" w:lineRule="auto"/>
        <w:ind w:firstLine="0"/>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ab/>
        <w:t xml:space="preserve">      FROM THE CHAMBERS OF </w:t>
      </w:r>
    </w:p>
    <w:p w:rsidR="00000000" w:rsidDel="00000000" w:rsidP="00000000" w:rsidRDefault="00000000" w:rsidRPr="00000000" w14:paraId="00000049">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4A">
      <w:pPr>
        <w:spacing w:after="120" w:before="120" w:line="240" w:lineRule="auto"/>
        <w:ind w:firstLine="0"/>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CHIEF JUSTICE</w:t>
      </w:r>
    </w:p>
    <w:p w:rsidR="00000000" w:rsidDel="00000000" w:rsidP="00000000" w:rsidRDefault="00000000" w:rsidRPr="00000000" w14:paraId="0000004B">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There is a tender veneration that accompanies my foreword to Mr. Justice Artemio V. Panganiban’s opus, Judicial Renaissance. His ninth depiction of the historical account of the Supreme Court where he now sits is a more vigorous projection of his venerable genius into the present, pointing out those fine moments when our national destiny bent and swayed to another bearing under the stewardship of the Supreme Court. His book avows that our national future is in safe hands because the fine memory of the past has been so bright.</w:t>
      </w:r>
    </w:p>
    <w:p w:rsidR="00000000" w:rsidDel="00000000" w:rsidP="00000000" w:rsidRDefault="00000000" w:rsidRPr="00000000" w14:paraId="0000004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release of Judicial Renaissance coincides with my valedictory year as Chief Justice. By the stroke of midnight on December 19, the supremacy of our Constitution presses me to vacate this great office and marshal my faculties elsewhere in selfless sacrifice for others. Against the strife of civil life we learn that the joy of it all is only felt when we strain all our powers and imagination as far as they can go towards some great dedication. In the end, we come to know that in the midst of routine and our blind dedication to justice, there strums a sweet melodious timber that twirls our lonely strife into unbelievable romance. In this great symphony of national living we now pause a little to admire the fruit of a sustained intellectual effort -- Judicial Renaissance. Justice Panganiban has tirelessly documented and analyzed the organic growth of the judicial process under the peculiar perplexities that shake our nation today.</w:t>
      </w:r>
    </w:p>
    <w:p w:rsidR="00000000" w:rsidDel="00000000" w:rsidP="00000000" w:rsidRDefault="00000000" w:rsidRPr="00000000" w14:paraId="0000004D">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first part of the book dwells in depth on the Action Program for Judicial Reform (APJR). The APJR, adopted by the Court on 8 December 2000, breathes life into the vision-mission of the Judiciary. We are to aspire for a judiciary that is independent, effective, efficient, and worthy of public trust and confidence; and a legal profession that provides quality, ethical, accessible, and cost-effective legal service to our people and whose members are willing and able to answer the call to public service. While the vision-mission has been at the outset articulated by me in the Davide Watch, the credit is shared equally by all those who have espoused it as their guiding principle for judicial reform and modernization, especially my esteemed colleague Justice Panganiban.</w:t>
      </w:r>
    </w:p>
    <w:p w:rsidR="00000000" w:rsidDel="00000000" w:rsidP="00000000" w:rsidRDefault="00000000" w:rsidRPr="00000000" w14:paraId="0000004E">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Justice Panganiban’s great gift is his passion for advocacy. Indeed, he has championed the APJR, including his chairing an International Conference and Showcase on Judicial Reforms which will be held on 28-30 November 2005, where the APJR will be presented as a model of judicial reform for the 21st century.</w:t>
      </w:r>
    </w:p>
    <w:p w:rsidR="00000000" w:rsidDel="00000000" w:rsidP="00000000" w:rsidRDefault="00000000" w:rsidRPr="00000000" w14:paraId="0000004F">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Justice Panganiban’s dignified obedience to the law and the universal precepts of justice exemplifies the organic necessity to administer justice swiftly, fairly, equally, and effectively. As I have once said, our duty to administer justice today is an organic necessity because, to me, our living a national life is no longer a privilege or even a duty, but is now a necessity. In our country today it is not enough to be an instrument of justice. We must also be courageous and faithful disciples of the law and ministers of the temple of justice.</w:t>
      </w:r>
    </w:p>
    <w:p w:rsidR="00000000" w:rsidDel="00000000" w:rsidP="00000000" w:rsidRDefault="00000000" w:rsidRPr="00000000" w14:paraId="00000050">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 the field of sober, wise, judicious, and principled decision-making, Justice Panganiban has stood out as an unrelenting public man. A clear proof is Part II of this book featuring the Court’s recent controversial rulings of profound national significance. Exhibit “A” refers to the decision he penned upholding the constitutionality of the Mining Act of 1995 -- the longest and most substantiated ruling in the Court’s 104-year history. Justice Panganiban visibly typifies through his work a dedicated human spirit burning with the conviction of a true lover of the law. There is nothing strained or forced in his judicial writing. It flows immaculately as a stream of justice.</w:t>
      </w:r>
    </w:p>
    <w:p w:rsidR="00000000" w:rsidDel="00000000" w:rsidP="00000000" w:rsidRDefault="00000000" w:rsidRPr="00000000" w14:paraId="00000051">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 this valedictory foreword, I thank and commend Justice Panganiban for everything that he has done and will do to make sure that the APJR come into full fruition.</w:t>
      </w:r>
    </w:p>
    <w:p w:rsidR="00000000" w:rsidDel="00000000" w:rsidP="00000000" w:rsidRDefault="00000000" w:rsidRPr="00000000" w14:paraId="000000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3">
      <w:pPr>
        <w:spacing w:after="120" w:before="120" w:line="240" w:lineRule="auto"/>
        <w:ind w:firstLine="0"/>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54">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55">
      <w:pPr>
        <w:spacing w:after="120" w:before="120" w:line="240" w:lineRule="auto"/>
        <w:ind w:firstLine="0"/>
        <w:jc w:val="left"/>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ab/>
        <w:tab/>
        <w:tab/>
        <w:tab/>
        <w:tab/>
        <w:tab/>
        <w:tab/>
        <w:tab/>
        <w:t xml:space="preserve">  </w:t>
      </w:r>
      <w:r w:rsidDel="00000000" w:rsidR="00000000" w:rsidRPr="00000000">
        <w:rPr>
          <w:rFonts w:ascii="Georgia" w:cs="Georgia" w:eastAsia="Georgia" w:hAnsi="Georgia"/>
          <w:sz w:val="22"/>
          <w:szCs w:val="22"/>
          <w:rtl w:val="0"/>
        </w:rPr>
        <w:t xml:space="preserve">Chief Justice</w:t>
      </w:r>
    </w:p>
    <w:p w:rsidR="00000000" w:rsidDel="00000000" w:rsidP="00000000" w:rsidRDefault="00000000" w:rsidRPr="00000000" w14:paraId="00000056">
      <w:pPr>
        <w:pStyle w:val="Heading1"/>
        <w:ind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Preface</w:t>
      </w:r>
    </w:p>
    <w:p w:rsidR="00000000" w:rsidDel="00000000" w:rsidP="00000000" w:rsidRDefault="00000000" w:rsidRPr="00000000" w14:paraId="000000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October 10, 2005 -- the tenth day of the tenth month of this year -- marks my tenth anniversary as a member of the Supreme Court (SC). How time flies. It seems only yesterday when President Fidel V. Ramos appointed me to the Court in 1995. As my way of marking my yearly anniversaries, I write a book (one per year) that serves as my report on the major activities of my magistracy for the past year. Hence, this volume covers the period from October 10, 2004, to October 10, 2005.</w:t>
      </w:r>
    </w:p>
    <w:p w:rsidR="00000000" w:rsidDel="00000000" w:rsidP="00000000" w:rsidRDefault="00000000" w:rsidRPr="00000000" w14:paraId="000000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tenth year coincides with the final year in the judiciary of Chief Justice Hilario G. Davide Jr. He retires upon reaching the age of 70 on December 20, 2005. Because much of the content of this book is devoted to a discussion of the “Action Program for Judicial Reform” or APJR -- the centerpiece of his stewardship of the entire judiciary -- I humbly dedicate this book to him.</w:t>
      </w:r>
    </w:p>
    <w:p w:rsidR="00000000" w:rsidDel="00000000" w:rsidP="00000000" w:rsidRDefault="00000000" w:rsidRPr="00000000" w14:paraId="000000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this dedication to the Chief, Isaiah 42: 6-7 strikes me as an apt passage that I believe guides him in focusing his vision and in performing his work:</w:t>
      </w:r>
    </w:p>
    <w:p w:rsidR="00000000" w:rsidDel="00000000" w:rsidP="00000000" w:rsidRDefault="00000000" w:rsidRPr="00000000" w14:paraId="0000005A">
      <w:pPr>
        <w:ind w:firstLine="0"/>
        <w:jc w:val="cente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I, the Lord, have called you for the</w:t>
        <w:br w:type="textWrapping"/>
        <w:t xml:space="preserve">victory of justice,</w:t>
        <w:br w:type="textWrapping"/>
        <w:t xml:space="preserve">I have grasped you by the hand;</w:t>
        <w:br w:type="textWrapping"/>
        <w:t xml:space="preserve">I formed you, and set you</w:t>
        <w:br w:type="textWrapping"/>
        <w:t xml:space="preserve">as a covenant of the people,</w:t>
        <w:br w:type="textWrapping"/>
        <w:t xml:space="preserve">a light for the nations,</w:t>
        <w:br w:type="textWrapping"/>
        <w:t xml:space="preserve">To open the eyes of the blind,</w:t>
        <w:br w:type="textWrapping"/>
        <w:t xml:space="preserve">to bring out prisoners from confinement,</w:t>
        <w:br w:type="textWrapping"/>
        <w:t xml:space="preserve">and from the dungeon, those who</w:t>
        <w:br w:type="textWrapping"/>
        <w:t xml:space="preserve">live in darkness.</w:t>
      </w:r>
      <w:r w:rsidDel="00000000" w:rsidR="00000000" w:rsidRPr="00000000">
        <w:rPr>
          <w:rtl w:val="0"/>
        </w:rPr>
      </w:r>
    </w:p>
    <w:p w:rsidR="00000000" w:rsidDel="00000000" w:rsidP="00000000" w:rsidRDefault="00000000" w:rsidRPr="00000000" w14:paraId="0000005B">
      <w:pPr>
        <w:ind w:firstLine="0"/>
        <w:jc w:val="cente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Isaiah 42: 6-7</w:t>
      </w:r>
      <w:r w:rsidDel="00000000" w:rsidR="00000000" w:rsidRPr="00000000">
        <w:rPr>
          <w:rtl w:val="0"/>
        </w:rPr>
      </w:r>
    </w:p>
    <w:p w:rsidR="00000000" w:rsidDel="00000000" w:rsidP="00000000" w:rsidRDefault="00000000" w:rsidRPr="00000000" w14:paraId="000000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 This book is divided into two main parts. Part I, entitled the “Philippine Judiciary Reinvented,” examines how the APJR has reformed and continues to reform the judiciary. Chapters 1 and 2 narrate in detail the wide-ranging programs and projects encompassed by the APJR. Chapter 3 explains the massive international support APJR has generated in terms of the grants, loans and technical assistance from all major developmental and aid agencies in the world. Chapter 4, “Judicial Reforms: Issues To Consider” -- authored by Anthony Gerald Toft, chief counsel for the World Bank’s East Asia and the Pacific Region -- is reprinted here to show the global community’s very supportive stance, direct from “the horse’s mouth,” so to speak. It was actually a lecture delivered on August 24, 2005, in connection with the Chief Justice Hilario G. Davide Jr. Distinguished Lecture Series. The Series is one of the projects being held to commemorate the Chief’s final year in office.</w:t>
      </w:r>
    </w:p>
    <w:p w:rsidR="00000000" w:rsidDel="00000000" w:rsidP="00000000" w:rsidRDefault="00000000" w:rsidRPr="00000000" w14:paraId="000000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Lecture Series is just one of the many activities marking the Chief’s retirement. There are many others. As chairperson of the Valedictory Executive Committee, I explained these projects in Chapter 5, entitled “A Celebration of Thanksgiving.”</w:t>
      </w:r>
    </w:p>
    <w:p w:rsidR="00000000" w:rsidDel="00000000" w:rsidP="00000000" w:rsidRDefault="00000000" w:rsidRPr="00000000" w14:paraId="000000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Chapters 6, 7 and 8 discuss various aspects of our reform agenda as they affect various stakeholders of the justice system, especially the poor. Chapters 9 (“Judging the Judges”) and 10 (“Beyond Excellence”) speak about the qualities a judge must have. Although strictly not covered by the APJR, I believe these values are essential in any discussion of judicial reforms. After all, justice is rendered by human beings -- the judges. Thus, the quality and speed with which it is delivered depends to a very large degree on the aptitude and character of the decision dispensers.</w:t>
      </w:r>
    </w:p>
    <w:p w:rsidR="00000000" w:rsidDel="00000000" w:rsidP="00000000" w:rsidRDefault="00000000" w:rsidRPr="00000000" w14:paraId="000000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Chapters 11 and 12 take up the legal profession and its critical role in the rendition of justice. I am particularly proud of Chapter 11, because it points out what I believe are the twin goals of the rule of law: the safeguarding of the liberty and the nurturing of the prosperity of our people.</w:t>
      </w:r>
    </w:p>
    <w:p w:rsidR="00000000" w:rsidDel="00000000" w:rsidP="00000000" w:rsidRDefault="00000000" w:rsidRPr="00000000" w14:paraId="000000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13, “The Power of Example,” was taken from the speech I delivered during the book launching of The Task of Building a Better Nation, authored by former Senate President Jovito R. Salonga, my esteemed guru for 50 years now (since my college days). I decided to include it in this book because it dovetails with the Chief Justice’s personal credo, “Leadership by Example.”</w:t>
      </w:r>
    </w:p>
    <w:p w:rsidR="00000000" w:rsidDel="00000000" w:rsidP="00000000" w:rsidRDefault="00000000" w:rsidRPr="00000000" w14:paraId="000000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II. Entitled “The Controversial Cases,” this part summarizes the significant litigations decided by the Supreme Court during my tenth year in office. The first chapter of this part of the book -- Chapter 14 entitled “Invest in the Whole Country, Not Just in the Mining Industry” -- was adapted from a speech I delivered during the International Mining Summit held in Makati City on February 2-4, 2005. It was crafted to explain my Decision upholding the constitutionality of the Mining Law of 1995. As an aftermath, many “road shows” were conducted in several countries, during which the government (led by Ambassador Delia Albert, our former foreign affairs secretary) and the Chamber of Mines of the Philippines (led by its President Benjamin Philip Romualdez) always distributed copies of this speech to the participants. I am happy to note that, as a direct consequence of that Decision, investments in mining have skyrocketed during the last 10 months.</w:t>
      </w:r>
    </w:p>
    <w:p w:rsidR="00000000" w:rsidDel="00000000" w:rsidP="00000000" w:rsidRDefault="00000000" w:rsidRPr="00000000" w14:paraId="000000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than the validity of the Mining Law (Chapter 15), several other Decisions affecting the economy were issued by the High Court during my tenth year, issues that included those on the Expanded Value-Added Tax Law (Chapter 16) and the Safeguard Measures Act (Chapter 17). Two landmark judgments involving labor law are also worthy of mention; they are summarized in Chapters 18 and 19. Chapter 20 deals with a new Decision on the ethical conduct of lawyers, while Chapter 21 is a reprise of last year’s Decision invalidating the automation Contract entered into by the Commission on Elections. Finally, as I promised in my last book, Leveling the Playing Field, I have included -- as the last chapter -- an insider’s look at the work of the House of Representatives Electoral Tribunal (HRET).</w:t>
      </w:r>
    </w:p>
    <w:p w:rsidR="00000000" w:rsidDel="00000000" w:rsidP="00000000" w:rsidRDefault="00000000" w:rsidRPr="00000000" w14:paraId="000000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SC and HRET Seating Protocols. During my tenth year in office, there were no retirements and no new appointments either in the Supreme Court or in the HRET. Thus, the seating protocols on both Tribunals remain the same as those during my ninth year. The members of the SC en banc, which meets on Tuesdays, are seated around the Court’s horseshoe-shaped conference table. The Three Divisions of the Court, which meet on Mondays and Wednesdays, and the HRET, which meets every Thursday, likewise retained their seating arrangements. [The seating diagrams are omitted from this transcription as requested.]</w:t>
      </w:r>
    </w:p>
    <w:p w:rsidR="00000000" w:rsidDel="00000000" w:rsidP="00000000" w:rsidRDefault="00000000" w:rsidRPr="00000000" w14:paraId="000000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Additional Responsibilities. As the reader will note from the SC seating arrangements, I head the Third Division. I am also concurrently chairman of the House of Representatives Electoral Tribunal (HRET), which is composed of three Supreme Court justices (aside from me, Justices Consuelo Ynares-Santiago and Antonio T. Carpio) and six congressmen (Reps. Douglas RA. Cagas, Salacnib F. Baterina, Laurence B. Wacnang, Mauricio G. Domogan, Romualdo T. Vicencio and Joseph A. Santiago).</w:t>
      </w:r>
    </w:p>
    <w:p w:rsidR="00000000" w:rsidDel="00000000" w:rsidP="00000000" w:rsidRDefault="00000000" w:rsidRPr="00000000" w14:paraId="000000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Work Load. Aside from chairing the Supreme Court Third Division and the House of Representatives Electoral Tribunal (HRET), I have also been kept very busy by my work as head of seven Supreme Court Committees. For my tenth year, I have been assigned two other arduous tasks: chairing (1) the International Conference and Showcase on Judicial Reforms; and (2) the Valedictory Executive Committee, which has been charged with superintending the various projects and programs connected with Chief Justice Davide’s last year in office (which ends on December 20, 2005). These projects and programs are discussed in Chapter 5, “A Celebration of Thanksgiving.”</w:t>
      </w:r>
    </w:p>
    <w:p w:rsidR="00000000" w:rsidDel="00000000" w:rsidP="00000000" w:rsidRDefault="00000000" w:rsidRPr="00000000" w14:paraId="000000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repeat here what I wrote in my Preface in my previous book, Leveling the Playing Field: “I must admit that these additional non-decision-making responsibilities, particularly the chairmanship of several committees, have impinged on the little remaining free time I have. Since Day One of my Supreme Court incumbency in 1995, I have already set aside the afternoons and evenings of my Saturdays, Sundays and holidays, during which I find the time and the tranquility to be able to write my ponencias and opinions. Now, with these added duties, I just have to work late nights daily.”</w:t>
      </w:r>
    </w:p>
    <w:p w:rsidR="00000000" w:rsidDel="00000000" w:rsidP="00000000" w:rsidRDefault="00000000" w:rsidRPr="00000000" w14:paraId="000000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all humility, I am pleased to report that, despite all the foregoing heavy, non-decision-making duties, I have attained my self-imposed case-disposition goal.</w:t>
      </w:r>
    </w:p>
    <w:p w:rsidR="00000000" w:rsidDel="00000000" w:rsidP="00000000" w:rsidRDefault="00000000" w:rsidRPr="00000000" w14:paraId="000000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as in the previous years, I have written about 100 full-length ponencias and 5 separate/dissenting opinions during the one-year period covered by this report. My grand total, then, during my ten years in office (as of October 10, 2005) is more than 1,070 ponencias (full-length, signed decisions, including the 246-page ponencia upholding the Mining Law in La Bugal B’laan v. Ramos -- the longest in the Supreme Court’s 104-year history) and 83 separate/dissenting opinions. This count does not include the thousands of unsigned, minute resolutions I have also issued during those ten years. (These are sent to the parties by the Office of the Clerk of Court.) As in the previous years, I have no backlog, that is, no pending case that is more than two years old, counted from the last pleading filed.</w:t>
      </w:r>
    </w:p>
    <w:p w:rsidR="00000000" w:rsidDel="00000000" w:rsidP="00000000" w:rsidRDefault="00000000" w:rsidRPr="00000000" w14:paraId="000000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personally gratified by this production, because when I joined the Court in 1995, I privately set as my personal goal the writing of at least 1,000 ponencias during my full term in the SC. Having already exceeded that goal now, way before my compulsory retirement, I feel personally fulfilled. But of course, I shall not rest. I shall continue my pace of work until my own retirement.</w:t>
      </w:r>
    </w:p>
    <w:p w:rsidR="00000000" w:rsidDel="00000000" w:rsidP="00000000" w:rsidRDefault="00000000" w:rsidRPr="00000000" w14:paraId="000000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High Tech. This book is also available in digital form. A CD version, which is placed inside a special pocket attached to the inside front cover, is fully searchable. As an SC publication, it bears the same search engine as that used for the SC e-library.</w:t>
      </w:r>
    </w:p>
    <w:p w:rsidR="00000000" w:rsidDel="00000000" w:rsidP="00000000" w:rsidRDefault="00000000" w:rsidRPr="00000000" w14:paraId="000000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Appreciation. My sincere appreciation goes to my colleagues in the Court who -- by their decisions, comments and discussions -- have helped me form my own opinions. I have always looked forward to our collegial deliberations, especially those involving controversial issues. Verily, as I have said on some other occasions, “the Supreme Court thrived in a kettle of free ideas, where truth, fairness and justice could be distilled only after all sides -- even the most outlandish ones -- had poured in and percolated.” Although the justices’ debates have been intense, sometimes even passionate, I have always found them to be a rich source of perspicacity and enlightenment. Despite occasionally difficult exchanges, the justices’ cordial and friendly personal relationship has not been adversely affected.</w:t>
      </w:r>
    </w:p>
    <w:p w:rsidR="00000000" w:rsidDel="00000000" w:rsidP="00000000" w:rsidRDefault="00000000" w:rsidRPr="00000000" w14:paraId="000000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say thank you to several SC officials[2] and to my legal staff, both in the Supreme Court[3] and in the HRET, for their research and help in producing this book.</w:t>
      </w:r>
    </w:p>
    <w:p w:rsidR="00000000" w:rsidDel="00000000" w:rsidP="00000000" w:rsidRDefault="00000000" w:rsidRPr="00000000" w14:paraId="000000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October 10, 2005.</w:t>
      </w:r>
    </w:p>
    <w:p w:rsidR="00000000" w:rsidDel="00000000" w:rsidP="00000000" w:rsidRDefault="00000000" w:rsidRPr="00000000" w14:paraId="0000006E">
      <w:pPr>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ARTEMIO V. PANGANIBAN</w:t>
      </w:r>
    </w:p>
    <w:p w:rsidR="00000000" w:rsidDel="00000000" w:rsidP="00000000" w:rsidRDefault="00000000" w:rsidRPr="00000000" w14:paraId="0000006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w:t>
        <w:br w:type="textWrapping"/>
      </w:r>
    </w:p>
    <w:p w:rsidR="00000000" w:rsidDel="00000000" w:rsidP="00000000" w:rsidRDefault="00000000" w:rsidRPr="00000000" w14:paraId="0000007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7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8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w:t>
      </w:r>
    </w:p>
    <w:p w:rsidR="00000000" w:rsidDel="00000000" w:rsidP="00000000" w:rsidRDefault="00000000" w:rsidRPr="00000000" w14:paraId="0000008E">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Transformed Judiciary</w:t>
      </w:r>
    </w:p>
    <w:p w:rsidR="00000000" w:rsidDel="00000000" w:rsidP="00000000" w:rsidRDefault="00000000" w:rsidRPr="00000000" w14:paraId="000000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great to be home once again in this super University! My first speaking appearance at the Far Eastern University (FEU) Auditorium was some 50 years ago -- to be exact, 48 years ago in 1957 -- when as a young sophomore law student, I delivered my inaugural address as president of the FEU Central Student Organization. Thank you, FEU, for that invigorating memory, that exhilarating experience of heading the student body of the then largest educational institution in our country.</w:t>
      </w:r>
    </w:p>
    <w:p w:rsidR="00000000" w:rsidDel="00000000" w:rsidP="00000000" w:rsidRDefault="00000000" w:rsidRPr="00000000" w14:paraId="000000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Thank you also to two super ladies -- Dr. Lourdes Reyes-Montinola, chairperson of the FEU Board of Trustees; and Dr. Lydia B. Echauz, FEU president – who, along with super law Dean Andres D. Bautista, the perennial leader of the Philippine Association of Law Deans, are responsible for FEU’s generous co-sponsorship of this tenth lecture in the Chief Justice Hilario G. Davide Jr. Distinguished Lecture Series.</w:t>
      </w:r>
    </w:p>
    <w:p w:rsidR="00000000" w:rsidDel="00000000" w:rsidP="00000000" w:rsidRDefault="00000000" w:rsidRPr="00000000" w14:paraId="000000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some of you may know, this intellectual pursuit is one of several projects being held nationwide all year round to commemorate the many outstanding achievements of the Supreme Court during the seven-year term of our beloved Chief.</w:t>
      </w:r>
    </w:p>
    <w:p w:rsidR="00000000" w:rsidDel="00000000" w:rsidP="00000000" w:rsidRDefault="00000000" w:rsidRPr="00000000" w14:paraId="000000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Hilario G. Davide Jr. will be remembered in history as one of the greatest Chief Justices not only in our country, but also in the Asia-Pacific region. I am certain that whenever a history of the judiciary in our part of the world is written, he will always merit a sparkling chapter. Back in 1999 when I wrote Leadership by Example, just after his appointment as the “Centennial” or even “Millennial” Chief Justice, I already had an intimation of his impending renown. In that book I said that, “as the administrator of the entire judiciary and the leader of the Supreme Court, he is the single most important personality who will shape the dispensation of justice and define legal thought in our country.”</w:t>
      </w:r>
    </w:p>
    <w:p w:rsidR="00000000" w:rsidDel="00000000" w:rsidP="00000000" w:rsidRDefault="00000000" w:rsidRPr="00000000" w14:paraId="000000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dedicated that modest volume to him and expressed the hope that I would be able “to lay out a standard or paradigm from which to view, years hence, the shaping influence of our new Chief’s credo of Leadership by Example.”</w:t>
      </w:r>
    </w:p>
    <w:p w:rsidR="00000000" w:rsidDel="00000000" w:rsidP="00000000" w:rsidRDefault="00000000" w:rsidRPr="00000000" w14:paraId="000000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5">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Bases for Rating Magistrates</w:t>
      </w:r>
    </w:p>
    <w:p w:rsidR="00000000" w:rsidDel="00000000" w:rsidP="00000000" w:rsidRDefault="00000000" w:rsidRPr="00000000" w14:paraId="000000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Generally, members of the Supreme Court are rated on the basis of their contribution to jurisprudence, especially the depth and breadth of their legal philosophies, as well as their influence in shaping the destiny of the country and the lives of our people. In a speech entitled “Judging the Judges” delivered earlier this year, I outlined the four Ins by which to assess – in my opinion -- the qualities of an ideal judge: Integrity, Independence, Industry and Intelligence.</w:t>
      </w:r>
    </w:p>
    <w:p w:rsidR="00000000" w:rsidDel="00000000" w:rsidP="00000000" w:rsidRDefault="00000000" w:rsidRPr="00000000" w14:paraId="000000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say that Chief Justice Davide consistently and constantly embraced these four Ins of an ideal magistrate, lived to the hilt his own credo of leadership by example, and transcended the normal standard of jurisprudential excellence is to state the obvious, and even the customary, about him.</w:t>
      </w:r>
    </w:p>
    <w:p w:rsidR="00000000" w:rsidDel="00000000" w:rsidP="00000000" w:rsidRDefault="00000000" w:rsidRPr="00000000" w14:paraId="000000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find the exemplary manner in which Chief Justice Davide presided over the impeachment trial of former President Joseph Estrada in November 2000 to January 2001 as the acme of his judicial reputation. His even-handedness, coolness under pressure, judicial wisdom and towering persona dominated that national, historical milestone covered live daily by all major radio and television networks.</w:t>
      </w:r>
    </w:p>
    <w:p w:rsidR="00000000" w:rsidDel="00000000" w:rsidP="00000000" w:rsidRDefault="00000000" w:rsidRPr="00000000" w14:paraId="000000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people know him for his simple and transparent lifestyle, his unsullied integrity and dedication to duty. Many will never forget that he is always on time for all his appointments and schedules. Sometimes, he embarrasses his hosts by arriving way ahead of them during convocations, fora, speaking engagements, dinners or simple meetings.</w:t>
      </w:r>
    </w:p>
    <w:p w:rsidR="00000000" w:rsidDel="00000000" w:rsidP="00000000" w:rsidRDefault="00000000" w:rsidRPr="00000000" w14:paraId="0000009A">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Not Just Primus Inter Pares, but CEO of the Entire Judiciary</w:t>
      </w:r>
    </w:p>
    <w:p w:rsidR="00000000" w:rsidDel="00000000" w:rsidP="00000000" w:rsidRDefault="00000000" w:rsidRPr="00000000" w14:paraId="000000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is a collegial body that decides by the opinion of the majority of its members. Though regarded as the primus inter pares (first among equals), the Chief Justice -- like the 14 other magistrates of Court -- has only one vote. And that one vote has sometimes been a lonely voice in the minority.</w:t>
      </w:r>
    </w:p>
    <w:p w:rsidR="00000000" w:rsidDel="00000000" w:rsidP="00000000" w:rsidRDefault="00000000" w:rsidRPr="00000000" w14:paraId="000000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as Chief Justice of the Republic, not just of the Supreme Court, he is unquestionably the chief executive officer of the entire judicial department of government. Outside the realm of decision-making in the Supreme Court, he is the unquestioned boss; nothing happens without his say-so. By his own admission, more than 60 percent of Chief Justice Davide’s time is spent on untangling and solving the administrative, financial and management concerns of the 28,000 judicial employees spread all over the country.</w:t>
      </w:r>
    </w:p>
    <w:p w:rsidR="00000000" w:rsidDel="00000000" w:rsidP="00000000" w:rsidRDefault="00000000" w:rsidRPr="00000000" w14:paraId="000000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Hilario G. Davide Jr. is undoubtedly a brilliant jurist; but more than that, he is a great leader. He is not just a perceptive thinker and an ingenious decision writer; he is also a compelling people mover. He aims to inspire, motivate and lead other officials to work unceasingly, to rise above their puny limitations, to excel beyond themselves, and to achieve collectively their loftiest dreams and highest aspirations.</w:t>
      </w:r>
    </w:p>
    <w:p w:rsidR="00000000" w:rsidDel="00000000" w:rsidP="00000000" w:rsidRDefault="00000000" w:rsidRPr="00000000" w14:paraId="000000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Undeniably, it is in the realm of leading the judiciary to independence, integrity, transparency and accountability that the distinction between the jurist and the chief executive has made the real difference. He has succeeded in becoming a great paradox: as a jurist crafting landmark decisions, he has remained detached, unreachable, untouchable, even unfathomable; yet as a leader and CEO, he has been transparent and accountable. He has been a tested and dynamic team builder and mover. His leadership comes from the courage to think outside the box -- to innovate, to reengineer, to reinvent new and better ways of managing and moving forward, even if the judge in him compels him to follow tradition, uphold precedents and stabilize judicial thought. In short, our Chief Justice has successfully blended the reclusion needed by a magistrate, with the people skill required from the leader of the third branch of our government. As a jurist, he is an individualist; as an executive, he is a team player.</w:t>
      </w:r>
    </w:p>
    <w:p w:rsidR="00000000" w:rsidDel="00000000" w:rsidP="00000000" w:rsidRDefault="00000000" w:rsidRPr="00000000" w14:paraId="000000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Chief Justice Davide is known in many ways by many people. In my view, however, he will be best remembered for the wide-ranging judicial reforms he initiated upon taking his oath of office on November 30, 1998. The Chief himself has said that he regards judicial reforms “as the centerpiece of [his] stewardship of the Supreme Court and the judiciary x x x. It will serve as a transparent yardstick by which [his] legacy as Chief Justice can be judged and measured.”</w:t>
      </w:r>
    </w:p>
    <w:p w:rsidR="00000000" w:rsidDel="00000000" w:rsidP="00000000" w:rsidRDefault="00000000" w:rsidRPr="00000000" w14:paraId="000000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eleven days after assuming office, he spelled out his “vision, mission and direction” -- the “Davide Watch” -- during a Kilosbayan forum on December 11, 1998. Now famous is the cornerstone of his Chief Justiceship -- his vision statement, which I quote:</w:t>
      </w:r>
    </w:p>
    <w:p w:rsidR="00000000" w:rsidDel="00000000" w:rsidP="00000000" w:rsidRDefault="00000000" w:rsidRPr="00000000" w14:paraId="000000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Judiciary that is independent, effective and efficient, and worthy of public trust and confidence. A legal profession that provides quality, ethical, accessible and cost-effective legal service to our people and is willing and able to answer the call of public service.”</w:t>
      </w:r>
    </w:p>
    <w:p w:rsidR="00000000" w:rsidDel="00000000" w:rsidP="00000000" w:rsidRDefault="00000000" w:rsidRPr="00000000" w14:paraId="000000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Davide Watch is complemented by an “Action Program for Judicial Reform” (APJR). Comprehensive, pervasive and wide-ranging, the APJR takes its bearing from earlier reform initiatives collectively known as the “Blueprint of Action for the Judiciary.” The Blueprint and later the APJR outlined the concerns and priority reforms that were identified during an 18-month consultation process carried out with various stakeholders of the judiciary across the country. Held during the term of Chief Justice Andres R. Narvasa, these consultations were funded by a grant from the United Nations Development Program (UNDP).</w:t>
      </w:r>
    </w:p>
    <w:p w:rsidR="00000000" w:rsidDel="00000000" w:rsidP="00000000" w:rsidRDefault="00000000" w:rsidRPr="00000000" w14:paraId="000000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approved by the Supreme Court on December 8, 2000, the APJR is superintended for the Court by the Executive Committee for the Judicial Reform Program. To emphasize the pivotal importance of the APJR, it is the only SC standing committee that is personally and directly headed by the Chief Justice. It is administered on a day-to-day basis by the Program Management Office (PMO) of the Supreme Court. The APJR has six components.</w:t>
      </w:r>
    </w:p>
    <w:p w:rsidR="00000000" w:rsidDel="00000000" w:rsidP="00000000" w:rsidRDefault="00000000" w:rsidRPr="00000000" w14:paraId="000000A4">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A5">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APJR’s Components</w:t>
      </w:r>
    </w:p>
    <w:p w:rsidR="00000000" w:rsidDel="00000000" w:rsidP="00000000" w:rsidRDefault="00000000" w:rsidRPr="00000000" w14:paraId="000000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component, Judicial Systems and Procedures, concerns itself with the administration of cases and courts. Initiatives in alternative dispute resolution, computerized case management system, streamlined court rules, and similar activities are programmed under this section.</w:t>
      </w:r>
    </w:p>
    <w:p w:rsidR="00000000" w:rsidDel="00000000" w:rsidP="00000000" w:rsidRDefault="00000000" w:rsidRPr="00000000" w14:paraId="000000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component, Institutions Development, seeks to establish mechanisms to strengthen the judiciary as an institution independent from other branches of government. Included in this component are systems to implement the constitutionally mandated fiscal autonomy of the judiciary, to improve judicial accountability, and to devise personnel and financial policy that will give the judiciary the flexibility needed to address the many demands upon it.</w:t>
      </w:r>
    </w:p>
    <w:p w:rsidR="00000000" w:rsidDel="00000000" w:rsidP="00000000" w:rsidRDefault="00000000" w:rsidRPr="00000000" w14:paraId="000000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component, Human Resource Management Development, covers the selection, hiring, education, promotion and remuneration of justices, judges, and other judicial officials and employees.</w:t>
      </w:r>
    </w:p>
    <w:p w:rsidR="00000000" w:rsidDel="00000000" w:rsidP="00000000" w:rsidRDefault="00000000" w:rsidRPr="00000000" w14:paraId="000000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fourth component, Institutional Integrity Development addresses concerns on graft and corruption and puts in place mechanisms to detect and punish corrupt practices of some judges and lawyers.</w:t>
      </w:r>
    </w:p>
    <w:p w:rsidR="00000000" w:rsidDel="00000000" w:rsidP="00000000" w:rsidRDefault="00000000" w:rsidRPr="00000000" w14:paraId="000000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fifth component, Access to Justice by the Poor, ensures that the marginalized, disadvantaged, dispossessed and other vulnerable sectors will always have affordable and effective means of attaining justice.</w:t>
      </w:r>
    </w:p>
    <w:p w:rsidR="00000000" w:rsidDel="00000000" w:rsidP="00000000" w:rsidRDefault="00000000" w:rsidRPr="00000000" w14:paraId="000000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sixth and last component, Reform Support Systems, installs mechanisms to ensure the sustainability of the reform efforts. The focus here is public education, information and communication, on the assumption that public awareness of the functions and achievements of the judiciary would encourage people to support the courts.</w:t>
      </w:r>
    </w:p>
    <w:p w:rsidR="00000000" w:rsidDel="00000000" w:rsidP="00000000" w:rsidRDefault="00000000" w:rsidRPr="00000000" w14:paraId="000000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APJR is subdivided into these six major “components,” I would like to discuss the reform projects as they relate to three general matters: (1) the transformation of judges, (2) the improvement of their facilities and tools, and (3) the enhancement of the relationship of the judiciary with its various publics. By subdividing the projects into these three topics, I hope to be able to present the projects more clearly and systematically.</w:t>
      </w:r>
    </w:p>
    <w:p w:rsidR="00000000" w:rsidDel="00000000" w:rsidP="00000000" w:rsidRDefault="00000000" w:rsidRPr="00000000" w14:paraId="000000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six components are couched in the technical jargon normally used by government offices (like the Department of Finance and the National Economic Development Authority) and international developmental agencies (like the United Nations, the World Bank and the Asian Development Bank), on all of which the APJR depends for financial support. I believe, though, that the classification of the reform projects into the three general topics enumerated above would make them easier for the audience to understand and internalize.</w:t>
      </w:r>
    </w:p>
    <w:p w:rsidR="00000000" w:rsidDel="00000000" w:rsidP="00000000" w:rsidRDefault="00000000" w:rsidRPr="00000000" w14:paraId="000000A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F">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Transformation of Judges</w:t>
      </w:r>
    </w:p>
    <w:p w:rsidR="00000000" w:rsidDel="00000000" w:rsidP="00000000" w:rsidRDefault="00000000" w:rsidRPr="00000000" w14:paraId="000000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take up the changes aimed at the transformation of judges -- their persons, education, values, habits and aptitudes.</w:t>
      </w:r>
    </w:p>
    <w:p w:rsidR="00000000" w:rsidDel="00000000" w:rsidP="00000000" w:rsidRDefault="00000000" w:rsidRPr="00000000" w14:paraId="000000B1">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B2">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Law School Curriculum</w:t>
      </w:r>
    </w:p>
    <w:p w:rsidR="00000000" w:rsidDel="00000000" w:rsidP="00000000" w:rsidRDefault="00000000" w:rsidRPr="00000000" w14:paraId="000000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reforms go back deep into the improvement of the law school curriculum. Our Constitution empowers our highest court to promulgate rules concerning “admission to the practice of law.” Using this provision as basis, our Court adopted on June 8, 2004, three broad categories of reform in the bar examinations: (1) structural and policy changes, (2) modifications in the design and construction of test questions, and (3) improvements in the checking and grading methods. The ultimate goal is to devise the most appropriate system to measure the competence and character required to become a member of the legal profession.</w:t>
      </w:r>
    </w:p>
    <w:p w:rsidR="00000000" w:rsidDel="00000000" w:rsidP="00000000" w:rsidRDefault="00000000" w:rsidRPr="00000000" w14:paraId="000000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structural and policy reforms include the appointment of a tenured Board of Bar Examiners, in lieu of ad hoc committees appointed every year; and the investigation of character and fitness as a prerequisite for taking the bar examination. Along with essay test questions, objective multiple-choice questions have already been introduced in the bar examinations. Reforms are also veered toward the adoption of alternative grading methods, such as scaling, to promote test equity and to standardize the levels of difficulty of the tests; and the eventual computerization or automation of the bar examinations to facilitate application, testing and reporting procedures.</w:t>
      </w:r>
    </w:p>
    <w:p w:rsidR="00000000" w:rsidDel="00000000" w:rsidP="00000000" w:rsidRDefault="00000000" w:rsidRPr="00000000" w14:paraId="000000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also an ongoing debate about the necessity of conducting bar examinations. In some neighboring countries, like Malaysia, Thailand and Singapore, no tests are needed to enter the bar. In some others, like Japan and Korea, the bar tests are so stringent that only about three percent pass them. In our country during the last five years (2000-2004), an average of about 25 percent of the examinees have obtained the 75 percent passing grade.</w:t>
      </w:r>
    </w:p>
    <w:p w:rsidR="00000000" w:rsidDel="00000000" w:rsidP="00000000" w:rsidRDefault="00000000" w:rsidRPr="00000000" w14:paraId="000000B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7">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Legal Education Board</w:t>
      </w:r>
    </w:p>
    <w:p w:rsidR="00000000" w:rsidDel="00000000" w:rsidP="00000000" w:rsidRDefault="00000000" w:rsidRPr="00000000" w14:paraId="000000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initiative of the Supreme Court (SC), the Legal Education Board (LEB) will be formally organized shortly. Headed by a retired SC justice, the Board will oversee the operation of all law colleges and reformulate their law curricula to make them more responsive to the needs of the 21st century. For that matter, the Court has approved the referral to the LEB of the inclusion in the law curriculum of a subject on clinical legal education. Already, a Judicial Apprenticeship Program under the APJR has been piloted. This program is designed to train selected third and fourth year law students in Metro Manila in legal research and introduce them to actual court proceedings.</w:t>
      </w:r>
    </w:p>
    <w:p w:rsidR="00000000" w:rsidDel="00000000" w:rsidP="00000000" w:rsidRDefault="00000000" w:rsidRPr="00000000" w14:paraId="000000B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A">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Mandatory Continuing Legal Education (MCLE)</w:t>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those who have passed the bar examinations and have become attorneys-at-law, the Mandatory Continuing Legal Education (MCLE)[14] program has been strengthened by the SC to ensure that members of the bar are continuously updated on current laws and jurisprudence. The MCLE requires lawyers to complete training hours in various law subjects, including legal ethics, before they can renew their licenses. In 2004, 1,527 lectures or programs were presented by accredited providers.</w:t>
      </w:r>
    </w:p>
    <w:p w:rsidR="00000000" w:rsidDel="00000000" w:rsidP="00000000" w:rsidRDefault="00000000" w:rsidRPr="00000000" w14:paraId="000000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D">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Judicial and Bar Council (JBC)</w:t>
      </w:r>
    </w:p>
    <w:p w:rsidR="00000000" w:rsidDel="00000000" w:rsidP="00000000" w:rsidRDefault="00000000" w:rsidRPr="00000000" w14:paraId="000000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minimize, if not totally eliminate, partisan politics in the appointment of judges and to assure that only the most qualified are appointed, our Constitution limits the choices of the President only to those recommended by the Judicial and Bar Council (JBC). The JBC is mandated to submit to the President at least three nominees for every judicial vacancy. For the Supreme Court, the President is required to issue the appointment within 90 days from the occurrence of the vacancy; and for the lower courts, within 90 days from the submission of the list to the President. The Council is chaired by the Chief Justice; its members are the secretary of justice; a senator; a congressman; a retired SC justice; and one representative each of the bar, the academe, and the private sector.</w:t>
      </w:r>
    </w:p>
    <w:p w:rsidR="00000000" w:rsidDel="00000000" w:rsidP="00000000" w:rsidRDefault="00000000" w:rsidRPr="00000000" w14:paraId="000000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Realizing the pivotal role of the JBC in reforming the judiciary, the Supreme Court passed on April 27, 2004, a Resolution strengthening the role and the capacity of the JBC. Under the new restructured administrative organization, the JBC shall “exercise decentralized management functions.” Consequently, it will have (1) a separate budget to be approved by the Supreme Court, (2) authority to administer its approved budget, and (3) administrative functions to promote and ensure proper and optimum use of its resources.</w:t>
      </w:r>
    </w:p>
    <w:p w:rsidR="00000000" w:rsidDel="00000000" w:rsidP="00000000" w:rsidRDefault="00000000" w:rsidRPr="00000000" w14:paraId="000000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its new management structure will be composed of (a) the Council en banc to be headed by the Chief Justice, as mandated by the Constitution; (b) the Office of the Ex Officio Chairman, headed by the Chief Justice and assisted by an executive officer; © the Office of the Secretary, headed by the clerk of court of the Supreme Court; and (d) the operating offices, each to be headed by a chief of office.</w:t>
      </w:r>
    </w:p>
    <w:p w:rsidR="00000000" w:rsidDel="00000000" w:rsidP="00000000" w:rsidRDefault="00000000" w:rsidRPr="00000000" w14:paraId="000000C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2">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Philippine Judicial Academy</w:t>
      </w:r>
    </w:p>
    <w:p w:rsidR="00000000" w:rsidDel="00000000" w:rsidP="00000000" w:rsidRDefault="00000000" w:rsidRPr="00000000" w14:paraId="000000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core of continuing legal education is the Philippine Judicial Academy (Philja). The Philja offers, among others, (1) training for aspirants to judicial positions under its regular pre-judicature program; (2) orientation seminar-workshops for newly appointed judges; (3) regional judicial career enhancement programs for both judges and judicial personnel who have been serving the judiciary for some time; and (4) special focus programs for judges specifically handling specialized cases.</w:t>
      </w:r>
    </w:p>
    <w:p w:rsidR="00000000" w:rsidDel="00000000" w:rsidP="00000000" w:rsidRDefault="00000000" w:rsidRPr="00000000" w14:paraId="000000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Philja has also launched an e-learning project to provide training through the use of the Internet. This online distance learning program allows judges from selected first- and second-level courts nationwide to learn new practices and opinions on legal issues. E-learning modules on (1) electronic evidence and (2) psychological incapacity were launched on December 1, 2004, to complement the traditional modes of face-to-face instruction. A video production on the conduct of pretrial in civil and criminal cases, as well as on the use of depositions and modes of discovery, has likewise been completed.</w:t>
      </w:r>
    </w:p>
    <w:p w:rsidR="00000000" w:rsidDel="00000000" w:rsidP="00000000" w:rsidRDefault="00000000" w:rsidRPr="00000000" w14:paraId="000000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landmark judicial reform initiative of the Philja under the APJR is its Mediation Project. On October 16, 2001, the Court designated the Academy as the component unit for court-annexed mediation (CAM) -- now part of pretrial-- and other alternative dispute resolution (ADR) mechanisms. In line with this mandate, the Philja has established 29 Philippine Mediation Center (PMC) units nationwide and has trained a total of 527 mediators. From 2002 to 2005, mediation efforts at the trial courts posted a success rate of 77 percent. With the success of court-annexed mediation in the trial courts, the Supreme Court authorized Philja to pilot-test mediation in the Court of Appeals, also to address increasing docket congestion. Statistics from the two-month pilot testing (September 16 to November 22, 2002) showed that of the one hundred (105) cases that underwent CA mediation, 67 percent or 70 cases reached a compromise agreement.</w:t>
      </w:r>
    </w:p>
    <w:p w:rsidR="00000000" w:rsidDel="00000000" w:rsidP="00000000" w:rsidRDefault="00000000" w:rsidRPr="00000000" w14:paraId="000000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Court-annexed mediation was further energized through the Justice Reform Initiatives Support (or JURIS) Project begun in January 2003. The project teaches judges how to mediate cases after court-annexed mediation has failed. Pilot testing of the project in San Fernando City, Pampanga, showed a 73.30 percent success rate, while that in Bacolod City was 63.72 percent successful.</w:t>
      </w:r>
    </w:p>
    <w:p w:rsidR="00000000" w:rsidDel="00000000" w:rsidP="00000000" w:rsidRDefault="00000000" w:rsidRPr="00000000" w14:paraId="000000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Results of a survey conducted by the Social Weather Stations (SWS) showed that judges were highly satisfied with mediation as a means of declogging court dockets. Supported by the Canadian International Development Agency (CIDA), the Philja developed study programs at the Commonwealth Judicial Education Institute in Halifax, Nova Scotia, Canada, for judges, judicial educators and court officials.</w:t>
      </w:r>
    </w:p>
    <w:p w:rsidR="00000000" w:rsidDel="00000000" w:rsidP="00000000" w:rsidRDefault="00000000" w:rsidRPr="00000000" w14:paraId="000000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related education program and with the help of the Asian Development Bank (ADB), the Court has also undertaken (1) various judges’ forums on the role of courts in environmental protection; and (2) a training course in Japan on performance evaluation, court administration, judicial career development, and judicial education. Workshops for judges on e-commerce and commercial laws have also been conducted.</w:t>
      </w:r>
    </w:p>
    <w:p w:rsidR="00000000" w:rsidDel="00000000" w:rsidP="00000000" w:rsidRDefault="00000000" w:rsidRPr="00000000" w14:paraId="000000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more good news: the Supreme Court is in the final stages of negotiation for a P600 million grant from the Japanese government to build the Philja Training Center in Tagaytay. The Center is envisioned to be the permanent venue not only for the continuing education of incumbent judges, but also for the training of those aspiring to join the judiciary.</w:t>
      </w:r>
    </w:p>
    <w:p w:rsidR="00000000" w:rsidDel="00000000" w:rsidP="00000000" w:rsidRDefault="00000000" w:rsidRPr="00000000" w14:paraId="000000CA">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CB">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Codes of Conduct</w:t>
      </w:r>
    </w:p>
    <w:p w:rsidR="00000000" w:rsidDel="00000000" w:rsidP="00000000" w:rsidRDefault="00000000" w:rsidRPr="00000000" w14:paraId="000000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Legal and judicial education is intended to enhance not only the intellectual ability of lawyers and magistrates, but also their ethical standards. Thus, the Court has strictly enforced the lawyer’s oath. During the last six years, the SC has fined, warned, censured, admonished, reprimanded, ordered arrested, suspended or disbarred 463 lawyers for violations of the Code of Professional Responsibility.</w:t>
      </w:r>
    </w:p>
    <w:p w:rsidR="00000000" w:rsidDel="00000000" w:rsidP="00000000" w:rsidRDefault="00000000" w:rsidRPr="00000000" w14:paraId="000000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judiciary, the Supreme Court has adopted on June 1, 2004, the New Code of Judicial Conduct. The Code was patterned after the Bangalore Principles of Judicial Conduct (“Bangalore Draft”), which had been crafted by the Judicial Group on Strengthening Judicial Integrity (“Judicial Group”), under the aegis of the United Nations (UN). The Bangalore Draft was approved in November 2004, during a round-table meeting of Chief Justices from civil law countries at the Peace Palace, The Hague in The Netherlands. The Draft was prepared during the Judicial Group’s two meetings in Vienna in April 2000 and in Bangalore in July 2001, upon the UN’s invitation.</w:t>
      </w:r>
    </w:p>
    <w:p w:rsidR="00000000" w:rsidDel="00000000" w:rsidP="00000000" w:rsidRDefault="00000000" w:rsidRPr="00000000" w14:paraId="000000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give teeth to the New Code of Judicial Conduct, the Court has amended Rule 140 of the Rules of Court (on the discipline of judges). This amended Rule classifies the nature and the gravity of administrative offenses, as well as the sanctions for them, and provides for the proper conduct of administrative investigations. Earlier on, in 2002, the Court had already resolved that administrative cases against magistrates and court officials, if based on reasons that were also grounds for disciplining members of the bar, should automatically be converted to disciplinary proceedings against their very membership in the bar. Thus, they would be investigated both as magistrates and as members of the Philippine bar.</w:t>
      </w:r>
    </w:p>
    <w:p w:rsidR="00000000" w:rsidDel="00000000" w:rsidP="00000000" w:rsidRDefault="00000000" w:rsidRPr="00000000" w14:paraId="000000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before the new Code was adopted, the Supreme Court had already been strictly enforcing the earlier Canons of Judicial Ethics and the (old) Code of Judicial Conduct of the Philippines. From 1999 to 2004, the SC had -- after appropriate proceedings -- reprimanded, censured, fined, forfeited the benefits, suspended from office, or dismissed from the service, 660 justices and judges.</w:t>
      </w:r>
    </w:p>
    <w:p w:rsidR="00000000" w:rsidDel="00000000" w:rsidP="00000000" w:rsidRDefault="00000000" w:rsidRPr="00000000" w14:paraId="000000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ethics symposia have been held to discuss the new Code of Judicial Conduct, as well as the training of law professors in new teaching methodologies in legal and judicial ethics. Various seminars for court employees on the Code of Conduct for Judicial Personnel have also been held.</w:t>
      </w:r>
    </w:p>
    <w:p w:rsidR="00000000" w:rsidDel="00000000" w:rsidP="00000000" w:rsidRDefault="00000000" w:rsidRPr="00000000" w14:paraId="000000D1">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D2">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Judicial Excellence Awards</w:t>
      </w:r>
    </w:p>
    <w:p w:rsidR="00000000" w:rsidDel="00000000" w:rsidP="00000000" w:rsidRDefault="00000000" w:rsidRPr="00000000" w14:paraId="000000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our highest court has been strict in disciplining the misfits and the errants, it has likewise been enthusiastic in honoring the faithful and the exemplary through its annual Judicial Excellence Awards. In this program, we search for, recognize and reward outstanding judges and clerks of court. The search for outstanding men and women in the judiciary was begun by the Foundation for Judicial Excellence in 1991. In 2004, however, the Supreme Court took over this annual endeavor. This year, the awarding ceremonies have been set for December 12, 2005.</w:t>
      </w:r>
    </w:p>
    <w:p w:rsidR="00000000" w:rsidDel="00000000" w:rsidP="00000000" w:rsidRDefault="00000000" w:rsidRPr="00000000" w14:paraId="000000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the 2003 and the 2004 Judicial Excellence awardees, six have already been promoted to the next higher court, three of them to the Court of Appeals. A bright future in the judiciary also awaits this year’s awardees, the list of which has just been released.</w:t>
      </w:r>
    </w:p>
    <w:p w:rsidR="00000000" w:rsidDel="00000000" w:rsidP="00000000" w:rsidRDefault="00000000" w:rsidRPr="00000000" w14:paraId="000000D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Compensation</w:t>
      </w:r>
    </w:p>
    <w:p w:rsidR="00000000" w:rsidDel="00000000" w:rsidP="00000000" w:rsidRDefault="00000000" w:rsidRPr="00000000" w14:paraId="000000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important, the SC was able to convince Congress and the President to double the basic judicial compensation through a 25 percent increase per year for four years starting in November 2003. Partly because of this additional financial benefit, many competent lawyers are now applying for the many vacant trial courts. Across the different court levels, there is still a vacancy rate of more than 31.17 percent. But I am certain that this percentage will drastically go down in the next two years as the vacancies are gradually filled up.</w:t>
      </w:r>
    </w:p>
    <w:p w:rsidR="00000000" w:rsidDel="00000000" w:rsidP="00000000" w:rsidRDefault="00000000" w:rsidRPr="00000000" w14:paraId="000000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Better retirement benefits for members of the judiciary have likewise been secured. Moreover, the High Court has authorized the grant of automatic, permanent, total disability benefits to the heirs of justices, judges, and court officials (with the rank, salary and privileges of justices and judges) who die while in the service regardless of the cause of death, except suicide or instances when it was the magistrate or official who had provoked the attack or assault that resulted in his or her death.[46] Also, to protect judges from baseless administrative charges, the SC has decided that a complaint filed within six months before the compulsory retirement of a judge, if based on a cause of action that occurred within one year prior to the filing of the complaint, should be dismissed forthwith.</w:t>
      </w:r>
    </w:p>
    <w:p w:rsidR="00000000" w:rsidDel="00000000" w:rsidP="00000000" w:rsidRDefault="00000000" w:rsidRPr="00000000" w14:paraId="000000D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Committee on Legislative-Executive Relations</w:t>
      </w:r>
    </w:p>
    <w:p w:rsidR="00000000" w:rsidDel="00000000" w:rsidP="00000000" w:rsidRDefault="00000000" w:rsidRPr="00000000" w14:paraId="000000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improve its relationship with the Presidency and Congress, the Supreme Court has strengthened its Committee on Legislative-Executive Relations. The Committee’s expanded functions include liaising with the executive and the legislative branches of the government to get support for the constitutionally mandated fiscal autonomy of the judiciary, as well as better pay and benefits for judicial personnel. The presiding justices of the Court of Appeals, the Sandiganbayan, and the Court of Tax Appeals now sit as members of the Committee for a more coordinated and integrated preparation and presentation of the judiciary budget.</w:t>
      </w:r>
    </w:p>
    <w:p w:rsidR="00000000" w:rsidDel="00000000" w:rsidP="00000000" w:rsidRDefault="00000000" w:rsidRPr="00000000" w14:paraId="000000D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Improvement of Judicial Facilities and Tools</w:t>
      </w:r>
    </w:p>
    <w:p w:rsidR="00000000" w:rsidDel="00000000" w:rsidP="00000000" w:rsidRDefault="00000000" w:rsidRPr="00000000" w14:paraId="000000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second general area of judicial reform -- the improvement of the judicial working environment, especially the provision of adequate facilities and tools.</w:t>
      </w:r>
    </w:p>
    <w:p w:rsidR="00000000" w:rsidDel="00000000" w:rsidP="00000000" w:rsidRDefault="00000000" w:rsidRPr="00000000" w14:paraId="000000DF">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In-Depth Studies and Assessments</w:t>
      </w:r>
    </w:p>
    <w:p w:rsidR="00000000" w:rsidDel="00000000" w:rsidP="00000000" w:rsidRDefault="00000000" w:rsidRPr="00000000" w14:paraId="000000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help of the United Nations Development Program (UNDP), the Court came up, as I earlier stated, with a “Blueprint of Action for the Judiciary,” to which the present APJR owes its origin. The ADB, on the other hand, funded a comprehensive study, “Strengthening the Independence and Defining the Accountability of the Judiciary.” This study reviewed the organizational, administrative and financial structures of the third branch of government; and proposed their revision and streamlining to ensure independence, transparency and accountability.</w:t>
      </w:r>
    </w:p>
    <w:p w:rsidR="00000000" w:rsidDel="00000000" w:rsidP="00000000" w:rsidRDefault="00000000" w:rsidRPr="00000000" w14:paraId="000000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more focused project called “Institutional Strengthening of the Shari’a Justice System” was also undertaken. Among others, its purposes are to review the overall performance of the Shari’a justice system, identify its strengths and weaknesses, and assess the administrative structures and operating systems in the judiciary. The objective is to determine factors that promote or hinder the efficiency and effectiveness of the Shari’a courts.</w:t>
      </w:r>
    </w:p>
    <w:p w:rsidR="00000000" w:rsidDel="00000000" w:rsidP="00000000" w:rsidRDefault="00000000" w:rsidRPr="00000000" w14:paraId="000000E2">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E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Computerized Case Management and Tracking</w:t>
      </w:r>
    </w:p>
    <w:p w:rsidR="00000000" w:rsidDel="00000000" w:rsidP="00000000" w:rsidRDefault="00000000" w:rsidRPr="00000000" w14:paraId="000000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early 1990s, the Supreme Court has started computerizing its administrative, personnel and financial processes. The computerization, however, has been largely in the form of independent hardware-software components. To upgrade these existing stand-alone computerized financial, personnel, and administrative systems in the Supreme Court, the APJR -- through the Committee on Computerization -- has recently embarked on the total computerization of the entire judiciary.</w:t>
      </w:r>
    </w:p>
    <w:p w:rsidR="00000000" w:rsidDel="00000000" w:rsidP="00000000" w:rsidRDefault="00000000" w:rsidRPr="00000000" w14:paraId="000000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support of the US Agency for International Development (USAID), the Court has pilot-tested in trial courts in Pasay City, the Case Flow Management (CFM) system, a computer program designed to expedite the resolution of cases through the effective monitoring and strict observance of time limits in the conduct of case events, from filing to disposition.</w:t>
      </w:r>
    </w:p>
    <w:p w:rsidR="00000000" w:rsidDel="00000000" w:rsidP="00000000" w:rsidRDefault="00000000" w:rsidRPr="00000000" w14:paraId="000000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second computer project, the Court Administration Management Information System (CAMIS), which is supported by the Canadian International Development Agency (CIDA), has also been pilot-tested in Metro Manila. CAMIS automates statistical data to improve case tracking and reporting. Through this project, the Supreme Court aims to build and strengthen the capacity of the Office of the Court Administrator (OCA) and the Management Information Systems Office (MISO), so as to evolve a publicly accessible automated system that would be able to provide a comprehensive database of all cases, including the current status of each.</w:t>
      </w:r>
    </w:p>
    <w:p w:rsidR="00000000" w:rsidDel="00000000" w:rsidP="00000000" w:rsidRDefault="00000000" w:rsidRPr="00000000" w14:paraId="000000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earlier stated, our stand-alone computer projects are being integrated with these new state-of-the-art CFM and CAMIS pilot projects.</w:t>
      </w:r>
    </w:p>
    <w:p w:rsidR="00000000" w:rsidDel="00000000" w:rsidP="00000000" w:rsidRDefault="00000000" w:rsidRPr="00000000" w14:paraId="000000E8">
      <w:pPr>
        <w:pStyle w:val="Heading2"/>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E9">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Computer Literacy Program</w:t>
      </w:r>
    </w:p>
    <w:p w:rsidR="00000000" w:rsidDel="00000000" w:rsidP="00000000" w:rsidRDefault="00000000" w:rsidRPr="00000000" w14:paraId="000000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complement this hardware and software development, the Court is also undertaking a Computer Literacy Program for all the 28,000 judicial officials and employees throughout the country. Justices of the Supreme Court and the three appellate courts were first to undergo a basic computer orientation seminar-workshop. A concept paper for the Information Communication Technology (ICT) Literacy Task Force, which will draw up the training programs for all judicial personnel, is now being finalized.</w:t>
      </w:r>
    </w:p>
    <w:p w:rsidR="00000000" w:rsidDel="00000000" w:rsidP="00000000" w:rsidRDefault="00000000" w:rsidRPr="00000000" w14:paraId="000000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our computerization program, the Supreme Court has, during the past five years, provided every courtroom in the country with at least one personal computer. A second one will be distributed within the next six months. Even more significantly, the Court has very recently approved an interest-free P1,000-per-month installment program to enable justices and judges to acquire and own their personal laptops. With this development, circulars and administrative issuances for all courts shall be made by the SC through its website or through compact discs (CDs) that will be distributed nationwide from time to time.</w:t>
      </w:r>
    </w:p>
    <w:p w:rsidR="00000000" w:rsidDel="00000000" w:rsidP="00000000" w:rsidRDefault="00000000" w:rsidRPr="00000000" w14:paraId="000000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D">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Electronic Library</w:t>
      </w:r>
    </w:p>
    <w:p w:rsidR="00000000" w:rsidDel="00000000" w:rsidP="00000000" w:rsidRDefault="00000000" w:rsidRPr="00000000" w14:paraId="000000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19, 2004, the Court launched its fully electronic library (e-library), the first of its kind in Asia. Powered by a search engine, the e-library cuts research time and elevates legal research to a new level of accuracy and comprehensiveness never imagined a few years ago. Already connected with the Internet, it is easily accessible to all courts nationwide. Courts without Internet access are provided with CDs containing up-to-date legal reference materials.</w:t>
      </w:r>
    </w:p>
    <w:p w:rsidR="00000000" w:rsidDel="00000000" w:rsidP="00000000" w:rsidRDefault="00000000" w:rsidRPr="00000000" w14:paraId="000000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e-library has many advantages: (1) it is cheap, because there is no more need to buy expensive books; (2) it is always up-to-date, because decisions of the SC are uploaded within 48 hours from the time they are promulgated; (3) it is accessible anytime seven days a week, because it never closes; (4) it does not need space -- it is available anywhere and everywhere; (5) it is fully searchable -- by word, phrase, case title, case number, subject matter, date of promulgation, name of parties, name of justice who wrote the decision, and so on.</w:t>
      </w:r>
    </w:p>
    <w:p w:rsidR="00000000" w:rsidDel="00000000" w:rsidP="00000000" w:rsidRDefault="00000000" w:rsidRPr="00000000" w14:paraId="000000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1">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Benchbook for Trial Court Judges</w:t>
      </w:r>
    </w:p>
    <w:p w:rsidR="00000000" w:rsidDel="00000000" w:rsidP="00000000" w:rsidRDefault="00000000" w:rsidRPr="00000000" w14:paraId="000000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 e-library, the Benchbook for Trial Court Judges aims to assist judges in research. Designed as an easy-to-search tool, the Benchbook enables magistrates to decide points of law quickly as they arise in the course of a trial. It comes in both digital and paper versions. To guide judges in preparing their decisions, a manual of uniform writing style has likewise been developed by the Supreme Court.</w:t>
      </w:r>
    </w:p>
    <w:p w:rsidR="00000000" w:rsidDel="00000000" w:rsidP="00000000" w:rsidRDefault="00000000" w:rsidRPr="00000000" w14:paraId="000000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notable projects aimed at improving the judicial working environment are the provision of computer-aided transcription (CAT) facilities; the preparation of an infrastructure master plan; and case-decongestion and delay-reduction projects, particularly in the Court of Appeals and the Sandiganbayan.</w:t>
      </w:r>
    </w:p>
    <w:p w:rsidR="00000000" w:rsidDel="00000000" w:rsidP="00000000" w:rsidRDefault="00000000" w:rsidRPr="00000000" w14:paraId="000000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5">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Model Electronic Courts</w:t>
      </w:r>
    </w:p>
    <w:p w:rsidR="00000000" w:rsidDel="00000000" w:rsidP="00000000" w:rsidRDefault="00000000" w:rsidRPr="00000000" w14:paraId="000000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 loan from the World Bank, the SC is building -- as a preview of a future nationwide courtroom construction program -- model electronic courts in selected areas in the country; namely, the cities of Angeles, Lapulapu and Cagayan de Oro. Soon also, the old Government Service Insurance System (GSIS) building, located on Arroceros Street in Manila, will be rehabilitated for its eventual conversion into a modern Hall of Justice for Manila trial courts.</w:t>
      </w:r>
    </w:p>
    <w:p w:rsidR="00000000" w:rsidDel="00000000" w:rsidP="00000000" w:rsidRDefault="00000000" w:rsidRPr="00000000" w14:paraId="000000F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8">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New Rules of Procedure</w:t>
      </w:r>
    </w:p>
    <w:p w:rsidR="00000000" w:rsidDel="00000000" w:rsidP="00000000" w:rsidRDefault="00000000" w:rsidRPr="00000000" w14:paraId="000000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enable the members of the bench to rule immediately (on the spot) on legal issues connected with the new sciences and technologies, new rules of procedure have been promulgated by the Supreme Court. These new rules cover, among others, admission of electronic evidence, infringement of intellectual property rights, corporate rehabilitation, intracorporate controversies, and the protection of juveniles in conflict with the law. Other notable improvements in the Rules of Court involve those on violence against women and their children, as well as sexual harassment cases; proper work decorum in the judiciary; and death penalty cases.</w:t>
      </w:r>
    </w:p>
    <w:p w:rsidR="00000000" w:rsidDel="00000000" w:rsidP="00000000" w:rsidRDefault="00000000" w:rsidRPr="00000000" w14:paraId="000000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B">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Relationship with Various Publics</w:t>
      </w:r>
    </w:p>
    <w:p w:rsidR="00000000" w:rsidDel="00000000" w:rsidP="00000000" w:rsidRDefault="00000000" w:rsidRPr="00000000" w14:paraId="000000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third general area of reforms, let me discuss how the Supreme Court is improving its relationship with its various publics.</w:t>
      </w:r>
    </w:p>
    <w:p w:rsidR="00000000" w:rsidDel="00000000" w:rsidP="00000000" w:rsidRDefault="00000000" w:rsidRPr="00000000" w14:paraId="000000FD">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Public Information Office (PIO)</w:t>
      </w:r>
    </w:p>
    <w:p w:rsidR="00000000" w:rsidDel="00000000" w:rsidP="00000000" w:rsidRDefault="00000000" w:rsidRPr="00000000" w14:paraId="000000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day and age of transparency, the judiciary realizes that, to be better understood and thereby to maintain public trust, it must somehow open up the judicial fortress without, however, compromising the confidentiality of its collegiate deliberations. Thus, on January 1, 1999, it established its Public Information Office (PIO), not as a public relations arm, but as an information-based office.</w:t>
      </w:r>
    </w:p>
    <w:p w:rsidR="00000000" w:rsidDel="00000000" w:rsidP="00000000" w:rsidRDefault="00000000" w:rsidRPr="00000000" w14:paraId="000000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primary objective of the PIO is to bring the Court closer to the people. Its goal is simple: to tell our various publics the truth, the whole truth, and nothing but the truth. Its job is not to “sanitize” or “angle” stories. Neither is it to “proselytize” and “propagandize,” much less to spin tales or embroider judicial work.</w:t>
      </w:r>
    </w:p>
    <w:p w:rsidR="00000000" w:rsidDel="00000000" w:rsidP="00000000" w:rsidRDefault="00000000" w:rsidRPr="00000000" w14:paraId="000001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its primary task of disseminating news about the Court and its decisions as promptly and as widely as possible, the PIO regularly publishes the bimonthly Benchmark; and the monthly Court News, a full-color four-page newsletter intended for the Court’s diverse publics, including chambers of commerce, nongovernmental organizations, the provincial press, and foreign embassies. Practically on a daily basis, the PIO also issues news bulletins through the Court News Flash. These publications are written in simple non-legalese. They are available online through the PIO’s website, a sub-domain on our main website, </w:t>
      </w:r>
      <w:hyperlink r:id="rId8">
        <w:r w:rsidDel="00000000" w:rsidR="00000000" w:rsidRPr="00000000">
          <w:rPr>
            <w:rFonts w:ascii="Georgia" w:cs="Georgia" w:eastAsia="Georgia" w:hAnsi="Georgia"/>
            <w:sz w:val="22"/>
            <w:szCs w:val="22"/>
            <w:u w:val="single"/>
            <w:rtl w:val="0"/>
          </w:rPr>
          <w:t xml:space="preserve">www.supremecourt.gov.ph</w:t>
        </w:r>
      </w:hyperlink>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10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2">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Chamber-to-Chamber Dialogues</w:t>
      </w:r>
    </w:p>
    <w:p w:rsidR="00000000" w:rsidDel="00000000" w:rsidP="00000000" w:rsidRDefault="00000000" w:rsidRPr="00000000" w14:paraId="000001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respond to criticisms from the business sector that the judiciary is inordinately interfering in the economic life of the country, the Court, with the assistance of The Asia Foundation, launched the Chamber-to-Chamber Dialogues. The term “chamber-to-chamber” was derived from the “chambers” of magistrates and the various “chambers” of commerce spread all over the country. For the same purpose, I recently wrote a book entitled Leveling the Playing Field,[65] which explains in detail the role of the judicial branch in economic governance.</w:t>
      </w:r>
    </w:p>
    <w:p w:rsidR="00000000" w:rsidDel="00000000" w:rsidP="00000000" w:rsidRDefault="00000000" w:rsidRPr="00000000" w14:paraId="000001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5">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“Justice-to-Justice” and “Judge-to-Judge” Dialogues</w:t>
      </w:r>
    </w:p>
    <w:p w:rsidR="00000000" w:rsidDel="00000000" w:rsidP="00000000" w:rsidRDefault="00000000" w:rsidRPr="00000000" w14:paraId="000001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final item under the topic of improving the judicial environment, our Supreme Court has embarked on a “Justice-to-Justice” and a “Judge-to-Judge” Program to encourage intellectual exchanges among judges of the world. These Justice-to-Justice and Judge-to-Judge Dialogues have been made possible by funding assistance from the USAID through the American Bar Association-Asia Law Initiative (ABA-Asia).</w:t>
      </w:r>
    </w:p>
    <w:p w:rsidR="00000000" w:rsidDel="00000000" w:rsidP="00000000" w:rsidRDefault="00000000" w:rsidRPr="00000000" w14:paraId="000001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8">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Access to Justice</w:t>
      </w:r>
    </w:p>
    <w:p w:rsidR="00000000" w:rsidDel="00000000" w:rsidP="00000000" w:rsidRDefault="00000000" w:rsidRPr="00000000" w14:paraId="000001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one of the six main components of the APJR, access to justice has received considerable attention in terms of projects and activities. It is of special interest to the UNDP, under whose sponsorship the Court has conducted (1) a diagnostic study of the capabilities and limitations of the Department of Justice; (2) a research on how penal institutions work; and (3) a participatory program to assess the strengths and weaknesses of our jails. I should add here the jail decongestion project -- undertaken by the Integrated Bar of the Philippines (IBP) with UNDP funding -- in the Manila, Pasay, Quezon City and Pasig City jails. Worth mentioning as another concern is the elimination of gender bias and the equalization of political and civil opportunities for both men and women.</w:t>
      </w:r>
    </w:p>
    <w:p w:rsidR="00000000" w:rsidDel="00000000" w:rsidP="00000000" w:rsidRDefault="00000000" w:rsidRPr="00000000" w14:paraId="000001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notable project is called “Access to Justice for the Poor through Information, Education and Communication (IEC).” This program involves, among others, the training of the clerks of court of selected municipal courts and of barangay officials in selected parts of the country, to enable them to provide vital information on the legal rights of the poor and the disadvantaged. As implementing agency of Component 1 -- “Institutionalization of the Decentralized Information Function of the Judiciary” -- the SC will oversee the formulation of IEC guidelines, policies and standards of conduct for Municipal Court Information Officers (MCIOs); and the training of MCIOs. The Court will also sponsor a training program to sensitize municipal court judges and court personnel (in the target project areas) to the economic and social conditions of the poor.</w:t>
      </w:r>
    </w:p>
    <w:p w:rsidR="00000000" w:rsidDel="00000000" w:rsidP="00000000" w:rsidRDefault="00000000" w:rsidRPr="00000000" w14:paraId="0000010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Rehabilitating Internally Displaced Persons and Communities</w:t>
      </w:r>
    </w:p>
    <w:p w:rsidR="00000000" w:rsidDel="00000000" w:rsidP="00000000" w:rsidRDefault="00000000" w:rsidRPr="00000000" w14:paraId="000001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assistance from the European Union (EU), the SC has also embarked on “strengthening the courts for internally displaced persons and communities,” which is a component of the project called “Rehabilitating Internally Displaced Persons and Communities in Southern Philippines.” The mother project seeks to address the rehabilitation and resettlement of at least 10,000 displaced families in Southern Philippines. Included is the construction or repair and rehabilitation of the Halls of Justice in selected areas.</w:t>
      </w:r>
    </w:p>
    <w:p w:rsidR="00000000" w:rsidDel="00000000" w:rsidP="00000000" w:rsidRDefault="00000000" w:rsidRPr="00000000" w14:paraId="0000010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F">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Justice on Wheels</w:t>
      </w:r>
    </w:p>
    <w:p w:rsidR="00000000" w:rsidDel="00000000" w:rsidP="00000000" w:rsidRDefault="00000000" w:rsidRPr="00000000" w14:paraId="000001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increase the accessibility of the judicial system, especially to the poor and the disadvantaged, the Supreme Court launched its Justice on Wheels program on December 21, 2004. The first mobile court -- in the form of a large bus staffed by a judge, a prosecutor, and a stenographer, among others -- is designed to bring the courts to the people in places were they would otherwise be inaccessible. Though less than a year old, our first mobile court has already made an impact on our efforts to decongest jails and speedily resolve family problems. </w:t>
      </w:r>
    </w:p>
    <w:p w:rsidR="00000000" w:rsidDel="00000000" w:rsidP="00000000" w:rsidRDefault="00000000" w:rsidRPr="00000000" w14:paraId="000001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Consultations with Stakeholders and Other Sectors</w:t>
      </w:r>
    </w:p>
    <w:p w:rsidR="00000000" w:rsidDel="00000000" w:rsidP="00000000" w:rsidRDefault="00000000" w:rsidRPr="00000000" w14:paraId="000001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Consultations have been held by the Court with stakeholders and different sectors. The bar and the bench were consulted on memoranda, recognizance, summary procedure, and affordability constraints on access to justice. These consultations have been followed through with subsequent studies on the possible expansion of recognizance and summary procedure in criminal cases, as well as an in-depth inquiry on how to make the justice system more affordable -- and, thus, accessible -- to the poor and the underprivileged. Other activities include a review of the barangay justice system in the Philippines and the strengthening of legal protection for children.</w:t>
      </w:r>
    </w:p>
    <w:p w:rsidR="00000000" w:rsidDel="00000000" w:rsidP="00000000" w:rsidRDefault="00000000" w:rsidRPr="00000000" w14:paraId="000001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5">
      <w:pPr>
        <w:pStyle w:val="Heading2"/>
        <w:jc w:val="both"/>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Public Education on the Rule of Law</w:t>
      </w:r>
    </w:p>
    <w:p w:rsidR="00000000" w:rsidDel="00000000" w:rsidP="00000000" w:rsidRDefault="00000000" w:rsidRPr="00000000" w14:paraId="000001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Still another innovative APJR undertaking is called “Public Education on the Rule of Law Advancement and Support” (PERLAS) project. A collaborative undertaking of the SC, the Department of Education, The Asia Foundation and the Lawyer’s League for Liberty (Libertas), the project seeks to integrate into the `curricula of elementary and high schools the value of civic-mindedness and obedience to the rule of law. Presently, teaching exemplars embodying these values are being prepared for distribution to all primary and secondary schools nationwide.</w:t>
      </w:r>
    </w:p>
    <w:p w:rsidR="00000000" w:rsidDel="00000000" w:rsidP="00000000" w:rsidRDefault="00000000" w:rsidRPr="00000000" w14:paraId="000001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8">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Model Judicial Reform Program</w:t>
      </w:r>
    </w:p>
    <w:p w:rsidR="00000000" w:rsidDel="00000000" w:rsidP="00000000" w:rsidRDefault="00000000" w:rsidRPr="00000000" w14:paraId="000001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takes great pride and care in pursuing and implementing the foregoing judicial reform projects under their overall umbrella called APJR. The SC is happy to note that, already, the APJR has earned local and international acclaim. The World Bank’s chief counsel for East Asia and the Pacific region, Anthony Gerald Toft, in his own lecture earlier delivered in this Series, has openly endorsed the Philippine judicial reform program as one worthy of emulation by other jurisdictions. Verily, our judicial reform program has earned the support of all major international development institutions, like the United Nations Development Program (UNDP), the World Bank (WB), the Asian Development Bank (ADB) and The Asia Foundation (TAF); as well as the national aid agencies of Australia, Canada, the European Union, Great Britain, Japan, the Netherlands and the United States. I do not know of any other country that has enjoyed similar global assistance for the modernization of its judicial system.</w:t>
      </w:r>
    </w:p>
    <w:p w:rsidR="00000000" w:rsidDel="00000000" w:rsidP="00000000" w:rsidRDefault="00000000" w:rsidRPr="00000000" w14:paraId="000001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in all, the APJR has brought cutting-edge technology and best management practices to the third branch of government. It has ushered the judiciary to the digital age through the piloting of electronic tools and modern facilities. By sharpening management skills, the APJR has helped the judiciary strengthen its independence and integrity and respond speedily to the 21st century’s call for more transparency and accountability. To paraphrase the Davide Watch, the APJR has enabled the judiciary to become truly “worthy of public trust and confidence.”</w:t>
      </w:r>
    </w:p>
    <w:p w:rsidR="00000000" w:rsidDel="00000000" w:rsidP="00000000" w:rsidRDefault="00000000" w:rsidRPr="00000000" w14:paraId="000001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Conference and Showcase on Judicial Reforms</w:t>
      </w:r>
    </w:p>
    <w:p w:rsidR="00000000" w:rsidDel="00000000" w:rsidP="00000000" w:rsidRDefault="00000000" w:rsidRPr="00000000" w14:paraId="000001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lasting testament to our judicial reform program, our Supreme Court is sponsoring on November 28-30, 2005, an International Conference and Showcase on Judicial Reforms. This gathering is divided into two parts: (1) plenary and parallel sessions to facilitate the international exchange of ideas, experiences, best practices and reform initiatives; and (2) a showcase or exhibit of the judicial reform projects I have mentioned earlier. Expected to attend the conference-cum-showcase are around 150 foreign Chief Justices, senior magistrates and judicial educators. In addition, we are inviting our own appellate court justices and selected trial court judges to participate also. Those who have already confirmed their attendance are the Chief Justices of far-flung countries, like Russia, South Africa, Botswana, Maldives, The Netherlands and Argentina; as well as of our neighboring countries in Asia.</w:t>
      </w:r>
    </w:p>
    <w:p w:rsidR="00000000" w:rsidDel="00000000" w:rsidP="00000000" w:rsidRDefault="00000000" w:rsidRPr="00000000" w14:paraId="000001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conference chairperson of this international gathering, I am overwhelmed not only by the warm response of our counterpart judiciaries in the world; but also by the funding grants given by international institutions, like the United Nations Development Program, World Bank, Asian Development Bank, The Asia Foundation, and the Australian Agency for International Development. Their assistance has enabled us to sponsor this global milestone without any expense on the part of the Supreme Court and the Philippine government; and to offer free hotel accommodation, meals and local transportation to all invited delegates.</w:t>
      </w:r>
    </w:p>
    <w:p w:rsidR="00000000" w:rsidDel="00000000" w:rsidP="00000000" w:rsidRDefault="00000000" w:rsidRPr="00000000" w14:paraId="000001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we all know, Chief Justice Hilario G. Davide Jr. is retiring from the judiciary on December 20, 2005, when he reaches the compulsory retirement age of 70. To him, the judiciary owes a great debt of gratitude for conceptualizing and initiating the judiciary reforms program under the APJR. Like the deft and constant gardener that he is, he has sown the seed of a reformed and transformed judiciary through his vision-mission statement, and then nurtured it through the APJR. With local and international support that he himself has whipped up, he has created the necessary environment for the reform program to take root in the judicial system.</w:t>
      </w:r>
    </w:p>
    <w:p w:rsidR="00000000" w:rsidDel="00000000" w:rsidP="00000000" w:rsidRDefault="00000000" w:rsidRPr="00000000" w14:paraId="000001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APJR is not just the personal vision or project of the Chief Justice. I believe that it is also the vision and project of the entire Supreme Court and the rest of the judiciary. Thus, it will be continued even after his retirement. Those of us who will be left behind shall pursue the reform program with the same ardor and vigor as shown by our beloved leader.</w:t>
      </w:r>
    </w:p>
    <w:p w:rsidR="00000000" w:rsidDel="00000000" w:rsidP="00000000" w:rsidRDefault="00000000" w:rsidRPr="00000000" w14:paraId="000001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Chief has brought the dawn of judicial renaissance to our country. We who now bask in the morning sun vow to continue his mission until our collective dream of rendering speedy, high-quality justice under a transformed judiciary will have been achieved.</w:t>
      </w:r>
    </w:p>
    <w:p w:rsidR="00000000" w:rsidDel="00000000" w:rsidP="00000000" w:rsidRDefault="00000000" w:rsidRPr="00000000" w14:paraId="000001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12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B">
      <w:pPr>
        <w:pStyle w:val="Heading3"/>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2C">
      <w:pPr>
        <w:pStyle w:val="Heading3"/>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w:t>
      </w:r>
    </w:p>
    <w:p w:rsidR="00000000" w:rsidDel="00000000" w:rsidP="00000000" w:rsidRDefault="00000000" w:rsidRPr="00000000" w14:paraId="0000012D">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APJR: An Executive Summary</w:t>
      </w:r>
    </w:p>
    <w:p w:rsidR="00000000" w:rsidDel="00000000" w:rsidP="00000000" w:rsidRDefault="00000000" w:rsidRPr="00000000" w14:paraId="000001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your president, Jesus F. Tambunting; Program Director Rene Golangco; and my good friend Mike Varela for inviting me to your meeting today.</w:t>
      </w:r>
    </w:p>
    <w:p w:rsidR="00000000" w:rsidDel="00000000" w:rsidP="00000000" w:rsidRDefault="00000000" w:rsidRPr="00000000" w14:paraId="000001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all of us know, Mike is active not only in the Rotary, but also in the Philippine Chamber of Commerce and Industry (PCCI), where he used to be president and chairperson of the board. As a measure of its lasting esteem, PCCI has named him chairperson emeritus for life.</w:t>
      </w:r>
    </w:p>
    <w:p w:rsidR="00000000" w:rsidDel="00000000" w:rsidP="00000000" w:rsidRDefault="00000000" w:rsidRPr="00000000" w14:paraId="000001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bumped into Mike last month during a private luncheon hosted by Ambassador Annika Markovic of Sweden at her house. I informed him that due to our unusually busy schedule in the Supreme Court and my added responsibility as chairperson of the forthcoming International Conference and Showcase on Judicial Reforms this November, I could not accept your invitation. But Mike could not be dissuaded. He insisted that I should talk about the Supreme Court’s Action Program for Judicial Reform or APJR, as well as of our forthcoming global conference and showcase. And so, here I am.</w:t>
      </w:r>
    </w:p>
    <w:p w:rsidR="00000000" w:rsidDel="00000000" w:rsidP="00000000" w:rsidRDefault="00000000" w:rsidRPr="00000000" w14:paraId="000001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is a very comprehensive and all-encompassing program that has six distinct components: (1) Judicial Systems and Procedures, (2) Institutions Development, (3) Human Resource Development, (4) Integrity Infrastructure Development, (5) Access to Justice by the Poor, and (6) Reform Support Systems. The projects embraced under the APJR are so numerous and pervasive that our Supreme Court has had to create a separate Program Management Office (PMO). The PMO ensures that the APJR is pursued, coordinated, monitored and implemented vigorously. In coordination with various stakeholders and developmental partners, it actively manages the day-to-day implementation of the projects.</w:t>
      </w:r>
    </w:p>
    <w:p w:rsidR="00000000" w:rsidDel="00000000" w:rsidP="00000000" w:rsidRDefault="00000000" w:rsidRPr="00000000" w14:paraId="000001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forum, I have no time to discuss the over a hundred projects embraced by these six components. Let me just present an executive summary of the reforms as they relate to three general matters: (1) the transformation of judges, (2) the judicial work environment, and (3) the relationship of the judiciary with its various publics.</w:t>
      </w:r>
    </w:p>
    <w:p w:rsidR="00000000" w:rsidDel="00000000" w:rsidP="00000000" w:rsidRDefault="00000000" w:rsidRPr="00000000" w14:paraId="00000133">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3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Transformation of Judges</w:t>
      </w:r>
    </w:p>
    <w:p w:rsidR="00000000" w:rsidDel="00000000" w:rsidP="00000000" w:rsidRDefault="00000000" w:rsidRPr="00000000" w14:paraId="000001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tackle the changes that are aimed at the transformation of judges -- their persons, educational backgrounds, habits and aptitudes. </w:t>
      </w:r>
    </w:p>
    <w:p w:rsidR="00000000" w:rsidDel="00000000" w:rsidP="00000000" w:rsidRDefault="00000000" w:rsidRPr="00000000" w14:paraId="000001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reforms go back deep into the improvement of the law school curriculum. Our Constitution empowers our highest court to promulgate rules concerning “admission to the practice of law.” Using this provision as basis, our Court is able to influence the direction of law education through the bar examinations it conducts annually. Reforms are veered toward the intellectual content of the tests, the eventual computerization of such tests, the perpetual disqualification of applicants who have consistently failed them, and the appointment of tenured examiners.</w:t>
      </w:r>
    </w:p>
    <w:p w:rsidR="00000000" w:rsidDel="00000000" w:rsidP="00000000" w:rsidRDefault="00000000" w:rsidRPr="00000000" w14:paraId="000001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initiative of the Supreme Court (SC), the Legal Education Board (LEB) will be formally organized shortly. Headed by a retired SC justice, the Board will oversee the operation of all law colleges and reformulate their law curricula to make them more responsive to the needs of the 21st century. </w:t>
      </w:r>
    </w:p>
    <w:p w:rsidR="00000000" w:rsidDel="00000000" w:rsidP="00000000" w:rsidRDefault="00000000" w:rsidRPr="00000000" w14:paraId="00000138">
      <w:pPr>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Another innovative APJR project is the Judicial Apprenticeship Program, which has</w:t>
      </w:r>
      <w:r w:rsidDel="00000000" w:rsidR="00000000" w:rsidRPr="00000000">
        <w:rPr>
          <w:rFonts w:ascii="Georgia" w:cs="Georgia" w:eastAsia="Georgia" w:hAnsi="Georgia"/>
          <w:sz w:val="22"/>
          <w:szCs w:val="22"/>
          <w:rtl w:val="0"/>
        </w:rPr>
        <w:t xml:space="preserve"> been piloted recently. This project proposes to expose third and fourth year law students to actual court proceedings and to train them in legal research and decision writing.</w:t>
      </w:r>
    </w:p>
    <w:p w:rsidR="00000000" w:rsidDel="00000000" w:rsidP="00000000" w:rsidRDefault="00000000" w:rsidRPr="00000000" w14:paraId="000001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those who have graduated from their basic law degree and passed the bar examinations, the Mandatory Continuing Legal Education (MCLE) program has been strengthened by the SC to ensure that members of the bar are continuously updated on current laws and jurisprudence. The Court has also strictly enforced the lawyer’s oath. Thus, during the last six years, it has fined, warned, censured, admonished, reprimanded, ordered arrested, suspended or disbarred 463 lawyers for violations of the Code of Professional Responsibility.</w:t>
      </w:r>
    </w:p>
    <w:p w:rsidR="00000000" w:rsidDel="00000000" w:rsidP="00000000" w:rsidRDefault="00000000" w:rsidRPr="00000000" w14:paraId="000001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Judges are appointed to the bench by the President. To minimize, if not totally eliminate, partisan politics in the appointment of judges and to ensure that only the most qualified are appointed, our Constitution limits the President’s choices only to those recommended by the Judicial and Bar Council. The Council is chaired by the Chief Justice, and its members are the secretary of justice; a senator; a congressman; a retired SC justice; and one representative each of the bar, the academe, and the private sector.</w:t>
      </w:r>
    </w:p>
    <w:p w:rsidR="00000000" w:rsidDel="00000000" w:rsidP="00000000" w:rsidRDefault="00000000" w:rsidRPr="00000000" w14:paraId="000001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their appointment, judges must undergo continuous judicial education under the auspices of the Philippine Judicial Academy (PHILJA). This program consists of either actual classroom seminars or long-distance e-learning programs. The SC and the Philja are in the final stages of negotiating a P600 million grant from the Japanese government to build the Philja Training Center in Tagaytay.</w:t>
      </w:r>
    </w:p>
    <w:p w:rsidR="00000000" w:rsidDel="00000000" w:rsidP="00000000" w:rsidRDefault="00000000" w:rsidRPr="00000000" w14:paraId="000001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education is intended to enhance not only the intellectual ability of magistrates, but also their ethical standards. Thus, effective June 1, 2004, the Supreme Court adopted the New Code of Judicial Conduct for the Philippine Judiciary, patterned after the Bangalore Principles of Judicial Conduct drafted under the aegis of the United Nations.</w:t>
      </w:r>
    </w:p>
    <w:p w:rsidR="00000000" w:rsidDel="00000000" w:rsidP="00000000" w:rsidRDefault="00000000" w:rsidRPr="00000000" w14:paraId="000001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before this new Code was adopted, the Supreme Court had already been enforcing the earlier Canons of Judicial Ethics and the Code of Judicial Conduct. From 1999 to 2004, it had -- after appropriate proceedings -- reprimanded, censured, fined, forfeited the benefits of, suspended from office, or dismissed from the service, 660 justices and judges.</w:t>
      </w:r>
    </w:p>
    <w:p w:rsidR="00000000" w:rsidDel="00000000" w:rsidP="00000000" w:rsidRDefault="00000000" w:rsidRPr="00000000" w14:paraId="000001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while our highest court has been strict with the misfits and the errants, it has also been adept at honoring the faithful and the exemplary through its annual Judicial Excellence Awards. In this program, it searches for, recognizes, rewards and recommends the promotion of outstanding judges.</w:t>
      </w:r>
    </w:p>
    <w:p w:rsidR="00000000" w:rsidDel="00000000" w:rsidP="00000000" w:rsidRDefault="00000000" w:rsidRPr="00000000" w14:paraId="000001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assistance from The Asia Foundation, the Court is also sponsoring “Judge-to-Judge” Dialogues to facilitate intellectual exchanges. Jointly with the government of Australia, the Court has also arranged for scholarships for Filipino magistrates interested in further studies Down Under.</w:t>
      </w:r>
    </w:p>
    <w:p w:rsidR="00000000" w:rsidDel="00000000" w:rsidP="00000000" w:rsidRDefault="00000000" w:rsidRPr="00000000" w14:paraId="000001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important, the SC was able to convince Congress and the President to double the basic judicial compensation, through a staggered increase of 25 percent per year for four years starting in November 2003. Furthermore, the Court has been able to secure better retirement benefits for members of the judiciary. Also, to protect judges from baseless administrative charges, the SC has decided that a complaint filed within six months before the compulsory retirement of a judge, if based on a cause of action that occurred at least one year prior to the filing of the complaint, should be dismissed forthwith.</w:t>
      </w:r>
    </w:p>
    <w:p w:rsidR="00000000" w:rsidDel="00000000" w:rsidP="00000000" w:rsidRDefault="00000000" w:rsidRPr="00000000" w14:paraId="0000014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2">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Improvement of Judicial Facilities and Tools</w:t>
      </w:r>
    </w:p>
    <w:p w:rsidR="00000000" w:rsidDel="00000000" w:rsidP="00000000" w:rsidRDefault="00000000" w:rsidRPr="00000000" w14:paraId="000001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let me now discuss the second general area of judicial reform -- the improvement of the judicial working environment, especially the provision of adequate facilities and tools.</w:t>
      </w:r>
    </w:p>
    <w:p w:rsidR="00000000" w:rsidDel="00000000" w:rsidP="00000000" w:rsidRDefault="00000000" w:rsidRPr="00000000" w14:paraId="000001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early 1990s, the Supreme Court has started computerizing its administrative, personnel and financial processes. The computerization has, however, been largely in the form of independent hardware-software components. To upgrade these existing stand-alone computerized financial, personnel, and administrative systems, the Court has embarked on the total computerization of the entire judiciary. With the support of the US Agency for International Development (USAID), we have pilot-tested, in the trial courts in Pasay City, the Case Flow Management (CFM) system, a computer program designed to expedite the resolution of cases through the effective monitoring and the strict observance of time limits in the conduct of case events, from filing to disposition.</w:t>
      </w:r>
    </w:p>
    <w:p w:rsidR="00000000" w:rsidDel="00000000" w:rsidP="00000000" w:rsidRDefault="00000000" w:rsidRPr="00000000" w14:paraId="000001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second computer project, supported by the Canadian International Development Agency (CIDA), is the Court Administration Management Information System (CAMIS), which has also been pilot-tested in Metro Manila. CAMIS automates statistical data to improve case tracking and reporting. Currently, these two systems are being integrated, preparatory to nationwide implementation.</w:t>
      </w:r>
    </w:p>
    <w:p w:rsidR="00000000" w:rsidDel="00000000" w:rsidP="00000000" w:rsidRDefault="00000000" w:rsidRPr="00000000" w14:paraId="000001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complement this hardware and software development, the Court is also undertaking a Computer Literacy Program for all 28,000 judicial officials and employees throughout the country. Consistent with our computerization program, the Supreme Court has, during the past five years, provided every courtroom in the country with at least one personal computer. A second computer for each trial court will be delivered within the next six months. Likewise, the Court has approved the acquisition of laptops by judges through an interest-free, 36-month installment program, payable at P1,000 per month.</w:t>
      </w:r>
    </w:p>
    <w:p w:rsidR="00000000" w:rsidDel="00000000" w:rsidP="00000000" w:rsidRDefault="00000000" w:rsidRPr="00000000" w14:paraId="000001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November 2004, the Court launched its electronic library (e-library). Powered by a search engine, the e-library cuts research time and elevates legal research to a level of accuracy and comprehensiveness never imagined up to a few years ago. Already connected with the Internet, this e-library is available to all courts nationwide. Courts without Internet access are provided with compact discs containing up-to-date legal reference materials.</w:t>
      </w:r>
    </w:p>
    <w:p w:rsidR="00000000" w:rsidDel="00000000" w:rsidP="00000000" w:rsidRDefault="00000000" w:rsidRPr="00000000" w14:paraId="000001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 e-library, the Benchbook for Trial Court Judges aims to assist judges in research. Designed as an easy-to-search tool, it enables them to make quick decision on points of law that arise in the course of a trial. It comes in both digital and paper versions.</w:t>
      </w:r>
    </w:p>
    <w:p w:rsidR="00000000" w:rsidDel="00000000" w:rsidP="00000000" w:rsidRDefault="00000000" w:rsidRPr="00000000" w14:paraId="000001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enable the members of the bench to keep up with new sciences and technologies, new rules of procedure have been promulgated by the Supreme Court. These new rules cover, among others, the admission of electronic evidence, the infringement of intellectual property rights, corporate rehabilitation, intra-corporate controversies, and the protection of juveniles in conflict with the law.</w:t>
      </w:r>
    </w:p>
    <w:p w:rsidR="00000000" w:rsidDel="00000000" w:rsidP="00000000" w:rsidRDefault="00000000" w:rsidRPr="00000000" w14:paraId="000001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 loan from the World Bank, the SC is giving a preview of a future, nationwide courtroom construction program for model electronic courts in selected areas. The Court has also acquired the old GSIS Building on Arroceros Street, Manila, to be converted into a modern Hall of Justice for the Manila trial courts.</w:t>
      </w:r>
    </w:p>
    <w:p w:rsidR="00000000" w:rsidDel="00000000" w:rsidP="00000000" w:rsidRDefault="00000000" w:rsidRPr="00000000" w14:paraId="000001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hasten case adjudication and unclog court dockets, the APJR has launched several projects to encourage the use of alternative dispute resolution methods.</w:t>
      </w:r>
    </w:p>
    <w:p w:rsidR="00000000" w:rsidDel="00000000" w:rsidP="00000000" w:rsidRDefault="00000000" w:rsidRPr="00000000" w14:paraId="000001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 grant from the Asian Development Bank, the Court has developed a blueprint to strengthen the independence and to define the accountability of the judiciary.</w:t>
      </w:r>
    </w:p>
    <w:p w:rsidR="00000000" w:rsidDel="00000000" w:rsidP="00000000" w:rsidRDefault="00000000" w:rsidRPr="00000000" w14:paraId="000001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final item on this topic of improving the judicial environment, our Supreme Court, with the assistance of the American Bar Association-Asia Law Initiative and the USAID, has embarked on a Justice-to-Justice Program to encourage intellectual exchanges amongst judges of the world.</w:t>
      </w:r>
    </w:p>
    <w:p w:rsidR="00000000" w:rsidDel="00000000" w:rsidP="00000000" w:rsidRDefault="00000000" w:rsidRPr="00000000" w14:paraId="0000014E">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4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Relationship with Various Publics</w:t>
      </w:r>
    </w:p>
    <w:p w:rsidR="00000000" w:rsidDel="00000000" w:rsidP="00000000" w:rsidRDefault="00000000" w:rsidRPr="00000000" w14:paraId="000001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third general area of reforms, let me discuss how the Supreme Court is improving its relationship with its various publics.</w:t>
      </w:r>
    </w:p>
    <w:p w:rsidR="00000000" w:rsidDel="00000000" w:rsidP="00000000" w:rsidRDefault="00000000" w:rsidRPr="00000000" w14:paraId="000001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day and age of transparency, the SC realizes that, to be better understood and thereby to maintain public trust, it must somehow open up the judicial fortress. The Court must do so without, however, compromising the confidentiality of its collegiate deliberations. Thus, in early 1999, it established its Public Information Office (PIO). The PIO’s goal is simple: to tell our various publics the truth, the whole truth, and nothing but the truth. Its job is not to “sanitize” or “angle” stories. Neither is it to “proselytize” and “propagandize,” much less to spin tales or embroider judicial work.</w:t>
      </w:r>
    </w:p>
    <w:p w:rsidR="00000000" w:rsidDel="00000000" w:rsidP="00000000" w:rsidRDefault="00000000" w:rsidRPr="00000000" w14:paraId="000001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PIO regularly publishes the monthly Benchmark and compiles the Court News, which contains summaries of salient news about the Court and the Decisions it promulgates. From time to time, the PIO also issues news bulletins through the Court News Flash. These publications are written in simple non-legalese. Likewise, in coordination with the Management Information Systems Office (MISO), the PIO regularly updates its sub-domain on the Court’s website: www.supremecourt.gov.ph. Furthermore, the PIO conducts tours of the various courts.</w:t>
      </w:r>
    </w:p>
    <w:p w:rsidR="00000000" w:rsidDel="00000000" w:rsidP="00000000" w:rsidRDefault="00000000" w:rsidRPr="00000000" w14:paraId="000001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respond to criticisms from the business sector that the judiciary is inordinately interfering in the economic life of the country, the Court launched, with the assistance of The Asia Foundation, the Chamber-to-Chamber Dialogues. The term “Chamber-to-Chamber” was derived from the “chambers” of magistrates and the various “chambers” of commerce spread all over the country. For the same purpose, I recently wrote a book, Leveling the Playing Field, which explains in detail the role of the judicial branch in economic governance.</w:t>
      </w:r>
    </w:p>
    <w:p w:rsidR="00000000" w:rsidDel="00000000" w:rsidP="00000000" w:rsidRDefault="00000000" w:rsidRPr="00000000" w14:paraId="000001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increase the accessibility of the judicial system, especially to the poor and the disadvantaged, the Supreme Court recently inaugurated its Justice on Wheels program. Though less than a year old, our first mobile court has already made an impact on efforts to decongest jails and speedily resolve family problems.</w:t>
      </w:r>
    </w:p>
    <w:p w:rsidR="00000000" w:rsidDel="00000000" w:rsidP="00000000" w:rsidRDefault="00000000" w:rsidRPr="00000000" w14:paraId="000001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reform program and implemented projects have caught the attention of the world. Thus, our APJR has received endorsements, grants and loans from several international developmental agencies, including the United Nations Development Program (UNDP), World Bank (WB), Asian Development Bank (ADB) and The Asia Foundation (TAF); as well as from several foreign governments like Australia, Canada, the European Union, Great Britain, Japan, the Netherlands, and the United States. I do not know of any other country in the world that has received the same degree of cooperation and assistance from the international community. In the words of Anthony Gerald Toft, chief counsel for East Asia and the Pacific region of the World Bank, “the APJR is fundamentally well-rooted x x x [and] well informed x x x[;] other parts of the world have much to learn from the Philippine judicial reform program.”</w:t>
      </w:r>
    </w:p>
    <w:p w:rsidR="00000000" w:rsidDel="00000000" w:rsidP="00000000" w:rsidRDefault="00000000" w:rsidRPr="00000000" w14:paraId="00000156">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International Conference and Showcase on Judicial Reforms</w:t>
      </w:r>
    </w:p>
    <w:p w:rsidR="00000000" w:rsidDel="00000000" w:rsidP="00000000" w:rsidRDefault="00000000" w:rsidRPr="00000000" w14:paraId="000001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Apart from the assistance from developmental agencies and other countries, our judicial reform program has been acclaimed in many other countries as a model worth following. Thus, to share our reform agenda with the other judiciaries of the world, the Philippine Supreme Court -- with a grant from the World Bank, ADB, TAF and other developmental partners -- is sponsoring an International Conference and Showcase on Judicial Reforms on November 28-30, 2005, at the Makati Shangrila Hotel.</w:t>
      </w:r>
    </w:p>
    <w:p w:rsidR="00000000" w:rsidDel="00000000" w:rsidP="00000000" w:rsidRDefault="00000000" w:rsidRPr="00000000" w14:paraId="000001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three-day global gathering is divided as follows: (1) plenary and parallel sessions to facilitate the exchange of ideas, experiences, best practices and reform initiatives; and (2) a showcase or exhibit or roadshow of judicial reform projects of the Philippines and other participating judiciaries. The plenary and the parallel sessions will have the following themes: Day 1 - Judicial Independence, Integrity, Education, Transparency and Accountability; Day 2 - Access to Justice; and Day 3 - Judicial Reform Management, Implementation and Knowledge Sharing.</w:t>
      </w:r>
    </w:p>
    <w:p w:rsidR="00000000" w:rsidDel="00000000" w:rsidP="00000000" w:rsidRDefault="00000000" w:rsidRPr="00000000" w14:paraId="000001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showcase portion, various judicial reform projects will not only be discussed with the aid of technological advances; they will also be exhibited for the participants to see, touch, behold, and -- in some cases -- actually operate. </w:t>
      </w:r>
    </w:p>
    <w:p w:rsidR="00000000" w:rsidDel="00000000" w:rsidP="00000000" w:rsidRDefault="00000000" w:rsidRPr="00000000" w14:paraId="000001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invited participants will include (1) the Chief Justices and other top magistrates of about 80 countries, (2) judicial educators, and (3) officials in charge of judicial reforms in their respective countries. Funding support from the World Bank, the ADB, the TAF, the Canadian International Development Agency (CIDA) and the USAID have made it possible for all interested participants to attend the conference-cum-showcase, free of registration fees. Invited magistrates, heads of judicial reform programs, and chancellors of judicial institutions will be given complimentary hotel accommodations, meals and local travel. Also, a limited number of international travel grants especially for developing countries will be available from donor partners upon request.</w:t>
      </w:r>
    </w:p>
    <w:p w:rsidR="00000000" w:rsidDel="00000000" w:rsidP="00000000" w:rsidRDefault="00000000" w:rsidRPr="00000000" w14:paraId="000001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close of the three-day conference and showcase, the participants are expected to establish an Asia-Pacific Judicial Reform (APJR) Network. The APJR Network is envisioned to be the institutional vehicle for sharing lessons and best practices in implementing judicial reforms in our region of the world.</w:t>
      </w:r>
    </w:p>
    <w:p w:rsidR="00000000" w:rsidDel="00000000" w:rsidP="00000000" w:rsidRDefault="00000000" w:rsidRPr="00000000" w14:paraId="000001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Unity and Continuity</w:t>
      </w:r>
    </w:p>
    <w:p w:rsidR="00000000" w:rsidDel="00000000" w:rsidP="00000000" w:rsidRDefault="00000000" w:rsidRPr="00000000" w14:paraId="000001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a “Judge-to-Judge” Dialogue held in Davao City on July 15, 2005, a participant asked me a relevant question: “After the retirement of Chief Justice Davide on December 20, 2005, what will happen to the APJR?” My answer was simple and forthright: “It will continue, because the APJR is a project of the entire judiciary. True, Chief Justice Davide envisioned and started it. True, he gathered support for it locally and internationally. But the APJR is not his personal project. It has been undertaken and participated in by everyone in the judiciary -- from the Supreme Court to the lowest court, from the SC justices to the lowliest clerk in the farthest ends of our country.”</w:t>
      </w:r>
    </w:p>
    <w:p w:rsidR="00000000" w:rsidDel="00000000" w:rsidP="00000000" w:rsidRDefault="00000000" w:rsidRPr="00000000" w14:paraId="000001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you agree with that truism, then let us hold hands, stand united, and help us pursue our reform program until we achieve our avowed goal of rendering speedy and high-quality justice for all.</w:t>
      </w:r>
    </w:p>
    <w:p w:rsidR="00000000" w:rsidDel="00000000" w:rsidP="00000000" w:rsidRDefault="00000000" w:rsidRPr="00000000" w14:paraId="000001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16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6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75">
      <w:pPr>
        <w:pStyle w:val="Heading3"/>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3</w:t>
      </w:r>
    </w:p>
    <w:p w:rsidR="00000000" w:rsidDel="00000000" w:rsidP="00000000" w:rsidRDefault="00000000" w:rsidRPr="00000000" w14:paraId="00000176">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Global Support for Judicial Reforms</w:t>
      </w:r>
    </w:p>
    <w:p w:rsidR="00000000" w:rsidDel="00000000" w:rsidP="00000000" w:rsidRDefault="00000000" w:rsidRPr="00000000" w14:paraId="000001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greatly honored at being invited to be the guest speaker during today’s luncheon meeting of the Consular Corps of the Philippines. It was former Tourism Secretary and now Ivory Coast Honorary Consul Vince Carlos, your immediate past dean, who first broached the idea of my speaking here. In his letter of invitation, the dean of the Consular Corps -- Her Majesty’s Consul John Fielder -- asked me to talk about the judicial reforms espoused by our Supreme Court, as well as the forthcoming International Conference and Showcase on Judicial Reforms. Thus, I have gladly come to discuss with you these subjects that are close to my heart.</w:t>
      </w:r>
    </w:p>
    <w:p w:rsidR="00000000" w:rsidDel="00000000" w:rsidP="00000000" w:rsidRDefault="00000000" w:rsidRPr="00000000" w14:paraId="000001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a more personal perspective, I also welcome this opportunity to break bread with you. As some of you may know, I was once a member of your group. Many years before joining the Supreme Court, I was consul ad honorem of the Republic of Honduras. So, my presence today is really a long overdue reunion with you.</w:t>
      </w:r>
    </w:p>
    <w:p w:rsidR="00000000" w:rsidDel="00000000" w:rsidP="00000000" w:rsidRDefault="00000000" w:rsidRPr="00000000" w14:paraId="000001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upon assuming office on November 30, 1998, Chief Justice Hilario G. Davide Jr. immediately enunciated the “Davide Watch,” in which he envisioned a judiciary that would be “independent, effective and efficient, and worthy of public trust and confidence; and a legal profession that provides quality, ethical, accessible and cost-effective legal advice to our people.”</w:t>
      </w:r>
    </w:p>
    <w:p w:rsidR="00000000" w:rsidDel="00000000" w:rsidP="00000000" w:rsidRDefault="00000000" w:rsidRPr="00000000" w14:paraId="0000017A">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7B">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Wide-Ranging Reforms</w:t>
      </w:r>
    </w:p>
    <w:p w:rsidR="00000000" w:rsidDel="00000000" w:rsidP="00000000" w:rsidRDefault="00000000" w:rsidRPr="00000000" w14:paraId="000001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realize this vision for the judiciary and the legal profession, the Supreme Court approved on December 8, 2000, the “Action Program for Judicial Reform” or APJR. The Program is comprehensive and wide-ranging. It addresses all the possible concerns and problems of the Philippine judiciary: (1) case congestion and delay, 2) budget deficiency in the judiciary, 3) politicized system of judicial appointments, 4) lack of judicial autonomy, (5) human resource development, (6) defective administrative structure, (7) insufficient public information and collaboration with society, (8) perceived corruption in the judicial department, and (9) limited access to justice by the poor.</w:t>
      </w:r>
    </w:p>
    <w:p w:rsidR="00000000" w:rsidDel="00000000" w:rsidP="00000000" w:rsidRDefault="00000000" w:rsidRPr="00000000" w14:paraId="000001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the APJR seeks to solve three major problems: corruption, incompetence and delay in the delivery of justice. As a memory guide, I refer to these three problems as the “CID” targets of judicial reform.</w:t>
      </w:r>
    </w:p>
    <w:p w:rsidR="00000000" w:rsidDel="00000000" w:rsidP="00000000" w:rsidRDefault="00000000" w:rsidRPr="00000000" w14:paraId="000001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address these concerns, more than 100 specific projects and programs have been launched since the year 2000. The projects cover all areas of concern in the delivery of justice, starting with the judges -- their education, their aptitude for the minutiae of decision making, and their ethical character. They also include judicial tools, especially new computerized systems to speed up the delivery of quality justice, as well as the reform of the judicial disciplinary process. Finally, they extend to the improvement of judicial compensation, the construction of dignified courthouses, the provision of adequate equipment, and the use of alternative dispute resolution mechanisms. The projects are being pursued, coordinated, monitored and implemented vigorously by our Supreme Court through </w:t>
      </w:r>
      <w:r w:rsidDel="00000000" w:rsidR="00000000" w:rsidRPr="00000000">
        <w:rPr>
          <w:rFonts w:ascii="Georgia" w:cs="Georgia" w:eastAsia="Georgia" w:hAnsi="Georgia"/>
          <w:color w:val="000000"/>
          <w:sz w:val="22"/>
          <w:szCs w:val="22"/>
          <w:rtl w:val="0"/>
        </w:rPr>
        <w:t xml:space="preserve">its Program Management Office (PMO).</w:t>
      </w:r>
      <w:r w:rsidDel="00000000" w:rsidR="00000000" w:rsidRPr="00000000">
        <w:rPr>
          <w:rtl w:val="0"/>
        </w:rPr>
      </w:r>
    </w:p>
    <w:p w:rsidR="00000000" w:rsidDel="00000000" w:rsidP="00000000" w:rsidRDefault="00000000" w:rsidRPr="00000000" w14:paraId="0000017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Predictability in the Dispensation of Justice</w:t>
      </w:r>
    </w:p>
    <w:p w:rsidR="00000000" w:rsidDel="00000000" w:rsidP="00000000" w:rsidRDefault="00000000" w:rsidRPr="00000000" w14:paraId="000001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APJR has been crafted on the proposition that stability and predictability in the dispensation of justice are indispensable requirements of good governance, which is in turn a prerequisite of economic development. In other words, the observance of the rule of law is necessary in a democracy to enable the government to improve the economic plight of the people. Indeed, speedy justice, democracy and the economy are intertwined into one tapestry of governance.</w:t>
      </w:r>
    </w:p>
    <w:p w:rsidR="00000000" w:rsidDel="00000000" w:rsidP="00000000" w:rsidRDefault="00000000" w:rsidRPr="00000000" w14:paraId="000001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Due to our limited time, I will not be able to cover all these over 100 projects. Let me just say that we in the judiciary are very pleased with the enthusiastic support and assistance given the APJR by the international community, especially multinational developmental agencies, like the United Nations Development Program (UNDP), the World Bank (WB), the Asian Development Bank (ADB) and The Asia Foundation (TAF); as well as national aid agencies from Australia, Canada, the European Union, Great Britain, Japan, the Netherlands and the United States.</w:t>
      </w:r>
    </w:p>
    <w:p w:rsidR="00000000" w:rsidDel="00000000" w:rsidP="00000000" w:rsidRDefault="00000000" w:rsidRPr="00000000" w14:paraId="000001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audience this afternoon is composed of members of the consular corps, let me speak of the judicial reform projects supported by the foreign partners of our judiciary.</w:t>
      </w:r>
    </w:p>
    <w:p w:rsidR="00000000" w:rsidDel="00000000" w:rsidP="00000000" w:rsidRDefault="00000000" w:rsidRPr="00000000" w14:paraId="0000018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5">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UNDP Assistance</w:t>
      </w:r>
    </w:p>
    <w:p w:rsidR="00000000" w:rsidDel="00000000" w:rsidP="00000000" w:rsidRDefault="00000000" w:rsidRPr="00000000" w14:paraId="000001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UNDP funded the preparation of the “Blueprint of Action for the Judiciary,” from which our present and more comprehensive Action Program for Judicial Reform owes its origin. UNDP followed through with a package of studies and technical assistance aimed at (1) strengthening not just the judiciary itself, especially the Shari’a courts, but also the other pillars of our criminal justice system like the Philippine National Police; and (2) facilitating the poor’s access to the justice system.</w:t>
      </w:r>
    </w:p>
    <w:p w:rsidR="00000000" w:rsidDel="00000000" w:rsidP="00000000" w:rsidRDefault="00000000" w:rsidRPr="00000000" w14:paraId="000001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Included in the “Access to Justice” aspect of UNDP sponsorship are the following: (a) a diagnostic study of the capabilities and limitations of the Department of Justice; (b) a research on how penal institutions work; and (c) a participatory program to assess the strengths and weaknesses of our jails. I should add here the jail decongestion project – undertaken by the Integrated Bar of the Philippines (IBP) with UNDP funding -- in the Manila, Pasay, Quezon City and Pasig City jails. Worth mentioning as another UNDP concern is the elimination of gender bias and the equalization of political and civil opportunities for both men and women.</w:t>
      </w:r>
    </w:p>
    <w:p w:rsidR="00000000" w:rsidDel="00000000" w:rsidP="00000000" w:rsidRDefault="00000000" w:rsidRPr="00000000" w14:paraId="000001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World Bank Assistance</w:t>
      </w:r>
    </w:p>
    <w:p w:rsidR="00000000" w:rsidDel="00000000" w:rsidP="00000000" w:rsidRDefault="00000000" w:rsidRPr="00000000" w14:paraId="000001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World Bank generously provided grants and loans through a </w:t>
      </w:r>
      <w:r w:rsidDel="00000000" w:rsidR="00000000" w:rsidRPr="00000000">
        <w:rPr>
          <w:rFonts w:ascii="Georgia" w:cs="Georgia" w:eastAsia="Georgia" w:hAnsi="Georgia"/>
          <w:color w:val="000000"/>
          <w:sz w:val="22"/>
          <w:szCs w:val="22"/>
          <w:rtl w:val="0"/>
        </w:rPr>
        <w:t xml:space="preserve">comprehensive agreement called the Judicial Reform Support Program or JRSP.</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color w:val="000000"/>
          <w:sz w:val="22"/>
          <w:szCs w:val="22"/>
          <w:rtl w:val="0"/>
        </w:rPr>
        <w:t xml:space="preserve">In line</w:t>
      </w:r>
      <w:r w:rsidDel="00000000" w:rsidR="00000000" w:rsidRPr="00000000">
        <w:rPr>
          <w:rFonts w:ascii="Georgia" w:cs="Georgia" w:eastAsia="Georgia" w:hAnsi="Georgia"/>
          <w:sz w:val="22"/>
          <w:szCs w:val="22"/>
          <w:rtl w:val="0"/>
        </w:rPr>
        <w:t xml:space="preserve"> with this program, the WB has funded, among others, (1) a “Multi-Stakeholders’ Forum on the APJR”; (2) the e-library, the first fully electronic library in Asia, launched by the Supreme Court in November 2004; (3) computer-aided transcription (CAT) facilities; (4) the preparation of an infrastructure master plan and a judiciary-wide automated case management system; and (5) the judiciary’s case decongestion and delay reduction project. Funds for the capability-building program of the Supreme Court (SC) and its seminars for its employees on the Code of Conduct for Judicial Personnel are also being provided by the Bank.</w:t>
      </w:r>
    </w:p>
    <w:p w:rsidR="00000000" w:rsidDel="00000000" w:rsidP="00000000" w:rsidRDefault="00000000" w:rsidRPr="00000000" w14:paraId="000001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facilitate access to the judicial system, especially by the poor and the disadvantaged, the Supreme Court recently inaugurated its “Justice on Wheels” program with the assistance of the Bank. Already, our first mobile court has made an impact on decongesting jails and speedily resolving family problems in Metro Manila.</w:t>
      </w:r>
    </w:p>
    <w:p w:rsidR="00000000" w:rsidDel="00000000" w:rsidP="00000000" w:rsidRDefault="00000000" w:rsidRPr="00000000" w14:paraId="000001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with a loan from the World Bank, the Supreme Court is building model electronic courts in selected areas as a preview of a future nationwide courtroom construction program. Just recently, the Bank has generously acceded to finance the rehabilitation of the </w:t>
      </w:r>
      <w:r w:rsidDel="00000000" w:rsidR="00000000" w:rsidRPr="00000000">
        <w:rPr>
          <w:rFonts w:ascii="Georgia" w:cs="Georgia" w:eastAsia="Georgia" w:hAnsi="Georgia"/>
          <w:color w:val="000000"/>
          <w:sz w:val="22"/>
          <w:szCs w:val="22"/>
          <w:rtl w:val="0"/>
        </w:rPr>
        <w:t xml:space="preserve">old Government Service Insurance System (GSIS) building, located on Arroceros Street in</w:t>
      </w:r>
      <w:r w:rsidDel="00000000" w:rsidR="00000000" w:rsidRPr="00000000">
        <w:rPr>
          <w:rFonts w:ascii="Georgia" w:cs="Georgia" w:eastAsia="Georgia" w:hAnsi="Georgia"/>
          <w:sz w:val="22"/>
          <w:szCs w:val="22"/>
          <w:rtl w:val="0"/>
        </w:rPr>
        <w:t xml:space="preserve"> Manila, for its eventual conversion into a modern Hall of Justice for Manila trial courts.</w:t>
      </w:r>
    </w:p>
    <w:p w:rsidR="00000000" w:rsidDel="00000000" w:rsidP="00000000" w:rsidRDefault="00000000" w:rsidRPr="00000000" w14:paraId="000001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World Bank has sponsored several SC justices’ visits to other jurisdictions to observe reform and modernization projects in those places. Because of the visits, ideas on case computerization, electronic library, mobile courts, electronic docket fee payments, and halls of justice reconstruction were absorbed by the Filipino participants, who quickly implemented them here with appropriate modifications to suit our own judicial structure and system. During those visits also, the holding of the International Conference and Showcase on Judicial Reform was born of the perceived need of various countries to share knowledge and reform projects among themselves. I shall discuss this matter in more detail later.</w:t>
      </w:r>
    </w:p>
    <w:p w:rsidR="00000000" w:rsidDel="00000000" w:rsidP="00000000" w:rsidRDefault="00000000" w:rsidRPr="00000000" w14:paraId="0000018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F">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ADB Assistance</w:t>
      </w:r>
    </w:p>
    <w:p w:rsidR="00000000" w:rsidDel="00000000" w:rsidP="00000000" w:rsidRDefault="00000000" w:rsidRPr="00000000" w14:paraId="000001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ADB has granted the SC over US$1 million to fund a comprehensive study on “Strengthening the Independence and Defining the Accountability of the Judiciary.” This study reviewed the organizational, administrative and financial structures of the judiciary; and proposed their revision and streamlining to ensure independence, transparency and accountability. The ADB has also funded (1) various judges’ forums on the role of courts in environmental protection; and (2) a training course in Japan on performance evaluation, court administration, judicial career development, and judicial education.</w:t>
      </w:r>
    </w:p>
    <w:p w:rsidR="00000000" w:rsidDel="00000000" w:rsidP="00000000" w:rsidRDefault="00000000" w:rsidRPr="00000000" w14:paraId="000001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USAID Assistance</w:t>
      </w:r>
    </w:p>
    <w:p w:rsidR="00000000" w:rsidDel="00000000" w:rsidP="00000000" w:rsidRDefault="00000000" w:rsidRPr="00000000" w14:paraId="00000193">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Fourth, the United States Agency for International Development (USAID) has assisted about 30 judiciary reform activities and projects covering the entire gamut of the APJR. Among the major reform undertakings funded by the USAID are the Case Flow Management Pilot Project (CFMPP) in the Pasay City courts, a manual of uniform writing style for the Supreme Court, the various Justice-to-Justice and Judge-to-Judge Dialogues, </w:t>
      </w:r>
      <w:r w:rsidDel="00000000" w:rsidR="00000000" w:rsidRPr="00000000">
        <w:rPr>
          <w:rFonts w:ascii="Georgia" w:cs="Georgia" w:eastAsia="Georgia" w:hAnsi="Georgia"/>
          <w:color w:val="000000"/>
          <w:sz w:val="22"/>
          <w:szCs w:val="22"/>
          <w:rtl w:val="0"/>
        </w:rPr>
        <w:t xml:space="preserve">the DOJ Reform Agenda, the E-Commerce Law Workshops, and Judicial Ethics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color w:val="000000"/>
          <w:sz w:val="22"/>
          <w:szCs w:val="22"/>
          <w:rtl w:val="0"/>
        </w:rPr>
        <w:t xml:space="preserve">Symposia.</w:t>
      </w:r>
    </w:p>
    <w:p w:rsidR="00000000" w:rsidDel="00000000" w:rsidP="00000000" w:rsidRDefault="00000000" w:rsidRPr="00000000" w14:paraId="000001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funding from the USAID and The Asia Foundation, consultations have been held with the bar and the bench on memoranda, recognizance, summary procedure and affordability constraints on access to justice.</w:t>
      </w:r>
    </w:p>
    <w:p w:rsidR="00000000" w:rsidDel="00000000" w:rsidP="00000000" w:rsidRDefault="00000000" w:rsidRPr="00000000" w14:paraId="000001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activities include a review of the barangay justice system in the Philippines, the strengthening of legal protection for children, and the improvement and eventual computerization of the bar examinations. The Philippine judiciary has also received technical assistance for (1) docket decongestion at the Court of Appeals and the Sandiganbayan, (2) law and economics, and (3) corporate governance.</w:t>
      </w:r>
    </w:p>
    <w:p w:rsidR="00000000" w:rsidDel="00000000" w:rsidP="00000000" w:rsidRDefault="00000000" w:rsidRPr="00000000" w14:paraId="0000019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7">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Asia Foundation Assistance</w:t>
      </w:r>
    </w:p>
    <w:p w:rsidR="00000000" w:rsidDel="00000000" w:rsidP="00000000" w:rsidRDefault="00000000" w:rsidRPr="00000000" w14:paraId="000001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Asia Foundation (TAF) has supported a number of “Chamber to Chamber” Dialogues. Named after the “chambers” of magistrates and the “chambers” of commerce throughout the country, these Dialogues facilitate the discussion of concerns of the business community. Assisted by TAF, the judiciary has also embarked on a pilot student apprenticeship program to train selected third year and fourth year law students in Metro Manila in legal research and to expose them to actual court proceedings. Presently, TAF is funding teaching exemplars of the rule of law under the Public Education on the Rule of </w:t>
      </w:r>
      <w:r w:rsidDel="00000000" w:rsidR="00000000" w:rsidRPr="00000000">
        <w:rPr>
          <w:rFonts w:ascii="Georgia" w:cs="Georgia" w:eastAsia="Georgia" w:hAnsi="Georgia"/>
          <w:color w:val="000000"/>
          <w:sz w:val="22"/>
          <w:szCs w:val="22"/>
          <w:rtl w:val="0"/>
        </w:rPr>
        <w:t xml:space="preserve">Law Advancement and Support (PERLAS) project.</w:t>
      </w:r>
      <w:r w:rsidDel="00000000" w:rsidR="00000000" w:rsidRPr="00000000">
        <w:rPr>
          <w:rtl w:val="0"/>
        </w:rPr>
      </w:r>
    </w:p>
    <w:p w:rsidR="00000000" w:rsidDel="00000000" w:rsidP="00000000" w:rsidRDefault="00000000" w:rsidRPr="00000000" w14:paraId="000001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Partly funded by TAF are the LADR projects of the USAID, including a video production on the conduct of pretrial in civil and criminal cases, as well as on the use of depositions and modes of discovery.</w:t>
      </w:r>
    </w:p>
    <w:p w:rsidR="00000000" w:rsidDel="00000000" w:rsidP="00000000" w:rsidRDefault="00000000" w:rsidRPr="00000000" w14:paraId="0000019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B">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CIDA Assistance</w:t>
      </w:r>
    </w:p>
    <w:p w:rsidR="00000000" w:rsidDel="00000000" w:rsidP="00000000" w:rsidRDefault="00000000" w:rsidRPr="00000000" w14:paraId="000001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Canadian International Development Agency (CIDA) has given a Canadian $7 million grant to assist the SC’s Court Administration Management Information Systems (CAMIS) project, which is aimed at automating statistical data to improve case tracking and reporting.</w:t>
      </w:r>
    </w:p>
    <w:p w:rsidR="00000000" w:rsidDel="00000000" w:rsidP="00000000" w:rsidRDefault="00000000" w:rsidRPr="00000000" w14:paraId="000001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Through the CIDA, the Canadian government has likewise helped the SC come up with intensive study programs for judicial educators, judges and court officials, at the Commonwealth Judicial Education Institute in Halifax, Canada. The Canadian government has also donated computers to the Philippine Judicial Academy (Philja). Furthermore, it has provided assistance for the three major components of the Justice Reform Initiatives Support (JURIS) project: mediation as an alternative to litigation, judicial education and reform advocacy.</w:t>
      </w:r>
    </w:p>
    <w:p w:rsidR="00000000" w:rsidDel="00000000" w:rsidP="00000000" w:rsidRDefault="00000000" w:rsidRPr="00000000" w14:paraId="000001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F">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AusAID Assistance</w:t>
      </w:r>
    </w:p>
    <w:p w:rsidR="00000000" w:rsidDel="00000000" w:rsidP="00000000" w:rsidRDefault="00000000" w:rsidRPr="00000000" w14:paraId="000001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the Austrialian Agency for International Development (AusAID) has assisted the SC in the preparation, printing and circulation of the Benchbook for Trial Court Judges; the training needs assessment (TNA) of judicial personnel under the Australian Youth Ambassador for Development Program; and the “Justice Link,” a project partly financed also by the USAID and TAF to institutionalize a citizens’ feedback mechanism for the judiciary. In addition, the Philippine Australia Human Resource Development Facility </w:t>
      </w:r>
      <w:r w:rsidDel="00000000" w:rsidR="00000000" w:rsidRPr="00000000">
        <w:rPr>
          <w:rFonts w:ascii="Georgia" w:cs="Georgia" w:eastAsia="Georgia" w:hAnsi="Georgia"/>
          <w:color w:val="000000"/>
          <w:sz w:val="22"/>
          <w:szCs w:val="22"/>
          <w:rtl w:val="0"/>
        </w:rPr>
        <w:t xml:space="preserve">(PAHRDF) has approved two long-term programs for court employees.</w:t>
      </w:r>
      <w:r w:rsidDel="00000000" w:rsidR="00000000" w:rsidRPr="00000000">
        <w:rPr>
          <w:rtl w:val="0"/>
        </w:rPr>
      </w:r>
    </w:p>
    <w:p w:rsidR="00000000" w:rsidDel="00000000" w:rsidP="00000000" w:rsidRDefault="00000000" w:rsidRPr="00000000" w14:paraId="000001A1">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A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EU Assistance</w:t>
      </w:r>
    </w:p>
    <w:p w:rsidR="00000000" w:rsidDel="00000000" w:rsidP="00000000" w:rsidRDefault="00000000" w:rsidRPr="00000000" w14:paraId="000001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Eighth, a relatively new developmental partner, the European Union (EU) has given a grant of 2.73 million euros to cover the entire duration (2005 to 2008) of the project “Access to Justice for the Poor through Information, Education and Communication (IEC).” This program involves, among others, the training of the clerks of court of selected municipal courts and of barangay officials in selected parts of the country, in order to enable them to provide vital information on the legal rights of the poor and the disadvantaged. It has also given assistance to the project “Strengthening the Courts for Internally Displaced Persons and Communities.”</w:t>
      </w:r>
    </w:p>
    <w:p w:rsidR="00000000" w:rsidDel="00000000" w:rsidP="00000000" w:rsidRDefault="00000000" w:rsidRPr="00000000" w14:paraId="000001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5">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Japanese Assistance</w:t>
      </w:r>
    </w:p>
    <w:p w:rsidR="00000000" w:rsidDel="00000000" w:rsidP="00000000" w:rsidRDefault="00000000" w:rsidRPr="00000000" w14:paraId="000001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Ninth, the Japanese government and the Supreme Court are in the final stages of negotiation for a P600 million grant to build the Philja Training Center in Tagaytay. This Center will be the venue for the continuing education of incumbent judges, as well as a school for those aspiring to join the judiciary. The Philippines has likewise applied for a grant from Japan to cover part of the Judicial Administrative Reforms and Decentralization (JARD) project.</w:t>
      </w:r>
    </w:p>
    <w:p w:rsidR="00000000" w:rsidDel="00000000" w:rsidP="00000000" w:rsidRDefault="00000000" w:rsidRPr="00000000" w14:paraId="000001A7">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A8">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British and Dutch Assistance</w:t>
      </w:r>
    </w:p>
    <w:p w:rsidR="00000000" w:rsidDel="00000000" w:rsidP="00000000" w:rsidRDefault="00000000" w:rsidRPr="00000000" w14:paraId="000001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Tenth, the British Council has funded the National Forum on the Five Pillars of Justice. A project proposal for the strengthening of the Shari’a courts is also being considered for funding by the British government. Eleventh, the Netherlands has likewise given funds for baseline studies involving policy and human resource development.</w:t>
      </w:r>
    </w:p>
    <w:p w:rsidR="00000000" w:rsidDel="00000000" w:rsidP="00000000" w:rsidRDefault="00000000" w:rsidRPr="00000000" w14:paraId="000001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Conference and Showcase on Judicial Reforms</w:t>
      </w:r>
    </w:p>
    <w:p w:rsidR="00000000" w:rsidDel="00000000" w:rsidP="00000000" w:rsidRDefault="00000000" w:rsidRPr="00000000" w14:paraId="000001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Modesty aside, our judicial reform program has been acclaimed in many countries. To share our reform agenda with the other judiciaries of the world, the Philippine Supreme Court -- with grants from the World Bank, ADB, TAF and other developmental partners -- is sponsoring an International Conference and Showcase on Judicial Reforms on November 28- 30, 2005, at the Makati Shangrila Hotel.</w:t>
      </w:r>
    </w:p>
    <w:p w:rsidR="00000000" w:rsidDel="00000000" w:rsidP="00000000" w:rsidRDefault="00000000" w:rsidRPr="00000000" w14:paraId="000001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three-day global gathering is divided into (1) plenary and parallel sessions to facilitate the exchange of ideas, experiences, best practices and reform initiatives; and (2) a showcase, exhibit or road show of judicial reform projects being undertaken by the Philippines and other participating judiciaries.</w:t>
      </w:r>
    </w:p>
    <w:p w:rsidR="00000000" w:rsidDel="00000000" w:rsidP="00000000" w:rsidRDefault="00000000" w:rsidRPr="00000000" w14:paraId="000001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Funding support from the World Bank, ADB, TAF, USAID and CIDA has made possible the participation of all Chief Justices of about 80 countries and all other magistrates and judicial educators invited to attend the conference-cum-showcase, free of registration fee. Invited participants -- about 150 in all -- will be given complimentary hotel accommodations, meals and local travel. A limited number of international travel grants especially for developing countries will be available from donor partners upon request.</w:t>
      </w:r>
    </w:p>
    <w:p w:rsidR="00000000" w:rsidDel="00000000" w:rsidP="00000000" w:rsidRDefault="00000000" w:rsidRPr="00000000" w14:paraId="000001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0">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An Asia-Pacific Judicial Reform (APJR) Network</w:t>
      </w:r>
    </w:p>
    <w:p w:rsidR="00000000" w:rsidDel="00000000" w:rsidP="00000000" w:rsidRDefault="00000000" w:rsidRPr="00000000" w14:paraId="000001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close of the three-day conference and showcase, the participants are expected to establish an Asia-Pacific Judicial Reform (APJR) Network. The APJR Network is envisioned to be the institutional vehicle for continuing the initiatives started by the Conference.</w:t>
      </w:r>
    </w:p>
    <w:p w:rsidR="00000000" w:rsidDel="00000000" w:rsidP="00000000" w:rsidRDefault="00000000" w:rsidRPr="00000000" w14:paraId="000001B2">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B3">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Consular Corps Assistance</w:t>
      </w:r>
    </w:p>
    <w:p w:rsidR="00000000" w:rsidDel="00000000" w:rsidP="00000000" w:rsidRDefault="00000000" w:rsidRPr="00000000" w14:paraId="000001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may I thank you once again for giving me this opportunity to speak with you about the judicial reform program of the Supreme Court and the heart-warming support of the international community. I do not know of any other country that has enjoyed a similar degree of global assistance for the modernization of its judicial system. For this we are thankful. And, to show our gratitude, we vow to pursue these efforts until our goal of speedy delivery of quality justice is attained.</w:t>
      </w:r>
    </w:p>
    <w:p w:rsidR="00000000" w:rsidDel="00000000" w:rsidP="00000000" w:rsidRDefault="00000000" w:rsidRPr="00000000" w14:paraId="000001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close with the fervent hope that you would inform your respective judiciaries of our Judicial Reforms Conference and Showcase to be held this coming November. As conference chairman, may I repeat our invitation to your respective countries to participate in this unique gathering and exhibition. Together, let us roll out the red carpet in assuring the success of this judicial exchange aimed at improving the dispensation of justice in the world.</w:t>
      </w:r>
    </w:p>
    <w:p w:rsidR="00000000" w:rsidDel="00000000" w:rsidP="00000000" w:rsidRDefault="00000000" w:rsidRPr="00000000" w14:paraId="000001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1B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BF">
      <w:pPr>
        <w:pStyle w:val="Heading3"/>
        <w:ind w:left="0" w:firstLine="0"/>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4</w:t>
      </w:r>
    </w:p>
    <w:p w:rsidR="00000000" w:rsidDel="00000000" w:rsidP="00000000" w:rsidRDefault="00000000" w:rsidRPr="00000000" w14:paraId="000001C2">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Judicial Reform — Issues to Consider: The Philippines and Indonesia</w:t>
      </w:r>
    </w:p>
    <w:p w:rsidR="00000000" w:rsidDel="00000000" w:rsidP="00000000" w:rsidRDefault="00000000" w:rsidRPr="00000000" w14:paraId="000001C3">
      <w:pPr>
        <w:ind w:left="0"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Anthony Gerald Toft</w:t>
        <w:br w:type="textWrapping"/>
        <w:t xml:space="preserve">Chief Counsel for East Asia and the Pacific Region</w:t>
        <w:br w:type="textWrapping"/>
        <w:t xml:space="preserve">of the World Bank</w:t>
      </w:r>
    </w:p>
    <w:p w:rsidR="00000000" w:rsidDel="00000000" w:rsidP="00000000" w:rsidRDefault="00000000" w:rsidRPr="00000000" w14:paraId="000001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This lecture was the eighth in the Chief Justice Hilario G. Davide Jr. Distinguished Lecture Series. It was delivered by Anthony Gerald Toft on August 24, 2005, at the Freedom Hall of the Lyceum of the Philippines. I have included this “guest chapter” in my book to demonstrate how the outside world, particularly the international developmental institutions, look upon our Action Program for Judicial Reform (APJR). To introduce the readers of this book not only to the lecturer, but also to the World Bank, the “Introduction” I delivered on that occasion has been reproduced in the footnote. In deference to the author, this chapter has not been edited to conform to the style of this book.</w:t>
      </w:r>
    </w:p>
    <w:p w:rsidR="00000000" w:rsidDel="00000000" w:rsidP="00000000" w:rsidRDefault="00000000" w:rsidRPr="00000000" w14:paraId="000001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truly an honor to be invited to speak to this very distinguished audience. I feel among friends. And I am particularly honored to be speaking about a matter to an audience amongst whom there are world leaders on the subject: the challenge of reforming judiciaries. I want to make it very clear, however, that I speak today for myself, and not on behalf of the World Bank. The views I give are mine. If I mischaracterize situations or misstate facts, I alone am responsible for such!</w:t>
      </w:r>
    </w:p>
    <w:p w:rsidR="00000000" w:rsidDel="00000000" w:rsidP="00000000" w:rsidRDefault="00000000" w:rsidRPr="00000000" w14:paraId="000001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Justice Panganiban has just mentioned, I had the good fortune to attend a meeting of chief justices in New Zealand in 2001. It was just after September 11, and my boss the general counsel of the World Bank had to stay in Washington. I was given a speech to present that I frankly thought could have been better. And I was further expected to speak about matters I didn’t really feel too qualified to do. So I took some liberties and spoke a little about a matter that I had some knowledge about, namely the judicial reform program then getting under way in the Philippines – and the prospects for such reform in Indonesia. And it is concerning the former, judicial reform in your country, that I want to make some remarks about today. I’m going to commence by talking a little about aspects of the governance challenge in Indonesia, not just because that is a situation that I know rather better -- but because sometimes comparing situations can be illuminating. I will to a significant extent leave it to you to draw comparisons between what I say about Indonesia and your situation in the Philippines, and to draw your own conclusions from that comparison.</w:t>
      </w:r>
    </w:p>
    <w:p w:rsidR="00000000" w:rsidDel="00000000" w:rsidP="00000000" w:rsidRDefault="00000000" w:rsidRPr="00000000" w14:paraId="000001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want to start by what may seem like a digression from my theme about judicial reform. I want to tell you why I came to be interested in judicial reform in Indonesia. For in that story I like to think there is something of a parallel with why the World Bank itself is interested in judicial reform.</w:t>
      </w:r>
    </w:p>
    <w:p w:rsidR="00000000" w:rsidDel="00000000" w:rsidP="00000000" w:rsidRDefault="00000000" w:rsidRPr="00000000" w14:paraId="000001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went to Indonesia on a leave-of-absence from the World Bank at the very beginning of 1997. I wound up staying there more than 7 and a half years, the last five and a half back with the World Bank. It was a fascinating time for it was [a time of] huge changes in that wonderful country:</w:t>
      </w:r>
    </w:p>
    <w:p w:rsidR="00000000" w:rsidDel="00000000" w:rsidP="00000000" w:rsidRDefault="00000000" w:rsidRPr="00000000" w14:paraId="000001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Indonesia was booming when I arrived – to work with a law firm there: hotels were loaded with foreigners seeking deals; many of my law firm’s clients were investment banks servicing corporate investors; friends working for Indonesian conglomerates were being courted, wined and dined; Indonesia’s judiciary was widely regarded as rotten, and the prosecutorial service was considered as a tool of President Suharto. There was no bankruptcy court. But: no one cared much. Investment was still pouring in. Commercial disputes were rarely, if, ever, settled in the courts: domestic commercial disputes were largely resolved behind closed doors, where financial muscle and/or political connections were the key determinants of outcomes. Foreign investors almost always had local partners, typically well-connected ones – and these individuals took care of disputes.</w:t>
      </w:r>
    </w:p>
    <w:p w:rsidR="00000000" w:rsidDel="00000000" w:rsidP="00000000" w:rsidRDefault="00000000" w:rsidRPr="00000000" w14:paraId="000001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Then... financial trouble in Thailand and Korea in July and August 1997 quickly spread to Indonesia: loans were not rolled over, creating immediate liquidity problems for local banks and companies, leading to a snowballing depreciation of the rupiah (Indonesia’s currency), which in turn</w:t>
      </w:r>
    </w:p>
    <w:p w:rsidR="00000000" w:rsidDel="00000000" w:rsidP="00000000" w:rsidRDefault="00000000" w:rsidRPr="00000000" w14:paraId="000001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exacerbated the problems of the banks and corporate sector, with large lay-offs picking up; political cohesion began to fray badly, and finally President Suharto fell in May 1998.</w:t>
      </w:r>
    </w:p>
    <w:p w:rsidR="00000000" w:rsidDel="00000000" w:rsidP="00000000" w:rsidRDefault="00000000" w:rsidRPr="00000000" w14:paraId="000001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One interesting question is the extent to which, if at all, Suharto thought, after his fall, that his decision to turn to IMF in the fall of 1997 contributed to that fall – because reform benchmarks were established that one way or another threatened the fabric of wealth and privilege that surrounded the Suharto family and its crony network, benchmarks that were only partially met, resulting in further losses in market confidence in the credibility of the Suharto government.</w:t>
      </w:r>
    </w:p>
    <w:p w:rsidR="00000000" w:rsidDel="00000000" w:rsidP="00000000" w:rsidRDefault="00000000" w:rsidRPr="00000000" w14:paraId="000001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After the fall of Suharto, three presidents came and went – and, of course, a fourth, President Yudhojono, was elected 11 months ago peacefully and without any accusations of the result being tainted by irregularities.</w:t>
      </w:r>
    </w:p>
    <w:p w:rsidR="00000000" w:rsidDel="00000000" w:rsidP="00000000" w:rsidRDefault="00000000" w:rsidRPr="00000000" w14:paraId="000001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Note: “elected” directly by the people of Indonesia – to be able to say that is a measure of how far Indonesia has come: a president directly elected by the people. This possibility – of a president being directly elected and of a peaceful democratic transfer of power from one president to another – in such a relatively short period of time after a prolonged period of what has to be characterized as autocratic rule, is by any standards truly remarkable.</w:t>
      </w:r>
    </w:p>
    <w:p w:rsidR="00000000" w:rsidDel="00000000" w:rsidP="00000000" w:rsidRDefault="00000000" w:rsidRPr="00000000" w14:paraId="000001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And there were other changes too in the months and years immediately following the fall of Suharto: East Timor was let go; the military was no longer allocated a percentage of DPR (parliament) seats, many governmental functions were devolved to the local level, to locally elected legislatures and, increasingly, locally elected officials; an extremely vibrant free press came into being and a commensurately vibrant “public” discourse about sensitive issues such as about how to deal with separatist tendencies, about corruption within the armed forces, the police, the judiciary, in parliament; and there were a host of economic changes, including the breaking up of some key monopolies, legislating the independence of the central bank, consolidation within the banking sector, significant corporate and corporate debt restructuring, the resumption of steady growth, that in turn has led to a significant reduction in poverty levels – and increasingly awful traffic jams in Jakarta once again.</w:t>
      </w:r>
    </w:p>
    <w:p w:rsidR="00000000" w:rsidDel="00000000" w:rsidP="00000000" w:rsidRDefault="00000000" w:rsidRPr="00000000" w14:paraId="000001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during the whole time I was living in Indonesia – until August of last year -- there was a troubling lack of real progress in addressing one issue that more or less everyone concerned with Indonesia – inside and outside – acknowledges was and is a major problem for Indonesia: pervasive corruption.</w:t>
      </w:r>
    </w:p>
    <w:p w:rsidR="00000000" w:rsidDel="00000000" w:rsidP="00000000" w:rsidRDefault="00000000" w:rsidRPr="00000000" w14:paraId="000001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Surveys show that on this issue, Indonesia continues to be viewed as among the most corrupt countries in the world. </w:t>
      </w:r>
    </w:p>
    <w:p w:rsidR="00000000" w:rsidDel="00000000" w:rsidP="00000000" w:rsidRDefault="00000000" w:rsidRPr="00000000" w14:paraId="000001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there is some debate as to the quality of some, if not all, such indices. But there is no doubt that not only many foreigners, but also most Indonesians, have viewed this issue to be a major concern and challenge: after all, the rallying cry against Suharto in the demonstrations that led to his fall was “down with KKN” – corruption, collusion, nepotism.</w:t>
      </w:r>
    </w:p>
    <w:p w:rsidR="00000000" w:rsidDel="00000000" w:rsidP="00000000" w:rsidRDefault="00000000" w:rsidRPr="00000000" w14:paraId="000001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the issue of KKN – corruption, collusion and nepotism -- continues to shape in a profound way the Indonesian political scene today: I think it fair to say that among the reasons why President Megawati did not succeed in her re-election bid, a key one was the perception of many, probably most, Indonesians that not only did corruption continue to flourish under her presidency, but that there was no real attempt on the part of the authorities to do anything significant about it. By contrast, the campaigns and rhetoric of her leading challengers clearly demonstrated that they thought the issue continued to resonate very powerfully in the country – and would make and break regimes.</w:t>
      </w:r>
    </w:p>
    <w:p w:rsidR="00000000" w:rsidDel="00000000" w:rsidP="00000000" w:rsidRDefault="00000000" w:rsidRPr="00000000" w14:paraId="000001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was particularly striking about Indonesian political and policy developments in the years immediately following Suharto’ fall was not so much the low standing of the Indonesian judiciary, but the near absence of positive expectations about that institution as an instrument, let alone a force, for playing any sort of significant role in addressing Indonesia’ massive banking and corporate debt crises – crises that in essence manifested themselves in contracts not being honored – and, perhaps more fundamentally, the near absence of positive expectations about that institution as an instrument and force for playing any sort of significant role in tackling corruption – a lack of expectation that extended to the police and attorney general’s office – the prosecutors of Indonesia. And, along with that lack of expectation was a lack of interest on the part of all but a handful of individuals in doing anything about reforming those institutions – the very institutions that must be relied on to provide a credible stick in any meaningful fight against corruption. It was tough to conclude, in fact, up to the inauguration of President Yudhojono, that there was any serious intent to wage a fight against corruption on the part of the political elites at all.</w:t>
      </w:r>
    </w:p>
    <w:p w:rsidR="00000000" w:rsidDel="00000000" w:rsidP="00000000" w:rsidRDefault="00000000" w:rsidRPr="00000000" w14:paraId="000001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why did we in the World Bank care about this? In part, the reason was that it was clear to us that perceptions that Indonesia’s justice sector institutions were lacking integrity were having a materially adverse impact on Indonesia’s ability to attract and/or retain the investment it needed to recover from the massive contraction in the economy that occurred in 1998 and 1999 and to attain the sort of growth rates Indonesia needs to provide jobs for a growing labor force (more than 1 million additional people become of working age every year) and to provide enhanced living standards for its citizens. And in part the reason for our caring was, frankly, a greater appreciation of the importance of governance issues to the cause of poverty reduction more generally. But we were concerned also because bad law enforcement unquestionably contributed powerfully to the existence of other major problems Indonesia confronted across a broad range of issues.</w:t>
      </w:r>
    </w:p>
    <w:p w:rsidR="00000000" w:rsidDel="00000000" w:rsidP="00000000" w:rsidRDefault="00000000" w:rsidRPr="00000000" w14:paraId="000001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law enforcement officials apparently could be so easily bought off, it was hardly surprising that Indonesia suffered – and still suffers – from almost catastrophic rates of deforestation and from widespread smuggling. Where law enforcement officials reportedly saw concerns about law and order as an opportunity to make money, it was hardly surprising that protection rackets proliferated and investors feared their employees and their assets would not be protected by the police. And, where ordinary people do not see the police as their protectors and the courts as a source of justice, it is easier to understand the phenomenon of mob “justice” and to understand why communal frictions can so rapidly generate into intense violence.</w:t>
      </w:r>
    </w:p>
    <w:p w:rsidR="00000000" w:rsidDel="00000000" w:rsidP="00000000" w:rsidRDefault="00000000" w:rsidRPr="00000000" w14:paraId="000001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this is not the occasion to analyze why the Indonesian justice sector institutions came held in such low regard. But I will say this: I think history shows that where you have non-democratic autocratic regimes – and especially military or military-dominated regimes – the likelihood is that the role of law enforcement authorities will be viewed by the political leadership, and will be so viewed by the justice sector institutions themselves, as being in the first instance not to serve the people but to preserve the authority of the state – or, to put it more bluntly, the authority of the governing regime; and that the judiciary’s role is not to serve as an instrument whereby government authorities can be held accountable for the way in which power is exercised, but rather as an instrument for the pro-forma validation and enforcement of the actions and decisions of the political authorities. By contrast, I think a strong democracy, where political power is almost by definition diffused, needs something rather fundamentally different: justice sector institutions that enjoy the respect and trust of the society from which they arise and amongst which they operate. And this leads me to the following conclusion: that the success of efforts to reform justice sector institutions needs ultimately to be measured, by their stakeholders and by themselves, by the degree to which the trust and respect of the society in which such institutions operate are obtained.</w:t>
      </w:r>
    </w:p>
    <w:p w:rsidR="00000000" w:rsidDel="00000000" w:rsidP="00000000" w:rsidRDefault="00000000" w:rsidRPr="00000000" w14:paraId="000001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so we in the World Bank began to devote considerable attention to the challenges of addressing corruption in Indonesia and, more broadly, of promoting better governance; and, in my case, of helping to foster justice sector reform in Indonesia.</w:t>
      </w:r>
    </w:p>
    <w:p w:rsidR="00000000" w:rsidDel="00000000" w:rsidP="00000000" w:rsidRDefault="00000000" w:rsidRPr="00000000" w14:paraId="000001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here I want to comment on the view held by many both inside and outside Indonesia that the World Bank had no credibility in speaking about corruption – and the broader issue of good governance -- in Indonesia because, so the view went – and still goes among many -- the World Bank in effect fueled the corruption of the Suharto years by massive lending into a situation where it knew public funds were being misused on a large scale by a regime it knew was authoritarian.</w:t>
      </w:r>
    </w:p>
    <w:p w:rsidR="00000000" w:rsidDel="00000000" w:rsidP="00000000" w:rsidRDefault="00000000" w:rsidRPr="00000000" w14:paraId="000001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I’m not going to address this issue at any length. But I do want to acknowledge it is an important “charge” that the World Bank should not shy away from addressing.</w:t>
      </w:r>
    </w:p>
    <w:p w:rsidR="00000000" w:rsidDel="00000000" w:rsidP="00000000" w:rsidRDefault="00000000" w:rsidRPr="00000000" w14:paraId="000001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 will say on this issue is that the World Bank as an economic development institution always faces the difficult challenge of how to contribute to the attainment of desirable developmental goals in less than perfect situations. Indeed, a good part of the challenge of development is precisely about good governance. Sometimes – in fact all too often – the governance situation in countries the World Bank has programs of assistance with is very poor. The World Bank could of course decide to walk away from such countries. And on occasion it has had to do so. But we always have to ask ourselves whether and how best we can provide value-added; and in most situations we conclude that walking away isn’t the answer. And one of the reasons is that if we were to walk away, many of the poverty alleviation programs that no other institution, except those such as the World Bank, would finance might well wither away. Of course remaining engaged has its price. And of course we sometimes get it wrong. But I think that Indonesia is one of those countries where we by and large got it right, including during the Suharto years: I think that just about every project the World Bank helped fund during those years had appropriate objectives, that the vast majority advanced the cause of development -- - and that our ability to influence the broader governance agenda was very limited.</w:t>
      </w:r>
    </w:p>
    <w:p w:rsidR="00000000" w:rsidDel="00000000" w:rsidP="00000000" w:rsidRDefault="00000000" w:rsidRPr="00000000" w14:paraId="000001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give but one example: the World Bank had serious misgivings in the 1990s about the way Indonesia was addressing its power generation needs. Specifically, it thought that the method of awarding independent power producing contracts was flawed. These views were conveyed to Indonesian Government unambiguously. The Government for the most part did not listen to us and one result was that we ceased to fund power generation. (I might also note that the non-competitive process by which many of these contracts were awarded eventually gave rise to intense political headaches for Suharto during his last weeks in office and for the Habibie presidency which followed.) But of course we did not cease to lend to Indonesia altogether: the development agenda was – and is – broad and there were plenty of areas where we could – and probably did – contribute constructively. Finding ways to do so is of course not always so easy. Judgment calls are needed – and we claim no monopoly of good judgement or wisdom. On the whole I think our assessment of our record in Indonesia during the Suharto years is that we were a contributor – a modest contributor – to a lot of the good things that happened to improve the lives of ordinary Indonesians.</w:t>
      </w:r>
    </w:p>
    <w:p w:rsidR="00000000" w:rsidDel="00000000" w:rsidP="00000000" w:rsidRDefault="00000000" w:rsidRPr="00000000" w14:paraId="000001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Suharto fell, the World Bank has made governance issues a core aspect of its assistance strategy for Indonesia. Part of the reason for doing so is, frankly, a greater appreciation of the importance of governance issues in dealing with the sort of concerns I mentioned a few minutes ago, and to the cause of poverty reduction more generally. But another reason is that political developments in Indonesia since the fall of Suharto opened up a “space” in which governance issues can be debated, where meaningful opportunities exist for advances in a “good governance” agenda to be achieved. The existence of such “space” is vital: if there is one lesson we have learned over our near 60 years of existence is that attempting to foist what we think are good policies on countries is a near-useless exercise; if there isn’t a genuine political receptivity to such policies within those countries, well-intentioned advice, and projects that are intended to promote such policies, are likely not to take root.</w:t>
      </w:r>
    </w:p>
    <w:p w:rsidR="00000000" w:rsidDel="00000000" w:rsidP="00000000" w:rsidRDefault="00000000" w:rsidRPr="00000000" w14:paraId="000001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important to note that we do not look at governance, including the issue of corruption, as essentially, or even primarily, a matter of its impact on investment. We see “governance” as a matter relevant to a much broader aspect of development, namely: how well are communities, locally and nationally, served by public institutions/authorities in the adoption and implementation of sound public policies and in the provision of public services?</w:t>
      </w:r>
    </w:p>
    <w:p w:rsidR="00000000" w:rsidDel="00000000" w:rsidP="00000000" w:rsidRDefault="00000000" w:rsidRPr="00000000" w14:paraId="000001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 </w:t>
      </w:r>
    </w:p>
    <w:p w:rsidR="00000000" w:rsidDel="00000000" w:rsidP="00000000" w:rsidRDefault="00000000" w:rsidRPr="00000000" w14:paraId="000001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now to the Philippines and the judicial reform program that is the product of the vision and energy and commitment of so many of you here today.</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became involved in the World Bank’s efforts to help the Philippine judiciary in the development of its reform program in early 2001. By then the program was well into its design phase. And the World Bank had already been making a modest contribution to the cause of judicial reform in the Philippines through its support for a number of research papers and analytical work on subjects such as case management, the causes of delays in disposal of cases, court administration challenges, judicial infrastructure requirements, and information strategy and priorities for the judiciary.</w:t>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interest in the Philippine program was frankly driven by my concerns about the challenges posed by the weaknesses of the Indonesian justice sector for reformers and for those like ourselves who wished to assist promote and support reform – and what could be learnt from the Philippine experience.</w:t>
      </w:r>
    </w:p>
    <w:p w:rsidR="00000000" w:rsidDel="00000000" w:rsidP="00000000" w:rsidRDefault="00000000" w:rsidRPr="00000000" w14:paraId="000001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frankly blew me away on first familiarizing myself with the Philippine program was just how visionary it was, how sophisticated it was – and how enviable it was. I can confidently say the judicial reform program of the Philippines is the most comprehensive in its scope and in its detail of any country in south-east and east Asia. But perhaps this not altogether surprising. The “position” of the Philippines judiciary, and especially the higher judiciary, is quite different from that found in many other countries of the region, including, for example, Indonesia.</w:t>
      </w:r>
    </w:p>
    <w:p w:rsidR="00000000" w:rsidDel="00000000" w:rsidP="00000000" w:rsidRDefault="00000000" w:rsidRPr="00000000" w14:paraId="000001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think it is accurate to say that the legal profession holds a high status in Philippines society. I think, for example, that a good measure of how a profession is regarded in a country is to look at the competition story for university places concerning those professions. I’m told that in the Philippines, getting a university place to study law is very competitive and considerable prestige is attached to being a law student. I have also noticed that the title of “attorney” seems to convey a mark of significant respect! And the Supreme Court clearly not only occupies a pivotal constitutional position in the Philippines polity but also is viewed by most Filipinos as a fundamentally important public institution and a key element of the system of checks and balances in the Philippine polity.</w:t>
      </w:r>
    </w:p>
    <w:p w:rsidR="00000000" w:rsidDel="00000000" w:rsidP="00000000" w:rsidRDefault="00000000" w:rsidRPr="00000000" w14:paraId="000001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contrast with Indonesia is striking: there, being a law student typically carries little prestige and competition for entry into law school is far from fierce. Few are impressed by someone being a lawyer. Being a judge carries very little prestige; being a Supreme Court justice carries very little more.</w:t>
      </w:r>
    </w:p>
    <w:p w:rsidR="00000000" w:rsidDel="00000000" w:rsidP="00000000" w:rsidRDefault="00000000" w:rsidRPr="00000000" w14:paraId="000001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observations are obviously in no way scientific. But I think they are basically accurate – and say a lot about expectations of society. Expectations – an element to which I will come back to.</w:t>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difference between the Philippines and many other countries in this part of the world, concerns the way other pillars of government view the judiciary. Again I will take Indonesia as my counterpoint: In Indonesia, at least until very recently, one simply did not get the impression that other parts of government attached much importance to judicial decisions or indeed to the judiciary itself. There are no landmark Supreme Court decisions that are ever referred to in any public policy debate. The Indonesian judiciary came in for very sharp criticism in the wake of the Asian crisis at the end of the Nineties among domestic human rights groups, the investor community and the donor community – including the World Bank. But there was no evidence that this debate was replicated at all within the executive or in the legislature. It was only in the aftermath of the Bali bombing that one began to see significant concern among political elites about whether the judiciary – and the police and prosecutors – would prove up to the task of bringing the perpetrators to justice, and not simply bring shame and embarrassment to Indonesia.</w:t>
      </w:r>
    </w:p>
    <w:p w:rsidR="00000000" w:rsidDel="00000000" w:rsidP="00000000" w:rsidRDefault="00000000" w:rsidRPr="00000000" w14:paraId="000001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this contrasts very significantly with the Philippines, as most of you know well. And in fact a great deal of credit goes to the Government of the Philippines for the reform program of the judiciary. To take just one example that I know well: reform programs are never costless, and the Action Program for Judicial Reform (the APJR) – the formal name for the Philippine judiciary’s reform program – is no exception. At a time of severe budgetary and fiscal constraints, the Government of the Philippines was prepared to borrow loan funds in a significant amount to assist in meeting some of the costs associated with the APJR. This is, in my view, an emphatic vote of support for a well-conceived program of reform and represents a wholly desirable interest of the Government in the quality of judicial service to the people of the Philippines.</w:t>
      </w:r>
    </w:p>
    <w:p w:rsidR="00000000" w:rsidDel="00000000" w:rsidP="00000000" w:rsidRDefault="00000000" w:rsidRPr="00000000" w14:paraId="000001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say “wholly desirable interest” because one of the key lessons we in the World Bank have drawn from our involvement in, or observation of, judicial reform programs around the world is that a key ingredient for any judicial reform program to really gain impetus and traction is a willingness of the executive, and typically also the legislative branch, to support reform by matching their rhetoric by their willingness to make the necessary budgetary investment.</w:t>
      </w:r>
    </w:p>
    <w:p w:rsidR="00000000" w:rsidDel="00000000" w:rsidP="00000000" w:rsidRDefault="00000000" w:rsidRPr="00000000" w14:paraId="000001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whatever else judicial independence means, it certainly doesn’t imply an absence of significant linkages to the other pillars of government. There are real and appropriate linkages, the most obvious example being the budget. I will return to this in a little while. </w:t>
      </w:r>
    </w:p>
    <w:p w:rsidR="00000000" w:rsidDel="00000000" w:rsidP="00000000" w:rsidRDefault="00000000" w:rsidRPr="00000000" w14:paraId="000001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1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now want to make some observations about the APJR and the way it is being implemented to date. In the course of doing this, I will challenge some of its specifics. I do this in what I fully intend is a wholly constructive spirit.</w:t>
      </w:r>
    </w:p>
    <w:p w:rsidR="00000000" w:rsidDel="00000000" w:rsidP="00000000" w:rsidRDefault="00000000" w:rsidRPr="00000000" w14:paraId="000001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my first, and to me my most important, observation is that the APJR has as good a prospect of success as any judicial reform program in the world today. And I say this with some confidence, for the APJR is fundamentally well rooted. It is rooted in the following vision:</w:t>
      </w:r>
    </w:p>
    <w:p w:rsidR="00000000" w:rsidDel="00000000" w:rsidP="00000000" w:rsidRDefault="00000000" w:rsidRPr="00000000" w14:paraId="000001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judiciary that is independent, effective and efficient, and worthy of public trust and confidence; and a legal profession that provides quality, ethical, accessible and cost-effective legal services to the people of the Philippines and is willing and able to answer the call to public service”.</w:t>
      </w:r>
    </w:p>
    <w:p w:rsidR="00000000" w:rsidDel="00000000" w:rsidP="00000000" w:rsidRDefault="00000000" w:rsidRPr="00000000" w14:paraId="000001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vision and these words are those of Chief Justice Davide. And in my humble view,</w:t>
      </w:r>
    </w:p>
    <w:p w:rsidR="00000000" w:rsidDel="00000000" w:rsidP="00000000" w:rsidRDefault="00000000" w:rsidRPr="00000000" w14:paraId="000001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vision captures the absolute essence of what all societies the world over and for all time should aspire to for their judiciaries:</w:t>
      </w:r>
    </w:p>
    <w:p w:rsidR="00000000" w:rsidDel="00000000" w:rsidP="00000000" w:rsidRDefault="00000000" w:rsidRPr="00000000" w14:paraId="000001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That judiciaries are about the provision of a public service </w:t>
      </w:r>
    </w:p>
    <w:p w:rsidR="00000000" w:rsidDel="00000000" w:rsidP="00000000" w:rsidRDefault="00000000" w:rsidRPr="00000000" w14:paraId="000001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That real justice must be ethically rooted </w:t>
      </w:r>
    </w:p>
    <w:p w:rsidR="00000000" w:rsidDel="00000000" w:rsidP="00000000" w:rsidRDefault="00000000" w:rsidRPr="00000000" w14:paraId="000001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That quality matters </w:t>
      </w:r>
    </w:p>
    <w:p w:rsidR="00000000" w:rsidDel="00000000" w:rsidP="00000000" w:rsidRDefault="00000000" w:rsidRPr="00000000" w14:paraId="000001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That it must be accessible to the poor and not just the mighty </w:t>
      </w:r>
    </w:p>
    <w:p w:rsidR="00000000" w:rsidDel="00000000" w:rsidP="00000000" w:rsidRDefault="00000000" w:rsidRPr="00000000" w14:paraId="000001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 That the ultimate test of a great judiciary is that it has the public’s trust.</w:t>
      </w:r>
    </w:p>
    <w:p w:rsidR="00000000" w:rsidDel="00000000" w:rsidP="00000000" w:rsidRDefault="00000000" w:rsidRPr="00000000" w14:paraId="000001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want to pay tribute to the way the APJR was put together: it didn’t materialize overnight and its designers didn’t shy away from learning from others.</w:t>
      </w:r>
    </w:p>
    <w:p w:rsidR="00000000" w:rsidDel="00000000" w:rsidP="00000000" w:rsidRDefault="00000000" w:rsidRPr="00000000" w14:paraId="000001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it was well-informed: For example, the APJR was built on a number of important diagnostic studies, including the following: an Assessment of Past Judicial Reform Efforts; Formulation of Administrative Reforms; Review of the Criminal Justice System: Review of Alternative Dispute Resolution Mechanisms; Review of the Barangay Justice System; Assessment of the Impact of Judicial Education and Directions for Change and Development; and Formulation of a Medium-Term Public Investment Program for the Judiciary. And I know of many focus-group meetings held, by those responsible for formulating and articulating the APJR, with judges, court personnel, civil society groups, executive branch officials, and with academics and students.</w:t>
      </w:r>
    </w:p>
    <w:p w:rsidR="00000000" w:rsidDel="00000000" w:rsidP="00000000" w:rsidRDefault="00000000" w:rsidRPr="00000000" w14:paraId="000001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also – and still is – a very real willingness to learn from the experience of other countries. This I found particularly refreshing when I first became involved with the APJR back in 2001. For one of the more frustrating experiences I had in Indonesia in my interactions with Indonesians on the issue of judicial reform in those days was the extreme reluctance – if not outright refusal – to acknowledge that the experience of other countries might be helpful and relevant to Indonesian thinking and efforts with respect to judicial reform. However, I want to note here a fact: in late 2003 the Chief Justice of the Supreme Court of Indonesia announced the adoption by the Supreme Court of a set of really impressive Blue Prints for Reform of the Indonesian Judiciary. The model – and in an important way the impetus -- for these Blue Prints was the APJR, which had been shared with them back in 2002.</w:t>
      </w:r>
    </w:p>
    <w:p w:rsidR="00000000" w:rsidDel="00000000" w:rsidP="00000000" w:rsidRDefault="00000000" w:rsidRPr="00000000" w14:paraId="000001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 want to inject here a note of caution about the extent to which the experiences of other judiciaries can be drawn upon. For it is very clear to me that ultimately justice sectors are home-spun affairs and touch the core of countries’ sovereignty and dignity. While legal systems and institutions may and do borrow heavily from others, local contexts are decisive. And this has clear implications for reform agendas.</w:t>
      </w:r>
    </w:p>
    <w:p w:rsidR="00000000" w:rsidDel="00000000" w:rsidP="00000000" w:rsidRDefault="00000000" w:rsidRPr="00000000" w14:paraId="000001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NZ Chief Justices Conference that Justice Panganiban and I attended in 2001 brought this point home to me in an interesting way. At one of the sessions, a number of chief justices described challenges their judiciaries faced and initiatives they were undertaking to deal with them. Among the speakers were the Chief Justice of the federal courts in Australia and the Chief Justice of Indonesia. The image that came to my mind when listening to the various accounts was that of car makers talking about the next year’s model and the changes being proposed. The Australian Chief Justice seemed to me to be talking about a BMW. The next year’s model was going to have an extra couple of inches of interior space without increasing the exterior dimensions of the vehicle. The hood was going to be sleeker and the quality of the leather was going to be upgraded in all models. Now, the peculiar thing about the Chief Justice of Indonesia’s speech was that it conjured up a very similar image: it was as if he were talking about tweaking a BMW model. But the “reality” was that the vehicle he was driving was a dilapidated old car with major engine problems, severe rusting and parts held together through clever improvisations. Moreover, there was no fuel – in the form of sustained support from the legislative and executive branches. How could such a car run at all, even if it had a willing driver in the seat? This brought home to me fairly forcefully the need to build reform programs around solid and realistic self-assessment, and the fact that there are real limits to how far the efforts of one judiciary in upgrading itself are likely to be of relevance to judiciaries elsewhere. Now, I want to hasten to add that in the case of Indonesia, the Blueprints I mentioned a minute ago were in fact the product of a superb iterative process of dialogue between the judiciary and elements of civil society.</w:t>
      </w:r>
    </w:p>
    <w:p w:rsidR="00000000" w:rsidDel="00000000" w:rsidP="00000000" w:rsidRDefault="00000000" w:rsidRPr="00000000" w14:paraId="000001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aspect of the APJR that I want to pay tribute to is the fact that Chief Justice Davide was prepared to look outside the court for assistance in managing the program. Now, I acknowledge that there will be some within the judiciary who are likely to question the involvement of non-judiciary personnel. And clearly, there is an indispensable need for the judges and court personnel of the judiciary to be active participants in any program that seek to reform the institution that they are a part of. For ultimately the men and women who make up the judiciary are the judiciary. During the course of the preparation of the project that the World Bank is honored to support in furtherance of the APJR, we constantly stressed the importance of having court personnel being fully involved in, and assuming leadership for, its design and its implementation. At the same time, however, managing the judiciary requires skills that are simply not in all cases unique to the judiciary, but rather are common to many large organizations. For example, many large hospitals around the world these days are run by professionals who are not doctors but rather have backgrounds of managing large institutions. And the same is true of running programs of institutional reform: while of course institutional reform is ultimately all about the particularities of individual organizations, there are many skills – for example, financial, administrative, human resource, and change management skills -- that apply to many large organizations. And finding and bringing such skills into a reform program is plain commonsense. My assessment of the Program Management Office for the APJR is that it stands out as “best practice”. While it should, in line with the evolving nature and course of the reform program, regularly assess itself and be assessed by the leadership of the Philippine judiciary with a view to ensuring it provides optimal service, for me it is a fact that the Program Management Office of the Philippine judiciary is a model that other countries would be really well served if they emulate it. The fact that it has been visited by officials from many countries is a testament to its reputation. I hear, too, that project offices in other countries implementing non-judicial projects also now want to visit the Program Management Office to observe good practice at first hand. </w:t>
      </w:r>
    </w:p>
    <w:p w:rsidR="00000000" w:rsidDel="00000000" w:rsidP="00000000" w:rsidRDefault="00000000" w:rsidRPr="00000000" w14:paraId="000001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1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now want to turn to some issues that I think should be considered by the judiciary as implementation of the APJR proceeds. And I will also touch on some issues relevant for the other pillars of government to consider – for, as you will recall, it is my firm view that judicial reform is ultimately not just a matter for the judiciary alone to be concerned with: independence of the judiciary does not imply the absence of appropriate links between the judiciary and the executive and legislative parts of government.</w:t>
      </w:r>
    </w:p>
    <w:p w:rsidR="00000000" w:rsidDel="00000000" w:rsidP="00000000" w:rsidRDefault="00000000" w:rsidRPr="00000000" w14:paraId="000001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 think it important to move from a thought process that treats reform as a special initiative to a mindset that views it as a permanent and continuing feature of good management. I do not claim to be a change management expert in any sense at all and so will not dwell on this point. But I think it obvious to all of us that the demands on the judiciary and the challenges faced by the judiciary are constantly evolving, in line with evolving economic, political, social and technological shifts and expectations in the country. The judiciary is certainly a golden thread in the fabric of most modern societies; but that fabric is constantly adjusting. A management philosophy that views its task as dealing with a static entity is one that will ultimately ill serve that organization and its stakeholders. In that sense, the APJR should not be viewed as a program to be found in a year 2000-and-something publication, but rather as an evolving plan for, and key instrument in, the management and operation of the Philippine judiciary -- in pursuit of what indeed is a timeless vision for the judiciary: that so eloquently articulated by Chief Justice Davide in the Davide Watch.</w:t>
      </w:r>
    </w:p>
    <w:p w:rsidR="00000000" w:rsidDel="00000000" w:rsidP="00000000" w:rsidRDefault="00000000" w:rsidRPr="00000000" w14:paraId="000001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judiciary needs to make a decisive shift towards a computer technology-based organization. I fully recognize the fact that the APJR places a significant emphasis on upgrading the courts’ information and communications systems technology – which is entirely welcome. And I also recognize that funding is a major issue. But my sense is that the court has not yet made the psychological leap that is required – and which is the real barrier to the shift I refer to. Part of this is a generational problem – I say this with a lot of trepidation and respect to this very distinguished audience! Although I like to think of myself as still young, this is wishful thinking! I observe my children, and I know they live in a world rather different from mine. Among the more obvious signs of this is the facility with which they handle computer software and their reliance on them for so much of what they do. I think all of us in this room know what I’m talking about – and know I’m right about this technological gap. But our generation’s habits and ignorance can no longer justify running such a fundamentally important public service as the judiciary on what amounts to a manual basis. However, I want to acknowledge that a great deal of thought has gone into the APJR by way of envisioning how the integrative power of information and communications technology (ICT) can be harnessed both to strengthen the efficiency of the judiciary, and to make judicial services more accessible to the public. I know also that among the members of the Bench there are passionate advocates of ICT in the service of judicial service delivery. I know, too, that you have already taken the first steps – for example through your electronic judicial library and the digitization of court records - in showing the direction you want to take. However, my suggestion is that the APJR is a window of opportunity – as you embark on the next stage of your reform effort – to examine even more deeply how ICT can best serve to move the Philippine judiciary into the front ranks of the world’s judiciaries, not least by integrating ICT into all aspects of planning, from court administration and budgeting to the very design of your court buildings and other infrastructure.</w:t>
      </w:r>
    </w:p>
    <w:p w:rsidR="00000000" w:rsidDel="00000000" w:rsidP="00000000" w:rsidRDefault="00000000" w:rsidRPr="00000000" w14:paraId="000002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there continues to be a real need to take a hard look at how the judiciary is resourced for the carrying out of its mandate, including the ever-present issue of highly constrained budgetary envelopes that afflicts public services in most countries in the world. This is not the occasion and nor am I remotely qualified to talk about the Philippines’ public expenditure priorities. So I will limit myself to three observations/comments this issue:</w:t>
      </w:r>
    </w:p>
    <w:p w:rsidR="00000000" w:rsidDel="00000000" w:rsidP="00000000" w:rsidRDefault="00000000" w:rsidRPr="00000000" w14:paraId="000002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many countries the expansion of the private sector has posed a significant challenge for the public sector to attract and retain the best and the brightest. I first went to Indonesia in 1981. In those days the main employers were the civil service, the armed forces and the oil and gas sector. The civil service was able to attract many of Indonesia’s most talented individuals, in part because of the lack of opportunities elsewhere in the economy. By 1997, when I returned to live there, the situation had changed very significantly. The Suharto years were overwhelmingly years of major economic strides forward. Particularly striking was the growth and diversification of the private sector. The disparities in income opportunities between the private and public sectors were large and growing. And the ability of the public service to recruit and retain people of the highest caliber was increasingly under stress. And the disparities in income between those in the private sector and those in the public sector were almost certainly a factor in the increasingly poor governance situation within the public service, including worsening corruption. Indonesia is far from the only country with this experience. Indeed, what I call the quality challenge facing the public sector is perhaps one of the most difficult developmental challenges in the world today. A new paradigm for the staffing and delivery of public services may well be in order.</w:t>
      </w:r>
    </w:p>
    <w:p w:rsidR="00000000" w:rsidDel="00000000" w:rsidP="00000000" w:rsidRDefault="00000000" w:rsidRPr="00000000" w14:paraId="000002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Wish-lists are great -- I’m often struck by how often so much of the content of State of Union addresses in the US is about such lists -- but what is also needed is a hard sense of realism. There are choices to be made, priorities to be established. The judiciary is of course not the only indispensable public service. Public investment in health and education, for example, is a developmental imperative. However, when considering how much to invest in the judiciary, it seems to me entirely relevant to note that in a democracy such as that of the Philippines, the judiciary is in a fundamental way the anchor of that democracy and a powerful force for stability. While there are many people in the US, for example, that are bitter about the outcome of the Supreme Court of the United States case concerning the Florida balloting in the 2000 presidential election, it seems to me difficult not to appreciate the fact that there was an institution to whom one could turn in extremis to bring about a peaceful resolution to an acutely politically charged state of affairs, in which no less an issue than the election of the President of the United States of America was at issue.</w:t>
      </w:r>
    </w:p>
    <w:p w:rsidR="00000000" w:rsidDel="00000000" w:rsidP="00000000" w:rsidRDefault="00000000" w:rsidRPr="00000000" w14:paraId="000002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give another example of what I see as the potential stabilizing power of the judiciary. In multi-religious, multi-ethnic, multi-lingual countries, the judiciary is increasingly seen as a potentially critical force for the protection of the rights of minorities, since electoral and administrative processes alone are often not sufficient for this. In Indonesia, the World Bank is currently supporting a program intended to assist communities rebuild their lives in post-conflict situations. One challenge we – the Indonesians and ourselves – faced in designing the project was how to avoid the situation where the very assistance being provided doesn’t become the cause of more conflict: allegations of misappropriation or misuse of public funds provided by the project becoming the trigger for renewed communal tensions as people see – rightly or wrongly – the hand of communal discrimination behind the alleged abuses. So there is a significant focus in the project on how to provide trustworthy dispute resolution and law enforcement mechanisms. It is the fact that Indonesian justice sector institutions are simply not trusted enough by communities that makes this the problem that it is. While it would clearly be claiming too much to say that a judiciary trusted in the land, and easily accessible to communities throughout that land, would be a decisive force in preventing communal tensions from degenerating into violence, the absence of such is certainly is a contributing force of social fragility.</w:t>
      </w:r>
    </w:p>
    <w:p w:rsidR="00000000" w:rsidDel="00000000" w:rsidP="00000000" w:rsidRDefault="00000000" w:rsidRPr="00000000" w14:paraId="000002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My final comment on the issue of how the Philippine judiciary is resourced for carrying out its mandate concerns the role of local governments in helping resource the judiciary, typically in the form of providing building space. I have no doubt that local governments overwhelmingly step in to assist the judiciary on the basis of entirely appropriate considerations. However, the potential that arises for conflicts of interest should be of concern to the judiciary and policy makers. Of course the courts are also ultimately dependent on the other pillars of government at the national level for funding. But at the local level, where professional and public service communities are often small and mingle on a daily basis, I think the potential for a conflict of interest in situations where the courts are asked to rule on matters concerning the rights or obligations or behavior of local officials, is simply different and more real. This is an admittedly difficult issue, more especially in a time of significant budgetary constraints. And I know that this is an issue that is on the APJR agenda. But it is one of those agenda items that I think warrants a higher profile, as it ultimately speaks to one of the key challenges the judiciary faces: justice at the local level.</w:t>
      </w:r>
    </w:p>
    <w:p w:rsidR="00000000" w:rsidDel="00000000" w:rsidP="00000000" w:rsidRDefault="00000000" w:rsidRPr="00000000" w14:paraId="000002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brings me to the fourth issue that I think should be considered by the judiciary as implementation of the APJR proceeds, namely the question of investing in court premises. As many of you will know, the project currently being supported by World Bank financing includes the rehabilitation of 3 court houses. Court premises are obviously a major issue for the judiciary: they are where court personnel work and they are the tangible and visible aspect of the judiciary. I have been lucky enough to visit a number of court houses in the Philippines in the course of the past 4 years. And I have to say many are in quite shocking condition. And I have to say I admire the dignity maintained by many of the judges I have met when the surroundings in which they work are anything but dignified. I think I can say with confidence that there is clearly an absolute need to upgrade court premises throughout the Philippines. I remember, for example, visiting the courts in Cagayan d’Oro. The place had somewhat the feel of a railway terminal – a lot of to-ing and fro-ing, with a lot of people going in all directions. Going down the main corridor, with court rooms on the right and court administration offices on the left, I noticed a lot of scruffy looking cardboard boxes, full of papers and other stuff, all along the left wall, leaving little room for the constant traffic of people going up and down the corridor to pass. I asked one of the judges showing us around why these boxes were there. Of course the answer was a lack of filing and storage space. But what shocked me was that he also added that most of the boxes were full of evidence material concerning ongoing cases! So, there is no doubt that court premises need to be improved upon and it is tough to begrudge devoting as much as possible to doing just that. But in deciding what is possible, I think a key factor to be taken into consideration is accessibility of court premises to ordinary people. This is a very real challenge in countries like the Philippines, which consists of many islands and even more isolated communities. To my way of thinking, investing in mobile courts – buses and boats – is the way to go. The judiciary, to its great credit in my view, has already invested in a mobile court here in metro Manila, and is in the process of bringing into operation two more. My advice is: many more. And if that means less for the construction of new premises, so be it. Justice for the poor has many dimensions. A very real one for many poor people is physical access. Bringing court premises to the people would make a very powerful statement by the judiciary that it is indeed committed to being an institution that is there for all the people.</w:t>
      </w:r>
    </w:p>
    <w:p w:rsidR="00000000" w:rsidDel="00000000" w:rsidP="00000000" w:rsidRDefault="00000000" w:rsidRPr="00000000" w14:paraId="000002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fifth comment concerns the special challenge of religious minorities in the Philippines. I think I’m correct to say that 10% of the population of this country are Muslims, of whom a significant percentage reside in Luzon, mostly in and around Metro Manila. This raises the issue of sharia courts. Let me say straight away that there is a great deal that I do not know about the functioning of sharia courts in the Philippines: I do not know how many Sharia courts are functioning in the country; how heavy are their case loads; whether, if they are very light, this is an indication of lack of trust or credibility; or a question of difficulty of access -- or both; or, if the case load is very heavy, whether this is an indication of underresourcing. Nor do I have figures on the representation of Muslims in the judiciary and justice sector more generally: the proportion of Muslims in the judiciary across the country; in the Metro Manila area; among prosecutors, police, correctional services, probation services, and other branches of the justice sector, or within the higher judiciary. I do think that the existence of sharia courts in an overwhelmingly Catholic country says something very positive about the Philippines. However, my sense is that it is important to maintain, and perhaps increase, efforts on the part of the upper echelons of the judiciary to ensure that the personnel of the sharia courts feel themselves as an fully integral part of the Philippine judiciary. I can only draw on one experience to explain this “sense” of mine: when I visited the court in Cagayan d’Oro back in 2001, a meeting was arranged for myself and my colleague Waleed Malik, who some of you know, to meet two judges of a sharia court. We met in our hotel; and it was a somewhat uncomfortable meeting. The problem was not one of awkwardness between us: there was little to none of that. It was partly what the two gentlemen had to say: sentiments of marginalization and being outsiders. And it was partly the very body language of the meeting: a lack of comfort on their part in a milieu of judges present for the centennial celebrations of the court. I recognize it is risky to draw conclusions from one meeting. But it was troubling.</w:t>
      </w:r>
    </w:p>
    <w:p w:rsidR="00000000" w:rsidDel="00000000" w:rsidP="00000000" w:rsidRDefault="00000000" w:rsidRPr="00000000" w14:paraId="000002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final comment in connection with the APJR concerns continuing education and professional development. I simply want to applaud the efforts of Justice Herrera and others in the judiciary in making this a central part of the reform agenda. Being a legal practitioner, like being a medical doctor, requires a commitment to continuous learning. The law deals with the real world. The decisions of judges have real consequences. For example, many decisions have significant economic or commercial consequences for society. I’m not implying in any sense here the need to have a pro-business bias. Far from it. But because there are such consequences – often far reaching, it is absolutely incumbent that judges dealing with commercial issues or issues that having a commercial consequence be as well informed as possible about commercial realities, and fully aware of the likely consequences of their decisions. In Indonesia there is a criminal case coming up for trial concerning allegations of the polluting of waters in Sulawesi by the Indonesian subsidiary of a large foreign mining company, in which it is claimed that the alleged pollution caused what appears to be a highly abnormal incidence of cancer outbreaks in the neighborhood of the mine. The presiding judge of the local court apparently openly fretted about her competence to understand the complexities of the environmental issues at stake. The Supreme Court very recently heeded her concerns by replacing her on the case by a judge with considerable experience in trying environmental cases and who had recently attended an advanced course on environmental law issues overseas. I think this is entirely appropriate: quality outputs require quality inputs.</w:t>
      </w:r>
    </w:p>
    <w:p w:rsidR="00000000" w:rsidDel="00000000" w:rsidP="00000000" w:rsidRDefault="00000000" w:rsidRPr="00000000" w14:paraId="000002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 few words about the broader justice sector. The judiciary does not exist in isolation from that broader community. To repeat what I just said: quality outputs require quality inputs. In Indonesia, the courts, as I have implied earlier, have come in for a great deal of criticism: criticism for making bad decisions that are not explained or explainable. But often there is an explanation, and moreover an explanation that has little or nothing to do with the court’s competence or probity, but rather to do with poorly conceived, badly drafted legislation or regulation, or with the competence or probity of lawyers or prosecutors or the police. The World Bank supported a judicial reform project in the country of Georgia. While viewed as a successful project – by the way, the central feature of the project was the firing of the entire judiciary! – it was broadly recognized that the failure to embark on parallel reform of the police and prosecutorial service was a significant limitation to the project’s impact on the quality of formal justice in Georgia. Back to Indonesia for the last time: a major part of the World Bank’s assistance program to Indonesia is centered around community development projects, at the core of which is the giving to local communities the right to determine what development grants to such communities should be spent on. However, what became very clear to us in the course of supporting these community development projects was that law enforcement authorities in Indonesia were often failing the communities they are meant to serve. You have to expect that abuses may occur in projects involving the use of public funds. And they all too often do: one consequence of independent monitoring and introducing reasonably effective complaint-raising mechanisms is that abuses – and allegations of abuses – are exposed with depressing frequency. But the Indonesian law enforcement authorities have to a significant extent miserably failed to be a factor in dealing with such abuses. Part of this is explained by a lack of resources: just the travel time it takes to reach many communities from the local prosecutor’s office or police station – and vice versa – explains a lot. But usually once contact between the law enforcement authorities and village complainants is made, another problem often begins: one in which the police or prosecutors seeks to extract some “reward” from the complainants in return for getting involved. The result is that people avoid the police – and that either abuses go unchecked, or people take “the law” into their own hands. The resulting climate of impunity, mistrust and lack of respect for public institutions is in some ways the biggest challenge facing Indonesia today.</w:t>
      </w:r>
    </w:p>
    <w:p w:rsidR="00000000" w:rsidDel="00000000" w:rsidP="00000000" w:rsidRDefault="00000000" w:rsidRPr="00000000" w14:paraId="000002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have indicated earlier, I think the Philippines has much to be proud about with respect to its judiciary. Indonesia and other countries in the region, and in deed in other parts of the world have much to learn from the Philippine judicial reform program. So, I suspect, do the other institutions of the Philippine justice sector. Ultimately it comes down to have the trust and respect of the people such institutions are there to serve: the people of the Philippines. Respect: it has to earned every day. It is a challenge that all public institutions face, those of the Philippines being no exception.</w:t>
      </w:r>
    </w:p>
    <w:p w:rsidR="00000000" w:rsidDel="00000000" w:rsidP="00000000" w:rsidRDefault="00000000" w:rsidRPr="00000000" w14:paraId="000002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Chief Justice Davide: I have to tell you I do have somewhat of a personal interest in the fate of judiciaries in Asia. My wife comes from Myanmar and from a family of very distinguished jurists, of whom two were chief justices of Burma in the early years after independence. From everything I have heard and read, the judiciary of Burma was held in very high regard in those early years. That judiciary was smashed, along with all democratic institutions, when the military seized control of the country in 1963. Judiciaries are not impervious to political winds. They cannot assure the survival of a decent government and they cannot assure their own survival. But one thing seems fairly clear to me: there can be no just government in the absence of a just judiciary. That is why all efforts to bring about or maintain just judiciaries are so worthwhile. You have been an inspiration to me and to many others concerned with the well-being of judiciaries. Thank you for that. I wish you happiness in your retirement. But I hope your retirement will be only from the burdens that come with being Chief Justice. I hope you will continue to take a leadership role in promoting judicial reform in Asia and beyond. If there is a way we in the World Bank can support you in that endeavor, we will find that way. Thank you all very much.</w:t>
      </w:r>
    </w:p>
    <w:p w:rsidR="00000000" w:rsidDel="00000000" w:rsidP="00000000" w:rsidRDefault="00000000" w:rsidRPr="00000000" w14:paraId="0000020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0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0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0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0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0">
      <w:pPr>
        <w:pStyle w:val="Heading3"/>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4">
      <w:pPr>
        <w:pStyle w:val="Heading3"/>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7">
      <w:pPr>
        <w:pStyle w:val="Heading1"/>
        <w:ind w:left="0" w:firstLine="0"/>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A">
      <w:pPr>
        <w:ind w:lef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B">
      <w:pPr>
        <w:ind w:lef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C">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5</w:t>
      </w:r>
    </w:p>
    <w:p w:rsidR="00000000" w:rsidDel="00000000" w:rsidP="00000000" w:rsidRDefault="00000000" w:rsidRPr="00000000" w14:paraId="0000021D">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1E">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 Celebration of Thanksgiving</w:t>
      </w:r>
    </w:p>
    <w:p w:rsidR="00000000" w:rsidDel="00000000" w:rsidP="00000000" w:rsidRDefault="00000000" w:rsidRPr="00000000" w14:paraId="0000021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0">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Today’s intellectual feast is the ninth in the Chief Justice Hilario G. Davide Jr. Distinguished Lecture Series. Begun early this year, this monthly academic pursuit draws attention to the aspirations and the achievements of the Supreme Court during the seven-year term of our Chief.</w:t>
      </w:r>
    </w:p>
    <w:p w:rsidR="00000000" w:rsidDel="00000000" w:rsidP="00000000" w:rsidRDefault="00000000" w:rsidRPr="00000000" w14:paraId="00000221">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2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Lecture Series Highlights</w:t>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Lecture Series started on February 9, 2005, with a discourse on “The Legal Profession in the Digital Age,” delivered by retired Justice Jose C. Vitug, followed on February 28, 2005, by a review of “Legislative Investigations and the Right to Privacy” by Mr. Justice Reynato S. Puno.</w:t>
      </w:r>
    </w:p>
    <w:p w:rsidR="00000000" w:rsidDel="00000000" w:rsidP="00000000" w:rsidRDefault="00000000" w:rsidRPr="00000000" w14:paraId="000002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30, 2005, Dean Raul C. Pangalangan of the University of the Philippines College of Law presented an in-depth perspective on “Hilario G. Davide, Jr.: A Study in Judicial Philosophy, Transformative Politics and Judicial Activism.”</w:t>
      </w:r>
    </w:p>
    <w:p w:rsidR="00000000" w:rsidDel="00000000" w:rsidP="00000000" w:rsidRDefault="00000000" w:rsidRPr="00000000" w14:paraId="000002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respected academic, Fr. Joaquin G. Bernas, SJ, of the Ateneo School of Law, lectured on the “The Contributions of Chief Justice Davide Jr. on the Writing of the Constitution.” Father Bernas extolled the achievements of our Chief as a member of the Constitutional Commission that had drafted our 1987 Charter.</w:t>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28, 2005, we heard my esteemed guru, the venerable Jovito R. Salonga – described by Senator Joker Arroyo as the “Last Titan of the 20th Century” -- speak on the need for “Maintaining Public Faith and Confidence in the Judiciary.”</w:t>
      </w:r>
    </w:p>
    <w:p w:rsidR="00000000" w:rsidDel="00000000" w:rsidP="00000000" w:rsidRDefault="00000000" w:rsidRPr="00000000" w14:paraId="00000227">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Three distinguished international legal personalities graced the Series; namely, Mr. Justice Michael Donald Kirby of the High Court of Australia who spoke on “International Human Rights Law and Domestic Enforcement”; President Rodolfo de Leon Molina of the Supreme Court of Guatemala, on the “Judicial Reforms in Guatemala”; and Mr. Anthony Gerald Toft, the World Bank’s chief counsel for East Asia and the Pacific Region, on “Judicial </w:t>
      </w:r>
      <w:r w:rsidDel="00000000" w:rsidR="00000000" w:rsidRPr="00000000">
        <w:rPr>
          <w:rFonts w:ascii="Georgia" w:cs="Georgia" w:eastAsia="Georgia" w:hAnsi="Georgia"/>
          <w:color w:val="000000"/>
          <w:sz w:val="22"/>
          <w:szCs w:val="22"/>
          <w:rtl w:val="0"/>
        </w:rPr>
        <w:t xml:space="preserve">Reforms -- Issues to Consider.”</w:t>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fourth globally acclaimed legal scholar, Mr. Justice Anthony Kennedy of the US Supreme Court, was scheduled to lecture on September 12, 2005. The death of US Chief Justice William Rehnquist, however, constrained him to cancel his trip, so that he could be present during the wake. We are still talking with him about a possible rescheduling of his appearance here.</w:t>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Today’s cerebral presentation entitled “The Commitment to Judicial Education” is unique. It brings together under one roof nine distinguished personalities to walk us through the different milestones of Philippine judicial education, then and now. Taking turns in presenting a “Retrospect” of judicial education will be Justice Ricardo C. Puno (ret.), chair of the Department of Civil Law of the Philippine Judicial Academy (Philja); Justice Reynato S. Puno of the Philja Board of Trustees; Justice Justo P. Torres (ret.) of the Philja Academic Council; Fr. Ranhilio C. Aquino, the head of Philja’s Academic Affairs Office; and Professor Sedrey M. Candelaria, who heads the Academy’s Research, Publications and Linkages Office. To discuss court-annexed mediation are Deputy Court Administrator Bernardo T. Ponferrada, head of the Judicial Reforms Office of Philja; Dean Eduardo D. de los Angeles, chairperson of the Philja Design and Management Committee; and Professor Alfredo F. Tadiar, director of the mediation project at the Court of Appeals, who will discuss courtannexed mediation. Then, the most esteemed Madame Justice Ameurfina A. Melencio Herrera (ret.), Philja chancellor, will share her visions and insights into the future.</w:t>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Today’s program is the first of three lectures that will focus on what the Chief himself calls “the centerpiece of [his] stewardship of the Judiciary” -- the Action Program for Judicial Reforms or APJR. I shall follow next month, on October 19, 2005, with a presentation of an “Overall Perspective of the Philippine Judicial Reform Program.” The Series will then be fittingly capped by a valedictory lecture[11] by the Chief Justice himself on December 13, 2005.</w:t>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Impressive as the Lecture Series may be, I must however stress that it is just one of the many activities lined up by the Valedictory Executive Committee to commemorate Chief Justice Davide’s final year in office.</w:t>
      </w:r>
    </w:p>
    <w:p w:rsidR="00000000" w:rsidDel="00000000" w:rsidP="00000000" w:rsidRDefault="00000000" w:rsidRPr="00000000" w14:paraId="000002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Together with the Lecture Series, these retirement activities are collectively referred to as our “Celebration of Thanksgiving.” I will now summarize these thanksgiving activities.</w:t>
      </w:r>
    </w:p>
    <w:p w:rsidR="00000000" w:rsidDel="00000000" w:rsidP="00000000" w:rsidRDefault="00000000" w:rsidRPr="00000000" w14:paraId="0000022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2E">
      <w:pPr>
        <w:rPr>
          <w:rFonts w:ascii="Georgia" w:cs="Georgia" w:eastAsia="Georgia" w:hAnsi="Georgia"/>
          <w:b w:val="1"/>
          <w:bCs w:val="1"/>
          <w:i w:val="1"/>
          <w:iCs w:val="1"/>
          <w:color w:val="000000"/>
          <w:sz w:val="22"/>
          <w:szCs w:val="22"/>
        </w:rPr>
      </w:pPr>
      <w:r w:rsidDel="00000000" w:rsidR="00000000" w:rsidRPr="00000000">
        <w:rPr>
          <w:rFonts w:ascii="Georgia" w:cs="Georgia" w:eastAsia="Georgia" w:hAnsi="Georgia"/>
          <w:b w:val="1"/>
          <w:bCs w:val="1"/>
          <w:i w:val="1"/>
          <w:iCs w:val="1"/>
          <w:color w:val="000000"/>
          <w:sz w:val="22"/>
          <w:szCs w:val="22"/>
          <w:rtl w:val="0"/>
        </w:rPr>
        <w:t xml:space="preserve">Speeches, TV Documentary, Coffee-Table Book, Cultural Presentations</w:t>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issuance in both print and digital versions of the major speeches, significant decisions and dissenting opinions of Chief Justice Davide</w:t>
      </w:r>
    </w:p>
    <w:p w:rsidR="00000000" w:rsidDel="00000000" w:rsidP="00000000" w:rsidRDefault="00000000" w:rsidRPr="00000000" w14:paraId="000002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production of a TV documentary showing the salient features of our Chief’s incumbency</w:t>
      </w:r>
    </w:p>
    <w:p w:rsidR="00000000" w:rsidDel="00000000" w:rsidP="00000000" w:rsidRDefault="00000000" w:rsidRPr="00000000" w14:paraId="000002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publication of a coffee-table book-cum-photo essay showing the milestones of the Davide term</w:t>
      </w:r>
    </w:p>
    <w:p w:rsidR="00000000" w:rsidDel="00000000" w:rsidP="00000000" w:rsidRDefault="00000000" w:rsidRPr="00000000" w14:paraId="000002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sponsorship of a Concert, as well as a Philippine Dance and Musical Festival by Supreme Court officials and employees</w:t>
      </w:r>
    </w:p>
    <w:p w:rsidR="00000000" w:rsidDel="00000000" w:rsidP="00000000" w:rsidRDefault="00000000" w:rsidRPr="00000000" w14:paraId="00000233">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34">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Judicial Renaissance, Exhibits, Open Houses</w:t>
      </w:r>
    </w:p>
    <w:p w:rsidR="00000000" w:rsidDel="00000000" w:rsidP="00000000" w:rsidRDefault="00000000" w:rsidRPr="00000000" w14:paraId="000002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 publication of my new book, entitled Judicial Renaissance, which will extensively discuss the reforms initiated, evolved and implemented under the APJR</w:t>
      </w:r>
    </w:p>
    <w:p w:rsidR="00000000" w:rsidDel="00000000" w:rsidP="00000000" w:rsidRDefault="00000000" w:rsidRPr="00000000" w14:paraId="00000236">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6. The presentation of a traveling “Exhibit on the Life and Thoughts of Chief Justice Hilario G. Davide Jr.,” to be shown in several trial courts in Manila, Cagayan de Oro, </w:t>
      </w:r>
      <w:r w:rsidDel="00000000" w:rsidR="00000000" w:rsidRPr="00000000">
        <w:rPr>
          <w:rFonts w:ascii="Georgia" w:cs="Georgia" w:eastAsia="Georgia" w:hAnsi="Georgia"/>
          <w:color w:val="000000"/>
          <w:sz w:val="22"/>
          <w:szCs w:val="22"/>
          <w:rtl w:val="0"/>
        </w:rPr>
        <w:t xml:space="preserve">Pampanga and Cebu</w:t>
      </w:r>
    </w:p>
    <w:p w:rsidR="00000000" w:rsidDel="00000000" w:rsidP="00000000" w:rsidRDefault="00000000" w:rsidRPr="00000000" w14:paraId="000002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The sponsorship of “Open Houses of Halls of Justice” in selected courts nationwide to educate the general public, particularly the youth, on the “Access to Justice” aspect of our reform program</w:t>
      </w:r>
    </w:p>
    <w:p w:rsidR="00000000" w:rsidDel="00000000" w:rsidP="00000000" w:rsidRDefault="00000000" w:rsidRPr="00000000" w14:paraId="00000238">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3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Essays, Awards, and PERLAS</w:t>
      </w:r>
    </w:p>
    <w:p w:rsidR="00000000" w:rsidDel="00000000" w:rsidP="00000000" w:rsidRDefault="00000000" w:rsidRPr="00000000" w14:paraId="0000023A">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8. The sponsorship of a nationwide essay-writing contest amongst law students on the </w:t>
      </w:r>
      <w:r w:rsidDel="00000000" w:rsidR="00000000" w:rsidRPr="00000000">
        <w:rPr>
          <w:rFonts w:ascii="Georgia" w:cs="Georgia" w:eastAsia="Georgia" w:hAnsi="Georgia"/>
          <w:color w:val="000000"/>
          <w:sz w:val="22"/>
          <w:szCs w:val="22"/>
          <w:rtl w:val="0"/>
        </w:rPr>
        <w:t xml:space="preserve">theme “Judicial Reforms Under the Davide Watch”</w:t>
      </w:r>
    </w:p>
    <w:p w:rsidR="00000000" w:rsidDel="00000000" w:rsidP="00000000" w:rsidRDefault="00000000" w:rsidRPr="00000000" w14:paraId="000002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The giving of special Judicial Excellence Awards to outstanding judges and clerks of court</w:t>
      </w:r>
    </w:p>
    <w:p w:rsidR="00000000" w:rsidDel="00000000" w:rsidP="00000000" w:rsidRDefault="00000000" w:rsidRPr="00000000" w14:paraId="000002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The holding of the “Chief Justice Davide Awards for Outstanding Service in the Judiciary,” which is a search for model judiciary employees nationwide, to complement that for judges and clerks of courts mentioned earlier</w:t>
      </w:r>
    </w:p>
    <w:p w:rsidR="00000000" w:rsidDel="00000000" w:rsidP="00000000" w:rsidRDefault="00000000" w:rsidRPr="00000000" w14:paraId="0000023D">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11. The grant of the Davide Reform Awards to local and international institutions and individuals who have contributed significantly to the planning, financing and implementation </w:t>
      </w:r>
      <w:r w:rsidDel="00000000" w:rsidR="00000000" w:rsidRPr="00000000">
        <w:rPr>
          <w:rFonts w:ascii="Georgia" w:cs="Georgia" w:eastAsia="Georgia" w:hAnsi="Georgia"/>
          <w:color w:val="000000"/>
          <w:sz w:val="22"/>
          <w:szCs w:val="22"/>
          <w:rtl w:val="0"/>
        </w:rPr>
        <w:t xml:space="preserve">of the APJR</w:t>
      </w:r>
    </w:p>
    <w:p w:rsidR="00000000" w:rsidDel="00000000" w:rsidP="00000000" w:rsidRDefault="00000000" w:rsidRPr="00000000" w14:paraId="000002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 The launching of a project called “Public Education on the Rule of Law Advancement and Support,” or PERLAS -- a novel undertaking to inculcate in our elementary and high school students the need to know, propagate and obey the rule of law in our country</w:t>
      </w:r>
    </w:p>
    <w:p w:rsidR="00000000" w:rsidDel="00000000" w:rsidP="00000000" w:rsidRDefault="00000000" w:rsidRPr="00000000" w14:paraId="000002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0">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ASEAN Law Association (ALA) Conference</w:t>
      </w:r>
    </w:p>
    <w:p w:rsidR="00000000" w:rsidDel="00000000" w:rsidP="00000000" w:rsidRDefault="00000000" w:rsidRPr="00000000" w14:paraId="000002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13. The co-sponsorship of the ASEAN Law Association (ALA) Conference to be held from November 24 to 26, 2005, in Makati</w:t>
      </w:r>
    </w:p>
    <w:p w:rsidR="00000000" w:rsidDel="00000000" w:rsidP="00000000" w:rsidRDefault="00000000" w:rsidRPr="00000000" w14:paraId="0000024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Conference and Showcase on Judicial Reforms</w:t>
      </w:r>
    </w:p>
    <w:p w:rsidR="00000000" w:rsidDel="00000000" w:rsidP="00000000" w:rsidRDefault="00000000" w:rsidRPr="00000000" w14:paraId="000002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14. The holding of an “International Conference and Showcase on Judicial Reforms” (ICSJR) also in Makati on November 28-30, 2005. Since this global gathering is by far the most important project to commemorate the Chief’s term, let me discuss it a bit more.</w:t>
      </w:r>
    </w:p>
    <w:p w:rsidR="00000000" w:rsidDel="00000000" w:rsidP="00000000" w:rsidRDefault="00000000" w:rsidRPr="00000000" w14:paraId="000002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Sponsored by the Supreme Court with financial grants from the World Bank, the Asian Development Bank, the US Agency for International Development, the Canadian International Development Agency and other developmental partners, this unique conference and showcase aims to share our reforms agenda with the rest of the world through (1) plenary addresses and workshop discussions and (2) an exhibit of our judicial reform projects. In the showcase portion, our judicial modernization projects will be shown for the participants to see, touch, behold, and in some cases actually operate.</w:t>
      </w:r>
    </w:p>
    <w:p w:rsidR="00000000" w:rsidDel="00000000" w:rsidP="00000000" w:rsidRDefault="00000000" w:rsidRPr="00000000" w14:paraId="000002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activities lined up by the Valedictory Executive Committee are centered on the APJR, but they take various forms -- intellectual, cultural, social and sports activities. They are led and participated in by all the constituencies of the Judicial Branch of our government -- from justices and judges to court employees, law schools, law professors, lawyers and law students all over the country, as well as the general public. As the highlight of the celebration, the judiciaries of the world will be featured through their participation in our global judicial reforms conference and showcase.</w:t>
      </w:r>
    </w:p>
    <w:p w:rsidR="00000000" w:rsidDel="00000000" w:rsidP="00000000" w:rsidRDefault="00000000" w:rsidRPr="00000000" w14:paraId="000002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Members and Assistors of the Valedictory Executive Committee</w:t>
      </w:r>
    </w:p>
    <w:p w:rsidR="00000000" w:rsidDel="00000000" w:rsidP="00000000" w:rsidRDefault="00000000" w:rsidRPr="00000000" w14:paraId="000002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chair of the Valedictory Executive Committee, I would like to recognize its members publicly for the first time: the dedicated and caring ladies and gentlemen who have toiled and are still toiling during their own extra time -- without any additional compensation, but only out of love for our esteemed Chief Justice -- to bring forth all these valedictory activities.</w:t>
      </w:r>
    </w:p>
    <w:p w:rsidR="00000000" w:rsidDel="00000000" w:rsidP="00000000" w:rsidRDefault="00000000" w:rsidRPr="00000000" w14:paraId="000002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acknowledge the Supreme Court magistrates who are members of the Committee; namely, Justice Leonardo A. Quisumbing, Justice Angelina Sandoval-Gutierrez, Justice Antonio T. Carpio, Justice Renato C. Corona and Justice Adolfo S. Azcuna.</w:t>
      </w:r>
    </w:p>
    <w:p w:rsidR="00000000" w:rsidDel="00000000" w:rsidP="00000000" w:rsidRDefault="00000000" w:rsidRPr="00000000" w14:paraId="000002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let me recognize the Committee members with specific project assignments:</w:t>
      </w:r>
    </w:p>
    <w:p w:rsidR="00000000" w:rsidDel="00000000" w:rsidP="00000000" w:rsidRDefault="00000000" w:rsidRPr="00000000" w14:paraId="000002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Philja Chancellor Ameurfina A. Melencio Herrera, who is mainly responsible for the success of the Chief Justice Davide Lecture Series </w:t>
      </w:r>
    </w:p>
    <w:p w:rsidR="00000000" w:rsidDel="00000000" w:rsidP="00000000" w:rsidRDefault="00000000" w:rsidRPr="00000000" w14:paraId="000002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Atty. Maria Luisa D. Villarama, our clerk of court, who brings art, dances and music to the celebrations through a concert and musicale at the Philamlife Theater in Manila </w:t>
      </w:r>
    </w:p>
    <w:p w:rsidR="00000000" w:rsidDel="00000000" w:rsidP="00000000" w:rsidRDefault="00000000" w:rsidRPr="00000000" w14:paraId="000002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Court Administrator Presbitero J. Velasco Jr. who, together with Deputy Court Administrator Jose P. Perez and Assistant Court Administrator Reuben P. de la Cruz, supervises the Open House of the Halls of Justice</w:t>
      </w:r>
    </w:p>
    <w:p w:rsidR="00000000" w:rsidDel="00000000" w:rsidP="00000000" w:rsidRDefault="00000000" w:rsidRPr="00000000" w14:paraId="0000024E">
      <w:pP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 Atty. Enriqueta E. Vidal, who coordinates the 2005 Chief Justice Davide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color w:val="000000"/>
          <w:sz w:val="22"/>
          <w:szCs w:val="22"/>
          <w:rtl w:val="0"/>
        </w:rPr>
        <w:t xml:space="preserve">Employees’ Awards</w:t>
      </w:r>
    </w:p>
    <w:p w:rsidR="00000000" w:rsidDel="00000000" w:rsidP="00000000" w:rsidRDefault="00000000" w:rsidRPr="00000000" w14:paraId="000002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Court of Appeals Justice Ruben T. Reyes and Prof. Venicio F. Flores of the Philippine Association of Law Professors who, together with Ms Reslyn M. Yambao of the Association of Law Students of the Philippines (ALSP), are spearheading the countrywide essay-writing contest</w:t>
      </w:r>
    </w:p>
    <w:p w:rsidR="00000000" w:rsidDel="00000000" w:rsidP="00000000" w:rsidRDefault="00000000" w:rsidRPr="00000000" w14:paraId="000002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PMO Director Evelyn Toledo-Dumdum, who is in charge of the Davide Reforms Awards, PERLAS, and the Secretariat of the International Conference and Showcase on Judicial Reforms </w:t>
      </w:r>
    </w:p>
    <w:p w:rsidR="00000000" w:rsidDel="00000000" w:rsidP="00000000" w:rsidRDefault="00000000" w:rsidRPr="00000000" w14:paraId="000002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Atty. Ismael G. Khan Jr., chief of our Public Information Office, who is overseeing the production of a TV documentary; and who, together with Director Dumdum, is producing the Chief Justice Davide coffee-table book · Atty. Ma. Luisa L. Laurea, who is coordinating the Judicial Excellence Awards</w:t>
      </w:r>
    </w:p>
    <w:p w:rsidR="00000000" w:rsidDel="00000000" w:rsidP="00000000" w:rsidRDefault="00000000" w:rsidRPr="00000000" w14:paraId="000002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Atty. Annaliza T. Capacite of the Office of the Chief Justice, who is in charge of the compilation and printing of the Davide speeches, decisions and dissenting opinions </w:t>
      </w:r>
    </w:p>
    <w:p w:rsidR="00000000" w:rsidDel="00000000" w:rsidP="00000000" w:rsidRDefault="00000000" w:rsidRPr="00000000" w14:paraId="00000253">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 Ms Milagros S. Ong of the Supreme Court Library Services, who is directing the </w:t>
      </w:r>
      <w:r w:rsidDel="00000000" w:rsidR="00000000" w:rsidRPr="00000000">
        <w:rPr>
          <w:rFonts w:ascii="Georgia" w:cs="Georgia" w:eastAsia="Georgia" w:hAnsi="Georgia"/>
          <w:color w:val="000000"/>
          <w:sz w:val="22"/>
          <w:szCs w:val="22"/>
          <w:rtl w:val="0"/>
        </w:rPr>
        <w:t xml:space="preserve">Chief Justice Davide Exhibit</w:t>
      </w:r>
    </w:p>
    <w:p w:rsidR="00000000" w:rsidDel="00000000" w:rsidP="00000000" w:rsidRDefault="00000000" w:rsidRPr="00000000" w14:paraId="000002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Atty. Jose Anselmo I. Cadiz of the Integrated Bar of the Philippines, who is stewarding the environment-related projects of the Committee</w:t>
      </w:r>
    </w:p>
    <w:p w:rsidR="00000000" w:rsidDel="00000000" w:rsidP="00000000" w:rsidRDefault="00000000" w:rsidRPr="00000000" w14:paraId="00000255">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 Atty. Avelino V. Cruz, who is coordinating the Silver Jubilee of the ASEAN Law </w:t>
      </w:r>
      <w:r w:rsidDel="00000000" w:rsidR="00000000" w:rsidRPr="00000000">
        <w:rPr>
          <w:rFonts w:ascii="Georgia" w:cs="Georgia" w:eastAsia="Georgia" w:hAnsi="Georgia"/>
          <w:color w:val="000000"/>
          <w:sz w:val="22"/>
          <w:szCs w:val="22"/>
          <w:rtl w:val="0"/>
        </w:rPr>
        <w:t xml:space="preserve">Association (ALA)</w:t>
      </w:r>
    </w:p>
    <w:p w:rsidR="00000000" w:rsidDel="00000000" w:rsidP="00000000" w:rsidRDefault="00000000" w:rsidRPr="00000000" w14:paraId="00000256">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 Other members of the Committee: Dean Andres D. Bautista of the Philippine </w:t>
      </w:r>
      <w:r w:rsidDel="00000000" w:rsidR="00000000" w:rsidRPr="00000000">
        <w:rPr>
          <w:rFonts w:ascii="Georgia" w:cs="Georgia" w:eastAsia="Georgia" w:hAnsi="Georgia"/>
          <w:color w:val="000000"/>
          <w:sz w:val="22"/>
          <w:szCs w:val="22"/>
          <w:rtl w:val="0"/>
        </w:rPr>
        <w:t xml:space="preserve">Association of Law Deans and Atty. Tanya Lat</w:t>
      </w:r>
    </w:p>
    <w:p w:rsidR="00000000" w:rsidDel="00000000" w:rsidP="00000000" w:rsidRDefault="00000000" w:rsidRPr="00000000" w14:paraId="000002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may I also acknowledge our support staff: Atty. Millicent N. Reyes, committee secretary; Atty. Ma. Lourdes C. San Pablo, committee assistant secretary; Atty. Jennifer Jardin-Manalili; Ms Melinda S. Item; Atty. Ma. Gleoresty Sp. Guerra; Atty. Michelle T. Regala; Mr. Jose Emmanuel David M. Eva III; Ms Annie Rose A. Laborte; Atty. Ma. Melissa R. Dimson; Atty. Nicolas C. Nañgit Jr.; Atty. Joel Emerson J. Gregorio; and Ms Me-An Inocentes.</w:t>
      </w:r>
    </w:p>
    <w:p w:rsidR="00000000" w:rsidDel="00000000" w:rsidP="00000000" w:rsidRDefault="00000000" w:rsidRPr="00000000" w14:paraId="00000258">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5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Quest for Reforms to Continue</w:t>
      </w:r>
    </w:p>
    <w:p w:rsidR="00000000" w:rsidDel="00000000" w:rsidP="00000000" w:rsidRDefault="00000000" w:rsidRPr="00000000" w14:paraId="000002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when Chief Justice Davide delivered his vision-mission statement as he started his term in 1998, little did we realize that the centerpiece of his stewardship -- the APJR -- would catch the undivided attention and total support, not only of the Philippine officialdom and public, but also of foreign judiciaries and international developmental agencies like the United Nations, World Bank and Asian Development Bank.</w:t>
      </w:r>
    </w:p>
    <w:p w:rsidR="00000000" w:rsidDel="00000000" w:rsidP="00000000" w:rsidRDefault="00000000" w:rsidRPr="00000000" w14:paraId="000002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APJR’s vision is far-reaching. It aims at producing a corps of competent, dedicated, honest and courageous judges; and at speeding up the delivery of high-quality justice. Its ultimate goal is a judicial system that enjoys the full trust and confidence of the people because its actions and decisions are judicious and prudent, even though they may sometimes be unpalatable to current public sentiment.</w:t>
      </w:r>
    </w:p>
    <w:p w:rsidR="00000000" w:rsidDel="00000000" w:rsidP="00000000" w:rsidRDefault="00000000" w:rsidRPr="00000000" w14:paraId="000002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personal stewardship of Chief Justice Davide may end by operation of law when he reaches the mandatory retirement age of 70 on December 20, 2005. But the Valedictory Executive Committee is sure that the reform projects he envisioned, inspired and diligently worked on will continue even after he will have retired. They will always be the cornerstones of the judicial renaissance he has ably stewarded. For all these, he will be well-remembered in history as one of the greatest Chief Justices of our country and our region of the world.</w:t>
      </w:r>
    </w:p>
    <w:p w:rsidR="00000000" w:rsidDel="00000000" w:rsidP="00000000" w:rsidRDefault="00000000" w:rsidRPr="00000000" w14:paraId="000002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25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5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6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6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62">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6">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6</w:t>
      </w:r>
    </w:p>
    <w:p w:rsidR="00000000" w:rsidDel="00000000" w:rsidP="00000000" w:rsidRDefault="00000000" w:rsidRPr="00000000" w14:paraId="00000267">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68">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Holmes, Money and Trust</w:t>
      </w:r>
    </w:p>
    <w:p w:rsidR="00000000" w:rsidDel="00000000" w:rsidP="00000000" w:rsidRDefault="00000000" w:rsidRPr="00000000" w14:paraId="000002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weeks ago, my wife and I attended a concert at the Carlos P. Romulo Auditorium of the RCBC Center in Makati. I happened to be seated beside a visiting banker, Mr. Richard Holmes, president of American Express International. Trying to strike a conversation while waiting for the concert to begin, I remarked that one of the greatest justices ever to grace the US Supreme Court was also named Holmes – Oliver Wendell Holmes Jr.</w:t>
      </w:r>
    </w:p>
    <w:p w:rsidR="00000000" w:rsidDel="00000000" w:rsidP="00000000" w:rsidRDefault="00000000" w:rsidRPr="00000000" w14:paraId="000002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visitor smiled and replied that the great jurist was well-known, not only in law but also in business. He added, “A famous quotation of Justice Holmes is displayed in my office. It goes this way: ‘Do not put your trust in your money. Rather, put your money in trust.’”</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address today, I would like to take off from this simple but sensible quotation from Mr. Justice Holmes about money and trust. I suppose the main concern of business is money -- to earn it honestly through gung ho entrepreneurship, superior technology and best management practices. With business growth comes economic development for the nation and prosperity for the people.</w:t>
      </w:r>
    </w:p>
    <w:p w:rsidR="00000000" w:rsidDel="00000000" w:rsidP="00000000" w:rsidRDefault="00000000" w:rsidRPr="00000000" w14:paraId="0000026D">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26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SC’s Need for Public Trust</w:t>
      </w:r>
    </w:p>
    <w:p w:rsidR="00000000" w:rsidDel="00000000" w:rsidP="00000000" w:rsidRDefault="00000000" w:rsidRPr="00000000" w14:paraId="000002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Supreme Court (SC) needs your trust. If it must be true to its name and if its decisions must be obeyed, it must have the continuing trust of the populace. True, court decisions are not crafted on the basis of what is popular. Rather, judges act only to weigh the logical compatibility of the established facts with the applicable law. That is, cases are won or lost, not because of popular palatability or compromise or friendship or pecuniary consideration, but because of reasoned arguments flowing from legal principles and precedents.</w:t>
      </w:r>
    </w:p>
    <w:p w:rsidR="00000000" w:rsidDel="00000000" w:rsidP="00000000" w:rsidRDefault="00000000" w:rsidRPr="00000000" w14:paraId="000002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postulate does not mean, however, that the Supreme Court is averse to public opinion. On the contrary, the SC can be effective only if it retains the faith and trust of the public. It has no army or police to enforce its decisions. Neither does it have the money to exact loyalty or patronage, or the inclination to mount rallies to incite obedience to its authority.</w:t>
      </w:r>
    </w:p>
    <w:p w:rsidR="00000000" w:rsidDel="00000000" w:rsidP="00000000" w:rsidRDefault="00000000" w:rsidRPr="00000000" w14:paraId="000002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there is a difference between the shifting winds of public emotion and the long-term trust in the institution. While its critics -- including those in the business community -- may rant from time to time about what they perceive are erroneous judgments, the Court must enjoy enough residual trust that it will turn out to be justified after all. And even if its levelheaded critics may disagree with specific decisions, they should trust it enough to concede its good faith; and the wisdom, the probity and the diligence with which its members have done their work. I take your invitation to me to be your keynote speaker today as a manifestation of your residual trust in the institution I represent, the Supreme Court of the Philippines.</w:t>
      </w:r>
    </w:p>
    <w:p w:rsidR="00000000" w:rsidDel="00000000" w:rsidP="00000000" w:rsidRDefault="00000000" w:rsidRPr="00000000" w14:paraId="000002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said that, may I however add that I am aware of some criticisms lodged by a few sectors at the Supreme Court for allegedly interfering inordinately with the economic policies of the country. The critics say that the Court has no expertise in business; that therefore, it should not make judgments that reverse or modify economic actions of the legislative or the executive department.</w:t>
      </w:r>
    </w:p>
    <w:p w:rsidR="00000000" w:rsidDel="00000000" w:rsidP="00000000" w:rsidRDefault="00000000" w:rsidRPr="00000000" w14:paraId="00000273">
      <w:pPr>
        <w:pStyle w:val="Heading2"/>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274">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SC’s Relations with the Other Branches of Government</w:t>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very recent pronouncement upholding the constitutionality of the Mining Law should put to rest all these criticisms. The 246-page Decision in this case, which I had the honor of writing, clearly stated the Supreme Court’s firm policy in interpreting our Constitution, especially in regard to the President and Congress:</w:t>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should be read in broad, life-giving strokes. It should not be used to strangulate economic growth or to serve narrow, parochial interests. Rather, it should be construed to grant the President and Congress sufficient discretion and reasonable leeway to enable them to attract foreign investments and expertise, as well as to secure for our people and our posterity the blessings of prosperity and peace.</w:t>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2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under the doctrine of separation of powers and due respect for coequal and coordinate branches of government, this Court must restrain itself from intruding into policy matters and must allow the President and Congress maximum discretion in using the resources of our country and in securing the assistance of foreign groups to eradicate the grinding poverty of our people and answer their cry for viable employment opportunities in the country.</w:t>
      </w:r>
    </w:p>
    <w:p w:rsidR="00000000" w:rsidDel="00000000" w:rsidP="00000000" w:rsidRDefault="00000000" w:rsidRPr="00000000" w14:paraId="000002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Let the development of the mining industry be the responsibility of the political branches of government. And let not this Court interfere inordinately and unnecessarily.”</w:t>
      </w:r>
    </w:p>
    <w:p w:rsidR="00000000" w:rsidDel="00000000" w:rsidP="00000000" w:rsidRDefault="00000000" w:rsidRPr="00000000" w14:paraId="000002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very clear statement of the role of the judiciary in determining economic policies is really an echo of an earlier pronouncement made in 1997 in Tañada v. Angara, which I also penned on behalf of the Court. In this earlier case, the petitioners asked the Supreme Court to annul the concurrence of the Philippine Senate in the Agreement establishing the World Trade Organization (WTO), on the main ground that the WTO Treaty had allegedly violated the “economic nationalism” provisions of the Constitution. In refusing to invalidate the Philippine ratification of the WTO, the Court unanimously declared:</w:t>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not impossible to surmise that this Court, or at least some of its members, may even agree with petitioners that it is more advantageous to the national interest to strike down Senate Resolution No. 97 [which expressed the Philippine adherence to WTO]. But that is not a legal reason to attribute grave abuse of discretion to the Senate and to nullify its decision. To do so would constitute grave abuse of discretion in the exercise of our own judicial power and duty. Ineludibly, what the Senate did was a valid exercise of its authority. As to whether such exercise was wise, beneficial or viable is outside the realm of judicial inquiry and review. That is a matter between the elected policy makers and the people. As to whether the nation should join the worldwide march toward trade liberalization and economic globalization is a matter that our people should determine in electing their policy makers.</w:t>
      </w:r>
    </w:p>
    <w:p w:rsidR="00000000" w:rsidDel="00000000" w:rsidP="00000000" w:rsidRDefault="00000000" w:rsidRPr="00000000" w14:paraId="000002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Let the people, through their duly elected officials, make their free choice.”</w:t>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this 1997 laissez-faire declaration, the critics still pummeled the Court for its alleged “inordinate” interference in annulling three international contracts: (1) the AMARI reclamation of Manila Bay, (2) the PIATCO construction and operation of the new Manila airport terminal, and (3) the MEGA-PACIFIC automation of the last national elections. What our critics have conveniently neglected to say is that these three Contracts were entered into in clear violation of specific provisions of our Constitution, our laws on public bidding, and the very regulations issued by the government agencies that had executed these mega-Contracts. Furthermore, these agreements reeked of corruption; in one case, the Court ordered the ombudsman and the solicitor general to determine the criminal and civil liabilities of the government officials concerned; and in another, the transaction was labeled as the “grandmother of all scams.”</w:t>
      </w:r>
    </w:p>
    <w:p w:rsidR="00000000" w:rsidDel="00000000" w:rsidP="00000000" w:rsidRDefault="00000000" w:rsidRPr="00000000" w14:paraId="000002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time constraints, I cannot discuss in full the ramifications of these cases. Suffice it to say for the present that the Supreme Court does not interfere in economic policy judgments of the President or of Congress, even if these judgments may turn out to be unwise or inconvenient. However, when the actions of any official of the government blatantly violate the Constitution or the law, or are otherwise done with grave abuse of discretion, the Court is duty-bound to “interfere” and to uphold the rule of law. It should correctly be understood, therefore, that the Court does not render economic decisions. Rather, it issues judgments on how laws are applied to or interpreted in any field of human endeavor – family matters, criminal prosecutions or business activities.</w:t>
      </w:r>
    </w:p>
    <w:p w:rsidR="00000000" w:rsidDel="00000000" w:rsidP="00000000" w:rsidRDefault="00000000" w:rsidRPr="00000000" w14:paraId="0000027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8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Satisfactory Relations with Business and the Public</w:t>
      </w:r>
    </w:p>
    <w:p w:rsidR="00000000" w:rsidDel="00000000" w:rsidP="00000000" w:rsidRDefault="00000000" w:rsidRPr="00000000" w14:paraId="000002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occasional criticisms from some businessmen, especially those who lose their court cases, I must say that the Supreme Court’s relationship with business and with the general public has been cordial and satisfactory. This fact is demonstrated by the results of independent surveys conducted by the influential Makati Business Club and the Social Weather Stations, which always place the Supreme Court among the top five most trusted institutions in this country.</w:t>
      </w:r>
    </w:p>
    <w:p w:rsidR="00000000" w:rsidDel="00000000" w:rsidP="00000000" w:rsidRDefault="00000000" w:rsidRPr="00000000" w14:paraId="000002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expression of trust, we are grateful. And because of it, the Court has been able to act independently as befits the highest tribunal of the land. Also, because of this residual public trust, the decisions of the Court are always obeyed, even when they run against public opinion or the wishes of the other organs of government.</w:t>
      </w:r>
    </w:p>
    <w:p w:rsidR="00000000" w:rsidDel="00000000" w:rsidP="00000000" w:rsidRDefault="00000000" w:rsidRPr="00000000" w14:paraId="000002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severest tests of trust undergone by the Tribunal as an institution was when it declared the unconstitutionality of the second impeachment Complaint lodged last year against Chief Justice Hilario G. Davide Jr.[6] As a lasting testament to the rule of law and to the trust reposed in the Tribunal, Congress -- albeit reluctantly -- obeyed the Decision and stopped the impeachment proceedings. President Gloria Macapagal Arroyo hailed this congressional acquiescence as proof of the viability of our system of government in this Republic.</w:t>
      </w:r>
    </w:p>
    <w:p w:rsidR="00000000" w:rsidDel="00000000" w:rsidP="00000000" w:rsidRDefault="00000000" w:rsidRPr="00000000" w14:paraId="000002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clarify that the Court’s victory did not mean that it was superior to Congress or to the President. Such outcome merely signified that the Constitution was supreme, and that all government officials were duty-bound to observe its provisions, as interpreted by the Supreme Court.</w:t>
      </w:r>
    </w:p>
    <w:p w:rsidR="00000000" w:rsidDel="00000000" w:rsidP="00000000" w:rsidRDefault="00000000" w:rsidRPr="00000000" w14:paraId="000002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proclaim this loud enough: the Supreme Court is grateful for the trust our people have reposed in it. Because it wants to retain this all-important public faith and to deliver speedy justice from the lower courts up to the highest court, it is working assiduously to improve the entire judiciary and to reform judicial processes. Let me then devote a few minutes to an exposition of the judiciary’s reform program.</w:t>
      </w:r>
    </w:p>
    <w:p w:rsidR="00000000" w:rsidDel="00000000" w:rsidP="00000000" w:rsidRDefault="00000000" w:rsidRPr="00000000" w14:paraId="000002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7">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Action Program for Judicial Reforms</w:t>
      </w:r>
    </w:p>
    <w:p w:rsidR="00000000" w:rsidDel="00000000" w:rsidP="00000000" w:rsidRDefault="00000000" w:rsidRPr="00000000" w14:paraId="000002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Chief Justice Davide took office on November 30, 1998, he immediately issued the “Davide Watch,” which envisioned an “independent, effective and efficient [judiciary] x x x worthy of public trust and confidence; and a legal profession that provides quality, ethical, accessible and cost-effective legal service to the people and is willing and able to answer the call to public service.”</w:t>
      </w:r>
    </w:p>
    <w:p w:rsidR="00000000" w:rsidDel="00000000" w:rsidP="00000000" w:rsidRDefault="00000000" w:rsidRPr="00000000" w14:paraId="000002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complement this vision-mission statement, the Supreme Court launched the Action Program for Judicial Reform (APJR). Approved by the Court on December 8, 2000, this program has six components that address all conceivable factors that would make the judiciary continuously worthy of public support. The reforms start with the judges -- their qualification, selection, education, on-the-job training, discipline and compensation. Such reforms also focus on the development of judicial institutions themselves -- their autonomy, accountability, transparency and the speed with which they issue quality judgments.</w:t>
      </w:r>
    </w:p>
    <w:p w:rsidR="00000000" w:rsidDel="00000000" w:rsidP="00000000" w:rsidRDefault="00000000" w:rsidRPr="00000000" w14:paraId="000002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has secured unqualified support and generous grants from the world’s most important developmental agencies, including the World Bank, the Asian Development Bank, the United Nations Development Fund and The Asia Foundation. It has also been the recipient of assistance from various foreign governments, like Australia, Britain, Canada, Japan, the Netherlands, the United States, and lately the European Union.</w:t>
      </w:r>
    </w:p>
    <w:p w:rsidR="00000000" w:rsidDel="00000000" w:rsidP="00000000" w:rsidRDefault="00000000" w:rsidRPr="00000000" w14:paraId="000002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the World Bank has included the APJR in its own website as a model that other developing nations may follow, should they want World Bank’s support.</w:t>
      </w:r>
    </w:p>
    <w:p w:rsidR="00000000" w:rsidDel="00000000" w:rsidP="00000000" w:rsidRDefault="00000000" w:rsidRPr="00000000" w14:paraId="000002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is a complete blueprint of almost all possible measures to solve the main plagues of the judiciary -- mainly corruption, incompetence and delay in the rendition of judgments. I do not have the time to discuss all the many aspects and projects of the APJR. That will require at least five hours of talking. However, allow me to say that it spells out a transformation of, first, the judges themselves; and, second, the environment in which they work.</w:t>
      </w:r>
    </w:p>
    <w:p w:rsidR="00000000" w:rsidDel="00000000" w:rsidP="00000000" w:rsidRDefault="00000000" w:rsidRPr="00000000" w14:paraId="000002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Transformation of Judges</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program to recruit and maintain the best and the brightest judges start with upgrading the law curriculum and improving the law schools themselves by placing them under the supervision of a new government office known as the Board of Legal Education. This Board falls under the aegis of the Supreme Court.</w:t>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also ongoing efforts to improve the bar examinations -- the subjects to be taken, the appointment of examinees and the kinds of questions to be asked. </w:t>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passing the bar, new lawyers desiring to join the bench undergo the required number of years of law practice. Afterwards, the Judicial and Bar Council undertakes a transparent and rigid screening of the applicants. It then submits for presidential appointment at least three names for every vacant judicial post.</w:t>
      </w:r>
    </w:p>
    <w:p w:rsidR="00000000" w:rsidDel="00000000" w:rsidP="00000000" w:rsidRDefault="00000000" w:rsidRPr="00000000" w14:paraId="000002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appointment, a new judge must still take up a pre-judicature program and later a continuing judicial education course, in order to be able to keep up with the latest legal knowledge. The Supreme Court is in an advanced stage of negotiation with the Japan International Cooperation Agency (JICA) for the construction of the P600 million Philippine Judicial Academy complex in Tagaytay.</w:t>
      </w:r>
    </w:p>
    <w:p w:rsidR="00000000" w:rsidDel="00000000" w:rsidP="00000000" w:rsidRDefault="00000000" w:rsidRPr="00000000" w14:paraId="000002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mandating continuous intellectual formation, the Supreme Court is also emphasizing ethics. To this end, it promulgated on June 1, 2004, (1) the New Code of Judicial Conduct for the Philippine Judiciary and (2) the Code of Conduct for Judicial Personnel.</w:t>
      </w:r>
    </w:p>
    <w:p w:rsidR="00000000" w:rsidDel="00000000" w:rsidP="00000000" w:rsidRDefault="00000000" w:rsidRPr="00000000" w14:paraId="000002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new Code for judges stresses the values of independence, integrity, impartiality, propriety and diligence. It takes off from the Bangalore Draft of the Code of Judicial Conduct, agreed upon during the Judicial Round-Table Meeting in the Hague on November 25-26, 2002. This draft was intended to be the Universal Declaration of Judicial Standards applicable to all judiciaries of the world.</w:t>
      </w:r>
    </w:p>
    <w:p w:rsidR="00000000" w:rsidDel="00000000" w:rsidP="00000000" w:rsidRDefault="00000000" w:rsidRPr="00000000" w14:paraId="000002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we expect the best and the brightest lawyers to join the judiciary, judicial compensation must be improved. Along this line, Congress has heeded the Supreme Court’s request by passing last year a law[8] doubling judicial compensation through a 25 percent increase per year over four years, starting on November 6, 2003.</w:t>
      </w:r>
    </w:p>
    <w:p w:rsidR="00000000" w:rsidDel="00000000" w:rsidP="00000000" w:rsidRDefault="00000000" w:rsidRPr="00000000" w14:paraId="000002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weed out corruption, inefficiency and delay, the Supreme Court penalized 262 justices, judges and court personnel last year alone. It has also meted out sanctions to 119 lawyers for various offenses.[9] This disciplinary process continues to this date.</w:t>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while the Court has not hesitated to wield the rod of discipline, it has been equally resolute in its efforts to reward exemplary performance. Every year it conducts a search for outstanding judges and clerks of court, as well as for other judicial officers. As chair of the committee in charge of the Judicial Excellence Awards (JEA), I announced during the awarding ceremonies last September 17 that the awardees would be honored all year round in judicial functions, given roles in lectures and other public fora, elevated as role models for all judicial personnel, and recommended for promotion.</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his part, Chief Justice Davide has set aside the earnings from the cash prize he received as the 2002 Ramon Magsaysay Awardee for Government Service, in order to fund the Chief Justice Awards to outstanding court personnel holding positions below the rank of clerk of court. The first awarding ceremonies will be held next week, on December 15.</w:t>
      </w:r>
    </w:p>
    <w:p w:rsidR="00000000" w:rsidDel="00000000" w:rsidP="00000000" w:rsidRDefault="00000000" w:rsidRPr="00000000" w14:paraId="0000029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Upgrading the Judicial Environment</w:t>
      </w:r>
    </w:p>
    <w:p w:rsidR="00000000" w:rsidDel="00000000" w:rsidP="00000000" w:rsidRDefault="00000000" w:rsidRPr="00000000" w14:paraId="000002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discussing our APJR to transform judges, let me now go the portion of our reform program aimed at transforming the judicial environment.</w:t>
      </w:r>
    </w:p>
    <w:p w:rsidR="00000000" w:rsidDel="00000000" w:rsidP="00000000" w:rsidRDefault="00000000" w:rsidRPr="00000000" w14:paraId="0000029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Construction of Courthouses</w:t>
      </w:r>
    </w:p>
    <w:p w:rsidR="00000000" w:rsidDel="00000000" w:rsidP="00000000" w:rsidRDefault="00000000" w:rsidRPr="00000000" w14:paraId="000002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those of you who have visited our lower courts have undoubtedly noted the poor, sometimes dilapidated, condition of many of our courthouses all over the country. Well, we are steadily constructing and renovating them. In fact, we are even experimenting on the installation of the first electronic court in Branch 140 of the Makati Regional Trial Court.</w:t>
      </w:r>
    </w:p>
    <w:p w:rsidR="00000000" w:rsidDel="00000000" w:rsidP="00000000" w:rsidRDefault="00000000" w:rsidRPr="00000000" w14:paraId="000002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Pilot E-Court Program has four features: (1) computer-aided transcription machines, (2) a video-equipped room for child witnesses, (3) a trial court website and (4) a direct electronic link between the trial court and the Supreme Court. The trial court website aims to provide the public with information on trial schedules and the status of cases. This computer linkage will enable the Office of the Court Administrator (OCA) to monitor case loads, fees paid, and compliance with the Supreme Court’s rules on the disposition of cases. Three more model electronic courts are being built -- one each in Angeles City, Lapu Lapu City and Cagayan de Oro City.</w:t>
      </w:r>
    </w:p>
    <w:p w:rsidR="00000000" w:rsidDel="00000000" w:rsidP="00000000" w:rsidRDefault="00000000" w:rsidRPr="00000000" w14:paraId="000002A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Computerization</w:t>
      </w:r>
    </w:p>
    <w:p w:rsidR="00000000" w:rsidDel="00000000" w:rsidP="00000000" w:rsidRDefault="00000000" w:rsidRPr="00000000" w14:paraId="000002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Supreme Court has existing computerized systems tracking payrolls, attendance, leaves, property accountabilities and other administrative functions. </w:t>
      </w:r>
    </w:p>
    <w:p w:rsidR="00000000" w:rsidDel="00000000" w:rsidP="00000000" w:rsidRDefault="00000000" w:rsidRPr="00000000" w14:paraId="000002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has an official website -- www.supremecourt.gov.ph -- showing all relevant information about the Court. With assistance from the USAID, the computerized Case Flow Management (CFM) system is being piloted in Pasay City’s 18 regional and metropolitan trial courts. This system aims to expedite the resolution of cases through effective monitoring and strict observance of time limits in the conduct of case events, from the filing of the complaint up to its final disposition.</w:t>
      </w:r>
    </w:p>
    <w:p w:rsidR="00000000" w:rsidDel="00000000" w:rsidP="00000000" w:rsidRDefault="00000000" w:rsidRPr="00000000" w14:paraId="000002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 grant from the Canadian International Development Agency (CIDA), the Court Administration Management Information System (CAMIS) is being implemented on a trial basis in Metro Manila. CAMIS is an on-line case management system that automates information, as well as the reporting and analysis of court data, to help the OCA supervise the lower courts effectively.</w:t>
      </w:r>
    </w:p>
    <w:p w:rsidR="00000000" w:rsidDel="00000000" w:rsidP="00000000" w:rsidRDefault="00000000" w:rsidRPr="00000000" w14:paraId="000002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 November 19, 2004, the Court formally launched the Electronic Judicial Library. The e-Library contains in digital format all Decisions of the Supreme Court from 1901 to the present. It is equipped with a search engine that speeds up research, in tune with the e-age. It is still being expanded to include decisions of the appellate courts, as well as all laws and executive issuances.</w:t>
      </w:r>
    </w:p>
    <w:p w:rsidR="00000000" w:rsidDel="00000000" w:rsidP="00000000" w:rsidRDefault="00000000" w:rsidRPr="00000000" w14:paraId="000002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moment, the Court’s Computerization Committee, which I also chair, is integrating all the foregoing stand-alone pilots. In preparation for this integration, the Tribunal will soon launch a computer literacy program for all its 28,000 officials and employees.</w:t>
      </w:r>
    </w:p>
    <w:p w:rsidR="00000000" w:rsidDel="00000000" w:rsidP="00000000" w:rsidRDefault="00000000" w:rsidRPr="00000000" w14:paraId="000002A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8">
      <w:pPr>
        <w:rPr>
          <w:rFonts w:ascii="Georgia" w:cs="Georgia" w:eastAsia="Georgia" w:hAnsi="Georgia"/>
          <w:b w:val="1"/>
          <w:bCs w:val="1"/>
          <w:i w:val="1"/>
          <w:iCs w:val="1"/>
          <w:color w:val="000000"/>
          <w:sz w:val="22"/>
          <w:szCs w:val="22"/>
        </w:rPr>
      </w:pPr>
      <w:r w:rsidDel="00000000" w:rsidR="00000000" w:rsidRPr="00000000">
        <w:rPr>
          <w:rFonts w:ascii="Georgia" w:cs="Georgia" w:eastAsia="Georgia" w:hAnsi="Georgia"/>
          <w:b w:val="1"/>
          <w:bCs w:val="1"/>
          <w:i w:val="1"/>
          <w:iCs w:val="1"/>
          <w:sz w:val="22"/>
          <w:szCs w:val="22"/>
          <w:rtl w:val="0"/>
        </w:rPr>
        <w:t xml:space="preserve">Unclogging </w:t>
      </w:r>
      <w:r w:rsidDel="00000000" w:rsidR="00000000" w:rsidRPr="00000000">
        <w:rPr>
          <w:rFonts w:ascii="Georgia" w:cs="Georgia" w:eastAsia="Georgia" w:hAnsi="Georgia"/>
          <w:b w:val="1"/>
          <w:bCs w:val="1"/>
          <w:i w:val="1"/>
          <w:iCs w:val="1"/>
          <w:color w:val="000000"/>
          <w:sz w:val="22"/>
          <w:szCs w:val="22"/>
          <w:rtl w:val="0"/>
        </w:rPr>
        <w:t xml:space="preserve">Court Dockets</w:t>
      </w:r>
    </w:p>
    <w:p w:rsidR="00000000" w:rsidDel="00000000" w:rsidP="00000000" w:rsidRDefault="00000000" w:rsidRPr="00000000" w14:paraId="000002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Admittedly, most court dockets in our country are clogged not only because of too many cases filed, but also because one third of our trial courts are vacant. Given the low pay, there are not enough competent and ethical lawyers interested in joining the judiciary.</w:t>
      </w:r>
    </w:p>
    <w:p w:rsidR="00000000" w:rsidDel="00000000" w:rsidP="00000000" w:rsidRDefault="00000000" w:rsidRPr="00000000" w14:paraId="000002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remedy the problem, the Supreme Court is encouraging the use of alternative modes of dispute resolution or ADRs. These include mediation, arbitration and conciliation.</w:t>
      </w:r>
    </w:p>
    <w:p w:rsidR="00000000" w:rsidDel="00000000" w:rsidP="00000000" w:rsidRDefault="00000000" w:rsidRPr="00000000" w14:paraId="000002A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AC">
      <w:pPr>
        <w:rPr>
          <w:rFonts w:ascii="Georgia" w:cs="Georgia" w:eastAsia="Georgia" w:hAnsi="Georgia"/>
          <w:b w:val="1"/>
          <w:bCs w:val="1"/>
          <w:i w:val="1"/>
          <w:iCs w:val="1"/>
          <w:color w:val="000000"/>
          <w:sz w:val="22"/>
          <w:szCs w:val="22"/>
        </w:rPr>
      </w:pPr>
      <w:r w:rsidDel="00000000" w:rsidR="00000000" w:rsidRPr="00000000">
        <w:rPr>
          <w:rFonts w:ascii="Georgia" w:cs="Georgia" w:eastAsia="Georgia" w:hAnsi="Georgia"/>
          <w:b w:val="1"/>
          <w:bCs w:val="1"/>
          <w:i w:val="1"/>
          <w:iCs w:val="1"/>
          <w:color w:val="000000"/>
          <w:sz w:val="22"/>
          <w:szCs w:val="22"/>
          <w:rtl w:val="0"/>
        </w:rPr>
        <w:t xml:space="preserve">New Court Rules and Various Information Campaigns</w:t>
      </w:r>
    </w:p>
    <w:p w:rsidR="00000000" w:rsidDel="00000000" w:rsidP="00000000" w:rsidRDefault="00000000" w:rsidRPr="00000000" w14:paraId="000002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To hasten cases and to keep up with modern technology, the Court has issued new rules on, among others, the infringement of intellectual property, the use of electronic evidence, corporate rehabilitation, conduct of pretrial, the use of discovery measures, family problems, and violence against women and children.</w:t>
      </w:r>
    </w:p>
    <w:p w:rsidR="00000000" w:rsidDel="00000000" w:rsidP="00000000" w:rsidRDefault="00000000" w:rsidRPr="00000000" w14:paraId="000002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To open up new vistas, the Court is conducting various information campaigns, like Chamber-to-Chamber Dialogues, Justice-to-Justice Conversations, and Access to Justice for the Poor programs. The last one is supported by the European Union.</w:t>
      </w:r>
    </w:p>
    <w:p w:rsidR="00000000" w:rsidDel="00000000" w:rsidP="00000000" w:rsidRDefault="00000000" w:rsidRPr="00000000" w14:paraId="000002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are only some of the many projects being undertaken to reinvent the judiciary; to keep it in stride with new technology; and to meet ever increasing demands for transparency, competence and integrity.</w:t>
      </w:r>
    </w:p>
    <w:p w:rsidR="00000000" w:rsidDel="00000000" w:rsidP="00000000" w:rsidRDefault="00000000" w:rsidRPr="00000000" w14:paraId="000002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gratifying that our judicial reforms have not gone unnoticed in our part of the world. We have entertained jurists from Bhutan, Nepal, Vietnam and Indonesia, who have come to observe our judicial reforms. The APJR was cited as a model for judicial reform by guest speakers from the World Bank and the United Nations during the 9th Conference of Chief Justices held in Christchurch, New Zealand, on October 4-8, 2001.</w:t>
      </w:r>
    </w:p>
    <w:p w:rsidR="00000000" w:rsidDel="00000000" w:rsidP="00000000" w:rsidRDefault="00000000" w:rsidRPr="00000000" w14:paraId="000002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conclude, let me go back to where I started. Let me say again how grateful we are that the Supreme Court has earned the trust not only of the Filipino public, but also of the international community. The international funding agencies have not only supported our reform program, they have also referred to it as a model for other developing countries. I hope that all the members of the Philippine Business Forum/Economist Corporate Network would likewise put their trust in our Supreme Court. And to paraphrase Justice Oliver Wendell Holmes Jr., may I assure you that you can put your trust in the Supreme Court, which will in turn protect your investments by leveling the business playing field and promoting the rule of law.</w:t>
      </w:r>
    </w:p>
    <w:p w:rsidR="00000000" w:rsidDel="00000000" w:rsidP="00000000" w:rsidRDefault="00000000" w:rsidRPr="00000000" w14:paraId="000002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2B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A">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0">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7</w:t>
      </w:r>
    </w:p>
    <w:p w:rsidR="00000000" w:rsidDel="00000000" w:rsidP="00000000" w:rsidRDefault="00000000" w:rsidRPr="00000000" w14:paraId="000002C1">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C2">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Independence and Integrity of the Philippine Judiciary</w:t>
      </w:r>
    </w:p>
    <w:p w:rsidR="00000000" w:rsidDel="00000000" w:rsidP="00000000" w:rsidRDefault="00000000" w:rsidRPr="00000000" w14:paraId="000002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our chairperson, Chief Justice David K. Malcolm, for inviting me to speak during this XIX Biennial LAWASIA Conference in the Gold Coast, Queensland, Australia. Specifically, I would like to discuss how the integrity and the independence of the judiciary is upheld in our country.</w:t>
      </w:r>
    </w:p>
    <w:p w:rsidR="00000000" w:rsidDel="00000000" w:rsidP="00000000" w:rsidRDefault="00000000" w:rsidRPr="00000000" w14:paraId="000002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court decisions are not made on the basis of what is popular or newsworthy, still I believe it essential that the judiciary must continuously retain the trust and confidence of the litigants and the public. A number of factors explain why our Supreme Court has been rated annually as one of the top five most credible institutions in our country in public opinion surveys conducted by respected polling organizations in the Philippines. One outstanding reason is that our Supreme Court has, time and time again, demonstrated its independence and integrity in performing its functions. Let me explain why and how.</w:t>
      </w:r>
    </w:p>
    <w:p w:rsidR="00000000" w:rsidDel="00000000" w:rsidP="00000000" w:rsidRDefault="00000000" w:rsidRPr="00000000" w14:paraId="000002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7">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Equality Amongst the Three Great Branches</w:t>
      </w:r>
    </w:p>
    <w:p w:rsidR="00000000" w:rsidDel="00000000" w:rsidP="00000000" w:rsidRDefault="00000000" w:rsidRPr="00000000" w14:paraId="000002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our present Constitution, which took effect in 1987, was crafted after a dictatorial regime was toppled in a bloodless People Power Revolution in 1986. To prevent the recurrence of an authoritarian government, our Constitution reduced the powers of the Executive and the Legislative Departments and intensified those of the Judicial Department to enable the judiciary to check executive and legislative abuses and excesses. In our country, there is only one Supreme Court; its decisions -- on constitutional, administrative, legal or arbitral issues -- cannot be passed upon, much less modified or reversed, by any other office or agency.</w:t>
      </w:r>
    </w:p>
    <w:p w:rsidR="00000000" w:rsidDel="00000000" w:rsidP="00000000" w:rsidRDefault="00000000" w:rsidRPr="00000000" w14:paraId="000002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as in most other judiciaries of the world, our Supreme Court reviews and corrects the errors of lower courts. Unlike many other Supreme Courts, however, it is additionally mandated by our Constitution to nullify any act of any branch or official of the government -- including that of the President or of Congress -- when such act is done with “grave abuse of discretion.” This specific mandate to strike down gravely abusive actions is a solemn responsibility the Court cannot shirk from. It is not just a power; it is a duty. A power can be relinquished; but a duty cannot, under any circumstance, be evaded.</w:t>
      </w:r>
    </w:p>
    <w:p w:rsidR="00000000" w:rsidDel="00000000" w:rsidP="00000000" w:rsidRDefault="00000000" w:rsidRPr="00000000" w14:paraId="000002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this duty, the Supreme Court has nullified laws passed by Congress and executive orders issued by the President. In one notable case, the Court even stopped Congress from impeaching the Chief Justice, on the ground that the lawmaking body had violated a time-bar provision of our Constitution. The Court has likewise struck down decisions and actions of cabinet secretaries, bureau directors, top-ranking officers of the military and the police; and has voided contracts entered into by government officials -- all on the ground of grave abuse of discretion.</w:t>
      </w:r>
    </w:p>
    <w:p w:rsidR="00000000" w:rsidDel="00000000" w:rsidP="00000000" w:rsidRDefault="00000000" w:rsidRPr="00000000" w14:paraId="000002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Grave abuse of discretion is committed 1) when an act is done contrary to the Constitution, the laws or jurisprudence; or 2) when it is executed “whimsically or arbitrarily” in a manner “so patent and so gross as to amount to an evasion of a positive duty or to a virtual refusal to perform the duty enjoined.”</w:t>
      </w:r>
    </w:p>
    <w:p w:rsidR="00000000" w:rsidDel="00000000" w:rsidP="00000000" w:rsidRDefault="00000000" w:rsidRPr="00000000" w14:paraId="000002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its exercise of this duty to nullify gravely abusive acts, the Supreme Court is not superior to the President or to Congress. When the Court so acts, it is merely to see to it that the Constitution and the laws reign supreme. Law overrides the desires and caprices of officials. In short, in our country, the rule of law -- not of men -- prevails.</w:t>
      </w:r>
    </w:p>
    <w:p w:rsidR="00000000" w:rsidDel="00000000" w:rsidP="00000000" w:rsidRDefault="00000000" w:rsidRPr="00000000" w14:paraId="000002CD">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C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Sole Judge of All Presidential Election Protests</w:t>
      </w:r>
    </w:p>
    <w:p w:rsidR="00000000" w:rsidDel="00000000" w:rsidP="00000000" w:rsidRDefault="00000000" w:rsidRPr="00000000" w14:paraId="000002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Supreme Court, sitting en banc, is the sole judge of all contests relating to the “election, returns and qualifications” of the President and the Vice-President. Still pending before our Court is the election protest filed against our incumbent Vice-President by the losing vice- presidential candidate in the 2004 elections.</w:t>
      </w:r>
    </w:p>
    <w:p w:rsidR="00000000" w:rsidDel="00000000" w:rsidP="00000000" w:rsidRDefault="00000000" w:rsidRPr="00000000" w14:paraId="000002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Constitution has empowered the Supreme Court, in an appropriate proceeding filed by any citizen, to inquire into “the sufficiency of the factual basis of [a presidential] proclamation of Martial Law or the suspension of the privilege of the writ [of habeas corpus] or the extension thereof x x x.”</w:t>
      </w:r>
    </w:p>
    <w:p w:rsidR="00000000" w:rsidDel="00000000" w:rsidP="00000000" w:rsidRDefault="00000000" w:rsidRPr="00000000" w14:paraId="000002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our Constitution bars Congress from enacting laws that emasculate or lessen the jurisdiction of the Supreme Court. Furthermore, to increase the appellate jurisdiction of the Court, its advice and concurrence must first be secured by Congress.</w:t>
      </w:r>
    </w:p>
    <w:p w:rsidR="00000000" w:rsidDel="00000000" w:rsidP="00000000" w:rsidRDefault="00000000" w:rsidRPr="00000000" w14:paraId="000002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security of tenure of all judges is guaranteed. Once appointed by the President, they serve until they reach the age of 70, on condition of good behavior. They may be disciplined or removed from office only for cause and only by the Supreme Court – not by the President or Congress. Neither can their terms of office be extended. On the other hand, members of the Supreme Court may be removed only by the tedious process of impeachment.</w:t>
      </w:r>
    </w:p>
    <w:p w:rsidR="00000000" w:rsidDel="00000000" w:rsidP="00000000" w:rsidRDefault="00000000" w:rsidRPr="00000000" w14:paraId="000002D3">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D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Limitations on Judicial Appointments</w:t>
      </w:r>
    </w:p>
    <w:p w:rsidR="00000000" w:rsidDel="00000000" w:rsidP="00000000" w:rsidRDefault="00000000" w:rsidRPr="00000000" w14:paraId="000002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the President’s power to appoint members of the judiciary is limited to a list of at least three persons nominated by the Judicial and Bar Council, a constitutional agency chaired by the Chief Justice. The President cannot appoint anyone not included in that list. Unlike in the US, appointments to the bench do not require legislative confirmation.</w:t>
      </w:r>
    </w:p>
    <w:p w:rsidR="00000000" w:rsidDel="00000000" w:rsidP="00000000" w:rsidRDefault="00000000" w:rsidRPr="00000000" w14:paraId="000002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Eighth, our Constitution grants fiscal autonomy to the judiciary in two ways: (1) the salaries of members of the bench cannot be decreased during their terms of office; and (2) the budgetary appropriation for the judiciary cannot be decreased by Congress below that for the previous year. Once approved, the judicial budget shall be “automatically and regularly released.”</w:t>
      </w:r>
    </w:p>
    <w:p w:rsidR="00000000" w:rsidDel="00000000" w:rsidP="00000000" w:rsidRDefault="00000000" w:rsidRPr="00000000" w14:paraId="000002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Ninth, the Supreme Court also controls admission to the practice of law; for this reason, it conducts the annual bar examinations. It is also empowered to discipline, suspend or disbar erring lawyers. In the exercise of this prerogative, it has required all attorneys to be members of the Integrated Bar of the Philippines.</w:t>
      </w:r>
    </w:p>
    <w:p w:rsidR="00000000" w:rsidDel="00000000" w:rsidP="00000000" w:rsidRDefault="00000000" w:rsidRPr="00000000" w14:paraId="000002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Tenth, the Supreme Court prepares and promulgates rules of procedure and evidence in all courts in the Philippines. It can also decree rules “concerning the protection and enforcement of constitutional rights,” a prerogative that is quasi-legislative in character.</w:t>
      </w:r>
    </w:p>
    <w:p w:rsidR="00000000" w:rsidDel="00000000" w:rsidP="00000000" w:rsidRDefault="00000000" w:rsidRPr="00000000" w14:paraId="000002D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A">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True Source of Judicial Power</w:t>
      </w:r>
    </w:p>
    <w:p w:rsidR="00000000" w:rsidDel="00000000" w:rsidP="00000000" w:rsidRDefault="00000000" w:rsidRPr="00000000" w14:paraId="000002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wielding the foregoing enormous powers and responsibilities that go beyond normal judicial prerogatives, the Philippine judiciary is still considered the weakest of the three great branches of government. It is said that the bench is no match to the authority of the legislature to control the budget of the country and to impeach the President, the Vice-President, the Supreme Court justices, and other government officials whose terms of office have otherwise been fixed by the Constitution; or to the power of the executive to command the armed forces and the police.</w:t>
      </w:r>
    </w:p>
    <w:p w:rsidR="00000000" w:rsidDel="00000000" w:rsidP="00000000" w:rsidRDefault="00000000" w:rsidRPr="00000000" w14:paraId="000002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respectfully believe, however, that in every confrontation, on every occasion in which the Supreme Court has been called upon to wade into “grave abuse” and other legal disputes, it has always taken courage and performed its constitutional duty with integrity and independence. Its very weakness -- its lack of budget and police powers -- has become its strength when it dares speak through objective and well-reasoned decisions that uphold the rule of law and the supremacy of the Constitution. The true strength of our Supreme Court (and of the entire judiciary) lies not in brute military power or political patronage, but in its moral courage -- born of competence, independence and integrity -- to perform its constitutional mandate at all times and against all odds.</w:t>
      </w:r>
    </w:p>
    <w:p w:rsidR="00000000" w:rsidDel="00000000" w:rsidP="00000000" w:rsidRDefault="00000000" w:rsidRPr="00000000" w14:paraId="000002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D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D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E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F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F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F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F3">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9">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8</w:t>
      </w:r>
    </w:p>
    <w:p w:rsidR="00000000" w:rsidDel="00000000" w:rsidP="00000000" w:rsidRDefault="00000000" w:rsidRPr="00000000" w14:paraId="000002FA">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FB">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Access to Justice: A Prerequisite to Economic Development</w:t>
      </w:r>
    </w:p>
    <w:p w:rsidR="00000000" w:rsidDel="00000000" w:rsidP="00000000" w:rsidRDefault="00000000" w:rsidRPr="00000000" w14:paraId="000002F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greatly honored to have been invited by the Asian Development Bank (ADB) to attend this symposium it sponsored on judicial reforms and to deliver the keynote address on “Enhancing the Effectiveness and Accountability of the Judiciary.”</w:t>
      </w:r>
    </w:p>
    <w:p w:rsidR="00000000" w:rsidDel="00000000" w:rsidP="00000000" w:rsidRDefault="00000000" w:rsidRPr="00000000" w14:paraId="000002FE">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F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Interest in Judicial Reforms</w:t>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start by recalling that on October 4-8, 2001, during the 9th Conference of Chief Justices in the Asia-Pacific in Christchurch, New Zealand, guest speakers from the United Nations and the World Bank spoke glowingly of the efforts of the Philippine Supreme Court to uphold judicial independence and integrity. As a Filipino citizen, I was singularly proud to be present at the conference and to hear this unsolicited tribute to the Philippine judiciary.</w:t>
      </w:r>
    </w:p>
    <w:p w:rsidR="00000000" w:rsidDel="00000000" w:rsidP="00000000" w:rsidRDefault="00000000" w:rsidRPr="00000000" w14:paraId="000003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was more than three years ago. Since then, various developmental agencies have made further endorsements of our Action Program for Judicial Reform (APJR). Aside from supporting the APJR with grants and loans, the World Bank has posted on its own website our blueprint for reform as a model that other developing countries may follow, should they desire World Bank assistance. The US Agency for International Development (USAID), the Canadian International Development Agency (CIDA) and the Australian AID (AusAID) have also given us generous assistance, particularly in computerizing the internal processes of the judiciary and in making its information functions more transparent.</w:t>
      </w:r>
    </w:p>
    <w:p w:rsidR="00000000" w:rsidDel="00000000" w:rsidP="00000000" w:rsidRDefault="00000000" w:rsidRPr="00000000" w14:paraId="000003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now at an advanced stage of negotiation for a Japanese government grant to build our Philippine Judicial Academy complex in Tagaytay, which is envisioned to be a center for continuing judicial education. Lately, the European Union has granted the Supreme Court some 2.3 million euros to help implement our “Access to Justice for the Poor” program.</w:t>
      </w:r>
    </w:p>
    <w:p w:rsidR="00000000" w:rsidDel="00000000" w:rsidP="00000000" w:rsidRDefault="00000000" w:rsidRPr="00000000" w14:paraId="000003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Early on, the Asian Development Bank has given us ADB TA No. 3693-PHI aimed at “Strengthening the Independence and Defining the Accountability of the Judiciary.”</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5">
      <w:pPr>
        <w:rPr>
          <w:rFonts w:ascii="Georgia" w:cs="Georgia" w:eastAsia="Georgia" w:hAnsi="Georgia"/>
          <w:b w:val="1"/>
          <w:bCs w:val="1"/>
          <w:i w:val="1"/>
          <w:iCs w:val="1"/>
          <w:color w:val="000000"/>
          <w:sz w:val="22"/>
          <w:szCs w:val="22"/>
        </w:rPr>
      </w:pPr>
      <w:r w:rsidDel="00000000" w:rsidR="00000000" w:rsidRPr="00000000">
        <w:rPr>
          <w:rFonts w:ascii="Georgia" w:cs="Georgia" w:eastAsia="Georgia" w:hAnsi="Georgia"/>
          <w:b w:val="1"/>
          <w:bCs w:val="1"/>
          <w:i w:val="1"/>
          <w:iCs w:val="1"/>
          <w:color w:val="000000"/>
          <w:sz w:val="22"/>
          <w:szCs w:val="22"/>
          <w:rtl w:val="0"/>
        </w:rPr>
        <w:t xml:space="preserve">Role of the Supreme Court in Governance</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distant past, the highest court in the Philippines (and in many parts of the world) was shrouded in mystery. Its processes were secretive, its sessions private, and its members shielded from public scrutiny. It has been described as a fortress, a Mount Olympus where the gods were unapproachable and untouchable.</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its sometimes mysterious ways, the Supreme Court is treated as coequal with the President and Congress. It is vested by the Constitution with the solemn duty to nullify any act of any branch of government, including those of the President and of Congress, on the ground of “grave abuse of discretion.” Pursuant to such plenary authority, the Court has, on many occasions, struck down laws that contravened the Constitution, executive and administrative orders issued without lawful authority, and mega-contracts entered into with grave abuse of discretion by the officials concerned.</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judiciary certainly has a vital role in the development of the country; it reaches not only the traditional domains of peace and order, but almost every aspect of national and community life -- be it social, economic, political or humanitarian. Moreover, the judiciary stands as the last bulwark of democracy and the ultimate recourse of the people in redressing grievances not attended to or, worse, committed by other agencies of government.</w:t>
      </w:r>
    </w:p>
    <w:p w:rsidR="00000000" w:rsidDel="00000000" w:rsidP="00000000" w:rsidRDefault="00000000" w:rsidRPr="00000000" w14:paraId="0000030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Need for Transparency in Judicial Processes</w:t>
      </w:r>
    </w:p>
    <w:p w:rsidR="00000000" w:rsidDel="00000000" w:rsidP="00000000" w:rsidRDefault="00000000" w:rsidRPr="00000000" w14:paraId="000003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all-encompassing and metamorphosing effect of the judiciary on the lives of our people, there has been an ever-growing call for more transparency on its part. In response, the doors of the judicial fortress have been partially opened and the gods have become a bit more accessible. Both their persons and their lives have been subjected to more rigid public scrutiny.</w:t>
      </w:r>
    </w:p>
    <w:p w:rsidR="00000000" w:rsidDel="00000000" w:rsidP="00000000" w:rsidRDefault="00000000" w:rsidRPr="00000000" w14:paraId="000003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the judicial enclave has been invaded by the transparency requirements of the Constitution, the Ethical Standards Law, the Canons of Judicial Ethics and the New Code of Judicial Conduct for the Philippine Judiciary. The democratic space and libertarian spirit that the Supreme Court has repeatedly espoused in its judgments of other government institutions have seeped into its own functions and activities.</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information revolution has penetrated the judicial fortress. Our people no longer accept judicial doctrines they do not understand. Neither do they blindly defer to judgments that rest on unexplained rationale. For its part, media has persistently knocked on the ramparts of judicial fortifications and climbed the steep gorges of Mount Olympus. “[T]he invasive power and influence of media have penetrated the thick walls of the judicial fortress.”</w:t>
      </w:r>
    </w:p>
    <w:p w:rsidR="00000000" w:rsidDel="00000000" w:rsidP="00000000" w:rsidRDefault="00000000" w:rsidRPr="00000000" w14:paraId="000003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its vital role in the life of the nation, the judiciary has become the focus of many credible developmental agencies like the World Bank and the ADB. They realize that stability in the rule of law and predictability in the rendition of decisions are indispensable to investor confidence and economic development, and ultimately to good governance.</w:t>
      </w:r>
    </w:p>
    <w:p w:rsidR="00000000" w:rsidDel="00000000" w:rsidP="00000000" w:rsidRDefault="00000000" w:rsidRPr="00000000" w14:paraId="000003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Notably, your forum today goes beyond a discussion of economic development and the traditional indices used to measure this nation’s stability and growth, like the gross domestic product, gross international reserves and credit-agency ratings.</w:t>
      </w:r>
    </w:p>
    <w:p w:rsidR="00000000" w:rsidDel="00000000" w:rsidP="00000000" w:rsidRDefault="00000000" w:rsidRPr="00000000" w14:paraId="000003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letter inviting me to this symposium, ADB General Counsel Arthur M. Mitchell asked me to stress how a more effective and accountable judiciary contributes to poverty reduction, particularly (1) in leveling the economic playing field, (2) in providing access to opportunity and availability of food and shelter, and (3) in protecting the substantive and procedural due process of law. Indeed, access to justice especially by the poor is as essential to good governance as investor confidence in the economy.</w:t>
      </w:r>
    </w:p>
    <w:p w:rsidR="00000000" w:rsidDel="00000000" w:rsidP="00000000" w:rsidRDefault="00000000" w:rsidRPr="00000000" w14:paraId="000003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very limited time given me (20 minutes), I shall discuss this topic in broad bullet-type strokes, but with detailed footnotes on the hard copy of this address that will be distributed to all of you later.</w:t>
      </w:r>
    </w:p>
    <w:p w:rsidR="00000000" w:rsidDel="00000000" w:rsidP="00000000" w:rsidRDefault="00000000" w:rsidRPr="00000000" w14:paraId="000003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Pro-Poor Bias of our Constitution and Laws</w:t>
      </w:r>
    </w:p>
    <w:p w:rsidR="00000000" w:rsidDel="00000000" w:rsidP="00000000" w:rsidRDefault="00000000" w:rsidRPr="00000000" w14:paraId="000003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say that our very Constitution is pro-poor, pro-labor and pro-human rights. Having arisen from the ashes of an authoritarian regime, our 1987 Constitution is international in outlook, promotive of social justice, respectful of human rights, responsive to the role of women, protective of labor, and cognizant of the rights of indigenous cultural communities.</w:t>
      </w:r>
    </w:p>
    <w:p w:rsidR="00000000" w:rsidDel="00000000" w:rsidP="00000000" w:rsidRDefault="00000000" w:rsidRPr="00000000" w14:paraId="000003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Constitution spells out in neat detail the rights of persons accused of crimes and assures them of free access to the courts and adequate legal assistance, which “shall not be denied to any person by reason of poverty.” Furthermore, it provides in clear black-and-white provisions the so-called Miranda rights of the accused. In all criminal prosecutions, due process and the right to “competent and independent counsel” are guaranteed.</w:t>
      </w:r>
    </w:p>
    <w:p w:rsidR="00000000" w:rsidDel="00000000" w:rsidP="00000000" w:rsidRDefault="00000000" w:rsidRPr="00000000" w14:paraId="000003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social justice is given high priority in our constitutional hierarchy. Second, to implement these pro-poor constitutional mandates, Congress has passed several laws having the following aims:</w:t>
      </w:r>
    </w:p>
    <w:p w:rsidR="00000000" w:rsidDel="00000000" w:rsidP="00000000" w:rsidRDefault="00000000" w:rsidRPr="00000000" w14:paraId="000003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To define the rights of persons arrested or detained</w:t>
      </w:r>
    </w:p>
    <w:p w:rsidR="00000000" w:rsidDel="00000000" w:rsidP="00000000" w:rsidRDefault="00000000" w:rsidRPr="00000000" w14:paraId="000003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To protect women and children from domestic violence</w:t>
      </w:r>
    </w:p>
    <w:p w:rsidR="00000000" w:rsidDel="00000000" w:rsidP="00000000" w:rsidRDefault="00000000" w:rsidRPr="00000000" w14:paraId="000003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To protect children from abuse, exploitation and discrimination</w:t>
      </w:r>
    </w:p>
    <w:p w:rsidR="00000000" w:rsidDel="00000000" w:rsidP="00000000" w:rsidRDefault="00000000" w:rsidRPr="00000000" w14:paraId="000003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To penalize violations of basic human rights</w:t>
      </w:r>
    </w:p>
    <w:p w:rsidR="00000000" w:rsidDel="00000000" w:rsidP="00000000" w:rsidRDefault="00000000" w:rsidRPr="00000000" w14:paraId="000003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To settle disputes amicably at the barangay level</w:t>
      </w:r>
    </w:p>
    <w:p w:rsidR="00000000" w:rsidDel="00000000" w:rsidP="00000000" w:rsidRDefault="00000000" w:rsidRPr="00000000" w14:paraId="000003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To enhance the capability of low-income groups to acquire low-cost housing</w:t>
      </w:r>
    </w:p>
    <w:p w:rsidR="00000000" w:rsidDel="00000000" w:rsidP="00000000" w:rsidRDefault="00000000" w:rsidRPr="00000000" w14:paraId="000003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To develop agriculture and empower small farmers</w:t>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To accord protection to labor</w:t>
      </w:r>
    </w:p>
    <w:p w:rsidR="00000000" w:rsidDel="00000000" w:rsidP="00000000" w:rsidRDefault="00000000" w:rsidRPr="00000000" w14:paraId="0000031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F">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Supreme Court’s Role in Fostering Social Justice</w:t>
      </w:r>
    </w:p>
    <w:p w:rsidR="00000000" w:rsidDel="00000000" w:rsidP="00000000" w:rsidRDefault="00000000" w:rsidRPr="00000000" w14:paraId="000003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even more directly, the Supreme Court has opened the justice system to indigents through these measures:</w:t>
      </w:r>
    </w:p>
    <w:p w:rsidR="00000000" w:rsidDel="00000000" w:rsidP="00000000" w:rsidRDefault="00000000" w:rsidRPr="00000000" w14:paraId="000003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Exempting them from the payment of docket and other fees and transcripts of stenographic notes</w:t>
      </w:r>
    </w:p>
    <w:p w:rsidR="00000000" w:rsidDel="00000000" w:rsidP="00000000" w:rsidRDefault="00000000" w:rsidRPr="00000000" w14:paraId="000003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Providing protection to and enforcement of the constitutional rights of the accused</w:t>
      </w:r>
    </w:p>
    <w:p w:rsidR="00000000" w:rsidDel="00000000" w:rsidP="00000000" w:rsidRDefault="00000000" w:rsidRPr="00000000" w14:paraId="000003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Granting free legal counsel to indigents</w:t>
      </w:r>
    </w:p>
    <w:p w:rsidR="00000000" w:rsidDel="00000000" w:rsidP="00000000" w:rsidRDefault="00000000" w:rsidRPr="00000000" w14:paraId="000003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Requiring lawyers to provide free representation to poor litigant</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pro bono legal services are provided by several nongovernmental groups, like (a) the Integrated Bar of the Philippines, to which the Supreme Court gives an annual grant to fund its Free Legal Aid Program; and (b) the Free Legal Assistance Group (FLAG), which focuses on public, rather than private, issues.</w:t>
      </w:r>
    </w:p>
    <w:p w:rsidR="00000000" w:rsidDel="00000000" w:rsidP="00000000" w:rsidRDefault="00000000" w:rsidRPr="00000000" w14:paraId="000003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attend to our Muslim brethren, the Supreme Court has authorized the organization of the Shari’ah Appellate Court, which was established by RA 6734 or the ARMM Law.</w:t>
      </w:r>
    </w:p>
    <w:p w:rsidR="00000000" w:rsidDel="00000000" w:rsidP="00000000" w:rsidRDefault="00000000" w:rsidRPr="00000000" w14:paraId="000003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long line of decisions, the Supreme Court has been openly and unabashedly propoor, pro-labor and pro-human rights.</w:t>
      </w:r>
    </w:p>
    <w:p w:rsidR="00000000" w:rsidDel="00000000" w:rsidP="00000000" w:rsidRDefault="00000000" w:rsidRPr="00000000" w14:paraId="000003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Ang Bagong Bayani-OFW Labor Party v. Commission on Elections,[37] for instance, held that the Filipino-style party-list system was reserved for the poor and the marginalized. In the Decision that I had the honor to write, the Court observed thus:</w:t>
      </w:r>
    </w:p>
    <w:p w:rsidR="00000000" w:rsidDel="00000000" w:rsidP="00000000" w:rsidRDefault="00000000" w:rsidRPr="00000000" w14:paraId="000003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ironic, x x x that the marginalized and underrepresented in our midst are the majority who wallow in poverty, destitution and infirmity. It was for them that the party-list system was enacted -- to give them not only genuine hope, but genuine power; to give them the opportunity to be elected and to represent the specific concerns of their constituencies; and simply to give them a direct voice in Congress and in the larger affairs of the State. In its noblest sense, the party-list system truly empowers the masses and ushers a new hope for genuine change. Verily, it invites those marginalized and underrepresented in the past -- the farm hands, the fisher folk, the urban poor, even those in the underground movement -- to come out and participate, as indeed many of them came out and participated during the last elections. The State cannot now disappoint and frustrate them by disabling and desecrating this social justice vehicle.”</w:t>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Nowhere is the bias of the Court for the poor clearer than in its labor law decisions. Under its watchful eyes and steady hands thrived and bloomed the seeds sown in 1940 by Calalang v. Williams. For sure, some of the battles that have been waged on this front still rage to this day. Accordingly, the Court has steadfastly ruled as follows:</w:t>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Workers may be dismissed from work only upon (1) a just or authorized cause and (2) upon observance of due process.</w:t>
      </w:r>
    </w:p>
    <w:p w:rsidR="00000000" w:rsidDel="00000000" w:rsidP="00000000" w:rsidRDefault="00000000" w:rsidRPr="00000000" w14:paraId="000003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Illegally dismissed workers are entitled to reinstatement, damages and back wages. </w:t>
      </w:r>
    </w:p>
    <w:p w:rsidR="00000000" w:rsidDel="00000000" w:rsidP="00000000" w:rsidRDefault="00000000" w:rsidRPr="00000000" w14:paraId="000003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Strict technical legal requirements may be disregarded whenever they are used to deny substantial justice to workers.</w:t>
      </w:r>
    </w:p>
    <w:p w:rsidR="00000000" w:rsidDel="00000000" w:rsidP="00000000" w:rsidRDefault="00000000" w:rsidRPr="00000000" w14:paraId="000003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Employees, though dismissed for a just cause, may be awarded separation pay on the grounds of equity and social justice, except when they have been dismissed for serious misconduct or some other cause reflecting on their moral character.</w:t>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Workers’ quitclaims and waivers are generally not binding and should not bar employees from claiming what is legally due them under the law.</w:t>
      </w:r>
    </w:p>
    <w:p w:rsidR="00000000" w:rsidDel="00000000" w:rsidP="00000000" w:rsidRDefault="00000000" w:rsidRPr="00000000" w14:paraId="000003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Employees in the private sector can, subject to reasonable restrictions, picket and strike to protect themselves against exploitation and to seek better conditions of employment.</w:t>
      </w:r>
    </w:p>
    <w:p w:rsidR="00000000" w:rsidDel="00000000" w:rsidP="00000000" w:rsidRDefault="00000000" w:rsidRPr="00000000" w14:paraId="000003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Local recruitment companies may be held liable for violation of the labor contracts of overseas Filipino workers.</w:t>
      </w:r>
    </w:p>
    <w:p w:rsidR="00000000" w:rsidDel="00000000" w:rsidP="00000000" w:rsidRDefault="00000000" w:rsidRPr="00000000" w14:paraId="000003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The applicability of labor doctrines is extended to civil servants who have been dismissed from the service when less punitive penalties would have sufficed.</w:t>
      </w:r>
    </w:p>
    <w:p w:rsidR="00000000" w:rsidDel="00000000" w:rsidP="00000000" w:rsidRDefault="00000000" w:rsidRPr="00000000" w14:paraId="000003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discussion is by no means exhaustive.</w:t>
      </w:r>
    </w:p>
    <w:p w:rsidR="00000000" w:rsidDel="00000000" w:rsidP="00000000" w:rsidRDefault="00000000" w:rsidRPr="00000000" w14:paraId="000003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magnitude and viciousness of human rights violations in our recent history have spurred the Court to strengthen the protection of the people’s fundamental rights. It has been uncompromising in (1) penalizing judges who failed to inform uneducated accused persons of their rights to counsel; (2) annulling lower court judgments in which the judge failed to conduct a “searching inquiry” whenever the accused had waived their right to be heard and plead guilty to the charge against them; (3) voiding judgments that do not conform with the constitutional standards as to form and substance; and (4) extending the protection of the Universal Declaration of Human Rights to everyone, including aliens.</w:t>
      </w:r>
    </w:p>
    <w:p w:rsidR="00000000" w:rsidDel="00000000" w:rsidP="00000000" w:rsidRDefault="00000000" w:rsidRPr="00000000" w14:paraId="0000033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Restoration of the Death Penalty</w:t>
      </w:r>
    </w:p>
    <w:p w:rsidR="00000000" w:rsidDel="00000000" w:rsidP="00000000" w:rsidRDefault="00000000" w:rsidRPr="00000000" w14:paraId="000003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Notwithstanding the restoration of the death penalty -- declared by the Court to be constitutional despite my unyielding personal opinion that it was not -- the Court has been strict in reviewing death sentences imposed by lower courts. As a result, less than one third of such judgments have been affirmed. Recently in People v. Mateo, the Supreme Court held it “wise and compelling” to have the Court of Appeals (CA) review all death and life sentences before elevating them to the Supreme Court.</w:t>
      </w:r>
    </w:p>
    <w:p w:rsidR="00000000" w:rsidDel="00000000" w:rsidP="00000000" w:rsidRDefault="00000000" w:rsidRPr="00000000" w14:paraId="000003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Mateo, the Court amended certain portions of the Revise Rules of Criminal procedure -- Sections 3(c), 3(d) and 10 of Rule 122; and Sections 12 and 13 of Rule 124 -- to simplify the appeal of capital offenses by requiring a notice of appeal only to the CA.</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Death convicts must be given the same opportunity for multiple review as those convicted of lesser crimes.</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many decisions of the Supreme Court favoring the poor, the oppressed and the disadvantaged, it has oftentimes been criticized. Guilty parties are sometimes acquitted because of the stringent requirements of evidence to convict -- proof beyond reasonable doubt -- and the inadmissibility in Philippine courts of illegally obtained evidence. I remember the lament of a foreign diplomat who wryly commented that in his country – unlike in ours -- no guilty person, whether rich or poor, had ever been acquitted on a mere technicality of the law.</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because of our labor laws, many businessmen complain that they are hampered in disciplining erring employees who could harass them through never-ending strikes, pickets, attacks coursed through the media, or continuous complaints to the National Labor Relations Commission.</w:t>
      </w:r>
    </w:p>
    <w:p w:rsidR="00000000" w:rsidDel="00000000" w:rsidP="00000000" w:rsidRDefault="00000000" w:rsidRPr="00000000" w14:paraId="000003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these occasional laments, our judiciary has steadfastly maintained its social justice orientation, because our Constitution and laws require it, and an opposite policy would alienate the marginalized. If denied access to the democratic institutions of justice, they may be tempted to take the law into their own hands.</w:t>
      </w:r>
    </w:p>
    <w:p w:rsidR="00000000" w:rsidDel="00000000" w:rsidP="00000000" w:rsidRDefault="00000000" w:rsidRPr="00000000" w14:paraId="0000033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33F">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To sum up the balancing role of the judiciary in our government, may I quote my recent </w:t>
      </w:r>
      <w:r w:rsidDel="00000000" w:rsidR="00000000" w:rsidRPr="00000000">
        <w:rPr>
          <w:rFonts w:ascii="Georgia" w:cs="Georgia" w:eastAsia="Georgia" w:hAnsi="Georgia"/>
          <w:color w:val="000000"/>
          <w:sz w:val="22"/>
          <w:szCs w:val="22"/>
          <w:rtl w:val="0"/>
        </w:rPr>
        <w:t xml:space="preserve">book Leveling the Playing Field:</w:t>
      </w:r>
    </w:p>
    <w:p w:rsidR="00000000" w:rsidDel="00000000" w:rsidP="00000000" w:rsidRDefault="00000000" w:rsidRPr="00000000" w14:paraId="000003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safeguards not only food but also freedom, not only jobs but also justice, not only indulgences but also integrity, not only development but also democracy, not only prosperity but also peace.”</w:t>
      </w:r>
    </w:p>
    <w:p w:rsidR="00000000" w:rsidDel="00000000" w:rsidP="00000000" w:rsidRDefault="00000000" w:rsidRPr="00000000" w14:paraId="000003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your conference theme today, “Challenges in Implementing Access to Judicial Reforms,” I believe that you would agree with the afore-quoted job description of our highest court. Indeed, there can be no prosperity or progress without affording justice and peace to all, especially to the underprivileged and the disadvantaged. May I congratulate the ADB and all the participants in this symposium for a reassuring interest in strengthening the indispensible nexus between justice and development.</w:t>
      </w:r>
    </w:p>
    <w:p w:rsidR="00000000" w:rsidDel="00000000" w:rsidP="00000000" w:rsidRDefault="00000000" w:rsidRPr="00000000" w14:paraId="000003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hanging="288"/>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4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5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5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5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53">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7">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9</w:t>
      </w:r>
    </w:p>
    <w:p w:rsidR="00000000" w:rsidDel="00000000" w:rsidP="00000000" w:rsidRDefault="00000000" w:rsidRPr="00000000" w14:paraId="00000358">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59">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Judging the Judges</w:t>
      </w:r>
    </w:p>
    <w:p w:rsidR="00000000" w:rsidDel="00000000" w:rsidP="00000000" w:rsidRDefault="00000000" w:rsidRPr="00000000" w14:paraId="0000035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a long-held judicial tradition, justices of the Supreme Court are expected to live and work in fortress-like isolation. Upon their appointment to the High Court, they are supposed to shun all previous personal, social and professional relationships. They are deemed gods of Mt. Olympus -- unreachable, untouchable and unaffected by the twists and turns of fate of the valley dwellers. Indeed, they are better read than heard.</w:t>
      </w:r>
    </w:p>
    <w:p w:rsidR="00000000" w:rsidDel="00000000" w:rsidP="00000000" w:rsidRDefault="00000000" w:rsidRPr="00000000" w14:paraId="0000035C">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Senator Salonga’s Foremost Teaching</w:t>
      </w:r>
    </w:p>
    <w:p w:rsidR="00000000" w:rsidDel="00000000" w:rsidP="00000000" w:rsidRDefault="00000000" w:rsidRPr="00000000" w14:paraId="000003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 have been asked by my revered guru, former Senate President Jovito R. Salonga, to come down from the perches of the Olympian gods and attend this fifth anniversary celebration of Bantay Katarungan (Justice Watch) and the monthly forum of Kilosbayan. Since my college days over 40 years ago, I have always regarded Senator Salonga with awe and admiration. He is my role model of a life worth living. As my dean and professor in law school and my first boss in his law firm, he has taught me -- both by his words and his example -- not only the rudiments of the legal profession but, even more important, the purpose and value of life.</w:t>
      </w:r>
    </w:p>
    <w:p w:rsidR="00000000" w:rsidDel="00000000" w:rsidP="00000000" w:rsidRDefault="00000000" w:rsidRPr="00000000" w14:paraId="000003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foremost teaching can be summed up in this one sentence: While it is desirable to have some of the necessities that money can buy -- like adequate food on the table, sufficient clothing, sports and recreation for the body, and even a car and a house for the family -- we should never ever forget that it is far more important to aspire even more ardently for the things that money cannot buy, like excellence, ethics, honor, character, and a reverential regard and love for God as the source of all that is good and beautiful. And so here I am -- breaking judicial tradition, but obedient to his summons and ever trying to be faithful to his teachings.</w:t>
      </w:r>
    </w:p>
    <w:p w:rsidR="00000000" w:rsidDel="00000000" w:rsidP="00000000" w:rsidRDefault="00000000" w:rsidRPr="00000000" w14:paraId="000003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as many of you may already know, the judiciary is undergoing a transformation. It is metamorphosing according to a plan hatched early on when the Action Program for Judicial Reform (APJR) was initiated by Chief Justice Hilario G. Davide Jr. upon his incumbency some six years ago.</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APJR is a blueprint of almost all possible measures to solve the main plagues of the judiciary -- what I refer to in my books as CID: corruption, incompetence and delay in the rendition of judgments. The judicial reforms are pervasive and all-encompassing. They start with the updating of the law curriculum to the rigid selection of judges, their continuing legal education, the systematic monitoring of their performance, the improvement of their working environment, the provision of modern equipment, the construction of more dignified halls of justice, and the computerization of judicial processes. The reforms are so many and so wide-ranging that a full discussion of the APJR will require several hours, if not days.</w:t>
      </w:r>
    </w:p>
    <w:p w:rsidR="00000000" w:rsidDel="00000000" w:rsidP="00000000" w:rsidRDefault="00000000" w:rsidRPr="00000000" w14:paraId="0000036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Four Essential Judicial Attributes</w:t>
      </w:r>
    </w:p>
    <w:p w:rsidR="00000000" w:rsidDel="00000000" w:rsidP="00000000" w:rsidRDefault="00000000" w:rsidRPr="00000000" w14:paraId="000003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however, within the limited time available, I would like to speak of the essential attributes that all judges should possess. For after all is said and done, the speedy and impartial dispensation of justice will ultimately depend on the judge. While electronic research facilities, computerized processes and stately courtrooms -- all of which money can buy -- are desirable components of judicial reform, in the end justice is delivered by human beings who must be upright, credible and competent -- qualities that money cannot buy.</w:t>
      </w:r>
    </w:p>
    <w:p w:rsidR="00000000" w:rsidDel="00000000" w:rsidP="00000000" w:rsidRDefault="00000000" w:rsidRPr="00000000" w14:paraId="000003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what are these essential, non-negotiable, non-purchasable attributes of every magistrate? Our 1987 Constitution mentions four: competence, integrity, probity and independence.</w:t>
      </w:r>
      <w:r w:rsidDel="00000000" w:rsidR="00000000" w:rsidRPr="00000000">
        <w:rPr>
          <w:rFonts w:ascii="Georgia" w:cs="Georgia" w:eastAsia="Georgia" w:hAnsi="Georgia"/>
          <w:sz w:val="22"/>
          <w:szCs w:val="22"/>
          <w:vertAlign w:val="superscript"/>
          <w:rtl w:val="0"/>
        </w:rPr>
        <w:t xml:space="preserve">1</w:t>
      </w:r>
      <w:r w:rsidDel="00000000" w:rsidR="00000000" w:rsidRPr="00000000">
        <w:rPr>
          <w:rFonts w:ascii="Georgia" w:cs="Georgia" w:eastAsia="Georgia" w:hAnsi="Georgia"/>
          <w:sz w:val="22"/>
          <w:szCs w:val="22"/>
          <w:rtl w:val="0"/>
        </w:rPr>
        <w:t xml:space="preserve"> On the other hand, the New Code of Judicial Conduct for the Philippine Judiciary,</w:t>
      </w:r>
      <w:r w:rsidDel="00000000" w:rsidR="00000000" w:rsidRPr="00000000">
        <w:rPr>
          <w:rFonts w:ascii="Georgia" w:cs="Georgia" w:eastAsia="Georgia" w:hAnsi="Georgia"/>
          <w:sz w:val="22"/>
          <w:szCs w:val="22"/>
          <w:vertAlign w:val="superscript"/>
          <w:rtl w:val="0"/>
        </w:rPr>
        <w:t xml:space="preserve">2</w:t>
      </w:r>
      <w:r w:rsidDel="00000000" w:rsidR="00000000" w:rsidRPr="00000000">
        <w:rPr>
          <w:rFonts w:ascii="Georgia" w:cs="Georgia" w:eastAsia="Georgia" w:hAnsi="Georgia"/>
          <w:sz w:val="22"/>
          <w:szCs w:val="22"/>
          <w:rtl w:val="0"/>
        </w:rPr>
        <w:t xml:space="preserve"> which took effect on June 1, 2004, speaks of independence, integrity, impartiality, propriety, equality, competence and diligence.</w:t>
      </w:r>
      <w:r w:rsidDel="00000000" w:rsidR="00000000" w:rsidRPr="00000000">
        <w:rPr>
          <w:rFonts w:ascii="Georgia" w:cs="Georgia" w:eastAsia="Georgia" w:hAnsi="Georgia"/>
          <w:sz w:val="22"/>
          <w:szCs w:val="22"/>
          <w:vertAlign w:val="superscript"/>
          <w:rtl w:val="0"/>
        </w:rPr>
        <w:t xml:space="preserve">3</w:t>
      </w:r>
      <w:r w:rsidDel="00000000" w:rsidR="00000000" w:rsidRPr="00000000">
        <w:rPr>
          <w:rFonts w:ascii="Georgia" w:cs="Georgia" w:eastAsia="Georgia" w:hAnsi="Georgia"/>
          <w:sz w:val="22"/>
          <w:szCs w:val="22"/>
          <w:rtl w:val="0"/>
        </w:rPr>
        <w:t xml:space="preserve"> For simplicity and ease in remembering these essential qualities, I would like to encapsulate them into four Ins; namely, integrity, independence, industry and intelligence.</w:t>
      </w:r>
      <w:r w:rsidDel="00000000" w:rsidR="00000000" w:rsidRPr="00000000">
        <w:rPr>
          <w:rFonts w:ascii="Georgia" w:cs="Georgia" w:eastAsia="Georgia" w:hAnsi="Georgia"/>
          <w:sz w:val="22"/>
          <w:szCs w:val="22"/>
          <w:vertAlign w:val="superscript"/>
          <w:rtl w:val="0"/>
        </w:rPr>
        <w:t xml:space="preserve">4</w:t>
      </w:r>
      <w:r w:rsidDel="00000000" w:rsidR="00000000" w:rsidRPr="00000000">
        <w:rPr>
          <w:rFonts w:ascii="Georgia" w:cs="Georgia" w:eastAsia="Georgia" w:hAnsi="Georgia"/>
          <w:sz w:val="22"/>
          <w:szCs w:val="22"/>
          <w:rtl w:val="0"/>
        </w:rPr>
        <w:t xml:space="preserve"> Let me discuss each of them.</w:t>
      </w:r>
    </w:p>
    <w:p w:rsidR="00000000" w:rsidDel="00000000" w:rsidP="00000000" w:rsidRDefault="00000000" w:rsidRPr="00000000" w14:paraId="0000036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Integrity, Not Mere Honesty</w:t>
      </w:r>
    </w:p>
    <w:p w:rsidR="00000000" w:rsidDel="00000000" w:rsidP="00000000" w:rsidRDefault="00000000" w:rsidRPr="00000000" w14:paraId="000003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In, integrity, goes beyond mere honesty in dealing with fellow human beings. It is not a mere refusal to tell a falsehood; it encompasses the moral courage to denounce a wrong and to promote the truth.</w:t>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martial law years, the country was besieged by officials who arrogated absolute power to themselves, plundered the treasury, and used their public offices to amass ill-gotten wealth. There were, however, a handful who -- even while serving under the authoritarian regime -- kept themselves personally pure, discharged their functions efficiently, and refused to join the corrupt in raiding the public treasury. While these few good men and women can be described as honest public servants, they did nothing to stamp out the evil around them, contented as they were with distancing themselves from the evil conspiracy.</w:t>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Towering above them were those who not only kept themselves clean and honest, but also worked fervently and actively -- at the risk of their own safety, earthly possessions and careers -- to restore freedom, to denounce the plunderers, and to make truth and justice prevail. More than being honest, they were persons of moral courage; they were men and women of integrity. They are the martyrs and heroes who are honored and revered through the Wall of Remembrance set up by the Bantayog ng mga Bayani, your sister organization.</w:t>
      </w:r>
    </w:p>
    <w:p w:rsidR="00000000" w:rsidDel="00000000" w:rsidP="00000000" w:rsidRDefault="00000000" w:rsidRPr="00000000" w14:paraId="000003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judges must not only be free of falsehoods; they must also have the moral courage to rid society of those numbing falsehoods. By their actions and decisions, sometimes by their stirring dissents, they reveal their character and herald the lacerating truth. Such were jurists like Chief Justice Roberto Concepcion, Chief Justice Claudio Teehankee and Justice Calixto Zaldivar, who all occupy places of honor on the Bantayog Wall of Remembrance.</w:t>
      </w:r>
    </w:p>
    <w:p w:rsidR="00000000" w:rsidDel="00000000" w:rsidP="00000000" w:rsidRDefault="00000000" w:rsidRPr="00000000" w14:paraId="000003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Integrity also includes intellectual decency and a deep sense of personal honor, which transcend a desire for personal acclaim or recognition. Persons of true integrity perform their tasks faithfully, regardless of whether their work is recognized by others, and whether it leads to their promotion.</w:t>
      </w:r>
    </w:p>
    <w:p w:rsidR="00000000" w:rsidDel="00000000" w:rsidP="00000000" w:rsidRDefault="00000000" w:rsidRPr="00000000" w14:paraId="000003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Integrity likewise encompasses impartiality. Judges of integrity perform duties without fear or favor, bias or prejudice. They ensure that their conduct is above reproach. Propriety and the appearance of propriety are essential to the proper performance of their duties. Thus is their credibility maintained at all times. It goes without saying that they avoid, as far as possible, any undue social contact and unnecessary fellowship with litigants and lawyers.</w:t>
      </w:r>
    </w:p>
    <w:p w:rsidR="00000000" w:rsidDel="00000000" w:rsidP="00000000" w:rsidRDefault="00000000" w:rsidRPr="00000000" w14:paraId="000003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an open forum after a speech I had delivered before a group of foreign chambers of commerce, a business leader asked this question: “Why do justices refuse to socialize with other people, especially with ‘experts’ who may enlighten them on scientific or economic aspects of a litigation?” I politely replied that all arguments on and discussions of a case should be heard only in court, in the presence of all the parties or their lawyers. This much is demanded not only by common fairness, but also by the appearance of fairness.</w:t>
      </w:r>
    </w:p>
    <w:p w:rsidR="00000000" w:rsidDel="00000000" w:rsidP="00000000" w:rsidRDefault="00000000" w:rsidRPr="00000000" w14:paraId="000003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 this line, I remember that when I was still new in the Court in early 1996, Juan Frivaldo made repeated requests to see me -- directly through calls to my secretary and, indirectly, through mutual friends -- purportedly to discuss some urgent, personal matter.</w:t>
      </w:r>
    </w:p>
    <w:p w:rsidR="00000000" w:rsidDel="00000000" w:rsidP="00000000" w:rsidRDefault="00000000" w:rsidRPr="00000000" w14:paraId="000003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see, he was overwhelmingly voted governor of Sorsogon by a margin of 27,000 votes during the 1988 elections and by 57,000 votes in 1992. However, he was not able to serve his popular mandate, because the Supreme Court twice disqualified him for being a non-Filipino.</w:t>
      </w:r>
      <w:r w:rsidDel="00000000" w:rsidR="00000000" w:rsidRPr="00000000">
        <w:rPr>
          <w:rFonts w:ascii="Georgia" w:cs="Georgia" w:eastAsia="Georgia" w:hAnsi="Georgia"/>
          <w:sz w:val="22"/>
          <w:szCs w:val="22"/>
          <w:vertAlign w:val="superscript"/>
          <w:rtl w:val="0"/>
        </w:rPr>
        <w:t xml:space="preserve">5</w:t>
      </w:r>
      <w:r w:rsidDel="00000000" w:rsidR="00000000" w:rsidRPr="00000000">
        <w:rPr>
          <w:rFonts w:ascii="Georgia" w:cs="Georgia" w:eastAsia="Georgia" w:hAnsi="Georgia"/>
          <w:sz w:val="22"/>
          <w:szCs w:val="22"/>
          <w:rtl w:val="0"/>
        </w:rPr>
        <w:t xml:space="preserve"> Undaunted by his two legal defeats, he ran and won again in 1995 by a margin of 20,000 votes. This time, he claimed to have reacquired Philippine citizenship through repatriation.</w:t>
      </w:r>
      <w:r w:rsidDel="00000000" w:rsidR="00000000" w:rsidRPr="00000000">
        <w:rPr>
          <w:rFonts w:ascii="Georgia" w:cs="Georgia" w:eastAsia="Georgia" w:hAnsi="Georgia"/>
          <w:sz w:val="22"/>
          <w:szCs w:val="22"/>
          <w:vertAlign w:val="superscript"/>
          <w:rtl w:val="0"/>
        </w:rPr>
        <w:t xml:space="preserve">6</w:t>
      </w:r>
      <w:r w:rsidDel="00000000" w:rsidR="00000000" w:rsidRPr="00000000">
        <w:rPr>
          <w:rtl w:val="0"/>
        </w:rPr>
      </w:r>
    </w:p>
    <w:p w:rsidR="00000000" w:rsidDel="00000000" w:rsidP="00000000" w:rsidRDefault="00000000" w:rsidRPr="00000000" w14:paraId="000003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steadfastly refused to see him. In desperation, he turned to his close friend Max Soliven, the journalist,</w:t>
      </w:r>
      <w:r w:rsidDel="00000000" w:rsidR="00000000" w:rsidRPr="00000000">
        <w:rPr>
          <w:rFonts w:ascii="Georgia" w:cs="Georgia" w:eastAsia="Georgia" w:hAnsi="Georgia"/>
          <w:sz w:val="22"/>
          <w:szCs w:val="22"/>
          <w:vertAlign w:val="superscript"/>
          <w:rtl w:val="0"/>
        </w:rPr>
        <w:t xml:space="preserve">7</w:t>
      </w:r>
      <w:r w:rsidDel="00000000" w:rsidR="00000000" w:rsidRPr="00000000">
        <w:rPr>
          <w:rFonts w:ascii="Georgia" w:cs="Georgia" w:eastAsia="Georgia" w:hAnsi="Georgia"/>
          <w:sz w:val="22"/>
          <w:szCs w:val="22"/>
          <w:rtl w:val="0"/>
        </w:rPr>
        <w:t xml:space="preserve"> and told him that he would just flee to the jungles of Sorsogon ("Mamumundok na lang ako"), because he would surely be disqualified again as shown by my refusal to communicate with him, even just by telephone.</w:t>
      </w:r>
    </w:p>
    <w:p w:rsidR="00000000" w:rsidDel="00000000" w:rsidP="00000000" w:rsidRDefault="00000000" w:rsidRPr="00000000" w14:paraId="000003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few months after, a Court Decision that I had penned came out, recognizing his citizenship and authorizing him to sit as governor of his native province.</w:t>
      </w:r>
    </w:p>
    <w:p w:rsidR="00000000" w:rsidDel="00000000" w:rsidP="00000000" w:rsidRDefault="00000000" w:rsidRPr="00000000" w14:paraId="000003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year, I finally met Governor Frivaldo for the first time. To his profuse expression of gratitude, I told him that he owed me nothing because I had merely discharged my duty. I also explained that propriety had prevented me from seeing or even speaking with him over the phone. I added that a judge must not only be impartial, but also be perceived to be so by the parties. Because Frivaldo did not succeed in seeing me, much less in influencing me, his victory must have been all the more sweet, because he knew it was not the result of lakad. It was indeed the necessary consequence of an impartial assessment of the law as it related to the facts of his case. Before he left my office, he again expressed gratitude -- this time for his education on the need for respecting the integrity and impartiality of judges.</w:t>
      </w:r>
    </w:p>
    <w:p w:rsidR="00000000" w:rsidDel="00000000" w:rsidP="00000000" w:rsidRDefault="00000000" w:rsidRPr="00000000" w14:paraId="0000037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Independence from the Plague of “Ships”</w:t>
      </w:r>
    </w:p>
    <w:p w:rsidR="00000000" w:rsidDel="00000000" w:rsidP="00000000" w:rsidRDefault="00000000" w:rsidRPr="00000000" w14:paraId="000003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In of a good magistrate is independence. While this attribute refers both to the judicial institution and to the person of the judge, I shall speak here only of the latter. Magistrates decide litigations only on the basis of the rational relationship between the law and the facts, free from any extraneous influence. They should not allow the "ships" that plague public service -- kinships, relationships, friendships and fellowship -- to interfere in their judgments.</w:t>
      </w:r>
    </w:p>
    <w:p w:rsidR="00000000" w:rsidDel="00000000" w:rsidP="00000000" w:rsidRDefault="00000000" w:rsidRPr="00000000" w14:paraId="000003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was still practicing law a decade ago, a wealthy businessman visited me. He told me, “I know that your law office is composed of competent bar topnotchers who are experienced in the labyrinths of the law. But my question is, do you also know the judge in whose sala my case is pending? It is good to know the law, but it is even better to know the judge.” Upon hearing these remarks, my partners and I respectfully declined the case, even if it meant losing a sizeable retainer.</w:t>
      </w:r>
    </w:p>
    <w:p w:rsidR="00000000" w:rsidDel="00000000" w:rsidP="00000000" w:rsidRDefault="00000000" w:rsidRPr="00000000" w14:paraId="000003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Independence requires the men and women who wear the black robes to be free not only of mental and intellectual biases, but also of emotional baggage brought about by a misplaced sense of gratitude to the appointing authority. Upon his appointment as Chief Justice of the United States, Earl Warren was greeted with hoots and groans, because he was perceived to be a mere politician, a bluffer who had no judicial training or experience.</w:t>
      </w:r>
    </w:p>
    <w:p w:rsidR="00000000" w:rsidDel="00000000" w:rsidP="00000000" w:rsidRDefault="00000000" w:rsidRPr="00000000" w14:paraId="000003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to the consternation of President Dwight D. Eisenhower who had appointed him to the Court, Chief Justice Warren proved to be the government's conscience. In reshaping the very meaning of the Bill of Rights, he became a consensus builder. Moreover, he led a legal revolution in the United States and ended his term as one of the greatest Chiefs of the American Supreme Court -- the recipient of a level of esteem approximating, according to William Douglas, that which was given to the eminent John Marshall “in the broad sweep of United States history.” He became a judicial icon, not because he was a legal scholar, but because he personified moral courage and independence.</w:t>
      </w:r>
    </w:p>
    <w:p w:rsidR="00000000" w:rsidDel="00000000" w:rsidP="00000000" w:rsidRDefault="00000000" w:rsidRPr="00000000" w14:paraId="0000037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Industry, a Personal Passion for Work</w:t>
      </w:r>
    </w:p>
    <w:p w:rsidR="00000000" w:rsidDel="00000000" w:rsidP="00000000" w:rsidRDefault="00000000" w:rsidRPr="00000000" w14:paraId="000003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Industry, the third In of a good judge, demands a personal passion for work, not only during office hours but also in the evenings and early mornings when -- free from the hustle and bustle of office and trial routines -- judges find the solitude to wrestle with their consciences; to pray and to gather courage to accord what is due every person, pursuant to the letter and spirit of the law, regardless of personal consequences.</w:t>
      </w:r>
    </w:p>
    <w:p w:rsidR="00000000" w:rsidDel="00000000" w:rsidP="00000000" w:rsidRDefault="00000000" w:rsidRPr="00000000" w14:paraId="000003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work load in the Supreme Court is backbreaking. At present, there are about 6,000 pending cases. These are divided among the 15 incumbent justices, who get an average of 400 cases each. In addition, about 25 to 30 new cases’ per month are raffled to every one of them. Thus, to update their dockets, the justices must each dispose of at least 30 cases every month -- by outright rejection, through the issuance of minute or extended resolutions on obviously unmeritorious petitions, or by signed decisions known as ponencias.</w:t>
      </w:r>
      <w:r w:rsidDel="00000000" w:rsidR="00000000" w:rsidRPr="00000000">
        <w:rPr>
          <w:rFonts w:ascii="Georgia" w:cs="Georgia" w:eastAsia="Georgia" w:hAnsi="Georgia"/>
          <w:sz w:val="22"/>
          <w:szCs w:val="22"/>
          <w:vertAlign w:val="superscript"/>
          <w:rtl w:val="0"/>
        </w:rPr>
        <w:t xml:space="preserve">9</w:t>
      </w:r>
      <w:r w:rsidDel="00000000" w:rsidR="00000000" w:rsidRPr="00000000">
        <w:rPr>
          <w:rtl w:val="0"/>
        </w:rPr>
      </w:r>
    </w:p>
    <w:p w:rsidR="00000000" w:rsidDel="00000000" w:rsidP="00000000" w:rsidRDefault="00000000" w:rsidRPr="00000000" w14:paraId="000003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case, as a senior justice and Division chairperson, I have to pass upon the work of the members of my Division. Also, as chairperson of the House of Representatives Electoral Tribunal,</w:t>
      </w:r>
      <w:r w:rsidDel="00000000" w:rsidR="00000000" w:rsidRPr="00000000">
        <w:rPr>
          <w:rFonts w:ascii="Georgia" w:cs="Georgia" w:eastAsia="Georgia" w:hAnsi="Georgia"/>
          <w:sz w:val="22"/>
          <w:szCs w:val="22"/>
          <w:vertAlign w:val="superscript"/>
          <w:rtl w:val="0"/>
        </w:rPr>
        <w:t xml:space="preserve">10</w:t>
      </w:r>
      <w:r w:rsidDel="00000000" w:rsidR="00000000" w:rsidRPr="00000000">
        <w:rPr>
          <w:rFonts w:ascii="Georgia" w:cs="Georgia" w:eastAsia="Georgia" w:hAnsi="Georgia"/>
          <w:sz w:val="22"/>
          <w:szCs w:val="22"/>
          <w:rtl w:val="0"/>
        </w:rPr>
        <w:t xml:space="preserve"> I have to attend to any election litigations brought to it.</w:t>
      </w:r>
      <w:r w:rsidDel="00000000" w:rsidR="00000000" w:rsidRPr="00000000">
        <w:rPr>
          <w:rFonts w:ascii="Georgia" w:cs="Georgia" w:eastAsia="Georgia" w:hAnsi="Georgia"/>
          <w:sz w:val="22"/>
          <w:szCs w:val="22"/>
          <w:vertAlign w:val="superscript"/>
          <w:rtl w:val="0"/>
        </w:rPr>
        <w:t xml:space="preserve">11</w:t>
      </w:r>
      <w:r w:rsidDel="00000000" w:rsidR="00000000" w:rsidRPr="00000000">
        <w:rPr>
          <w:rFonts w:ascii="Georgia" w:cs="Georgia" w:eastAsia="Georgia" w:hAnsi="Georgia"/>
          <w:sz w:val="22"/>
          <w:szCs w:val="22"/>
          <w:rtl w:val="0"/>
        </w:rPr>
        <w:t xml:space="preserve"> In addition, I chair several committees involved essentially in judicial reforms.</w:t>
      </w:r>
      <w:r w:rsidDel="00000000" w:rsidR="00000000" w:rsidRPr="00000000">
        <w:rPr>
          <w:rFonts w:ascii="Georgia" w:cs="Georgia" w:eastAsia="Georgia" w:hAnsi="Georgia"/>
          <w:sz w:val="22"/>
          <w:szCs w:val="22"/>
          <w:vertAlign w:val="superscript"/>
          <w:rtl w:val="0"/>
        </w:rPr>
        <w:t xml:space="preserve">12</w:t>
      </w:r>
      <w:r w:rsidDel="00000000" w:rsidR="00000000" w:rsidRPr="00000000">
        <w:rPr>
          <w:rtl w:val="0"/>
        </w:rPr>
      </w:r>
    </w:p>
    <w:p w:rsidR="00000000" w:rsidDel="00000000" w:rsidP="00000000" w:rsidRDefault="00000000" w:rsidRPr="00000000" w14:paraId="000003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work load of the Chief Justice is even heavier. By his own admission, Chief Justice Davide spends more than 60 percent of his time on the administration and management of the entire judiciary. He begins each day in his office at 5:30 a.m. and ends it at 8:30 p.m. An illustrious decision writer he is, but an industrious administrator and manager he is even more.</w:t>
      </w:r>
    </w:p>
    <w:p w:rsidR="00000000" w:rsidDel="00000000" w:rsidP="00000000" w:rsidRDefault="00000000" w:rsidRPr="00000000" w14:paraId="000003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work load in the lower courts is no less daunting. Statistics from the Office of the Court Administrator show that there were 343,875 cases pending in the regional trial courts (RTCs) and 445,999 cases in the various first-level courts</w:t>
      </w:r>
      <w:r w:rsidDel="00000000" w:rsidR="00000000" w:rsidRPr="00000000">
        <w:rPr>
          <w:rFonts w:ascii="Georgia" w:cs="Georgia" w:eastAsia="Georgia" w:hAnsi="Georgia"/>
          <w:sz w:val="22"/>
          <w:szCs w:val="22"/>
          <w:vertAlign w:val="superscript"/>
          <w:rtl w:val="0"/>
        </w:rPr>
        <w:t xml:space="preserve">13</w:t>
      </w:r>
      <w:r w:rsidDel="00000000" w:rsidR="00000000" w:rsidRPr="00000000">
        <w:rPr>
          <w:rFonts w:ascii="Georgia" w:cs="Georgia" w:eastAsia="Georgia" w:hAnsi="Georgia"/>
          <w:sz w:val="22"/>
          <w:szCs w:val="22"/>
          <w:rtl w:val="0"/>
        </w:rPr>
        <w:t xml:space="preserve"> as of July 31, 2004. Considering that one third of trial courts are vacant,</w:t>
      </w:r>
      <w:r w:rsidDel="00000000" w:rsidR="00000000" w:rsidRPr="00000000">
        <w:rPr>
          <w:rFonts w:ascii="Georgia" w:cs="Georgia" w:eastAsia="Georgia" w:hAnsi="Georgia"/>
          <w:sz w:val="22"/>
          <w:szCs w:val="22"/>
          <w:vertAlign w:val="superscript"/>
          <w:rtl w:val="0"/>
        </w:rPr>
        <w:t xml:space="preserve">14</w:t>
      </w:r>
      <w:r w:rsidDel="00000000" w:rsidR="00000000" w:rsidRPr="00000000">
        <w:rPr>
          <w:rFonts w:ascii="Georgia" w:cs="Georgia" w:eastAsia="Georgia" w:hAnsi="Georgia"/>
          <w:sz w:val="22"/>
          <w:szCs w:val="22"/>
          <w:rtl w:val="0"/>
        </w:rPr>
        <w:t xml:space="preserve"> each RTC judge will have an average case load of around 464, while each MTC (and other first-level courts) will have to grapple with an average of 695 cases</w:t>
      </w:r>
      <w:r w:rsidDel="00000000" w:rsidR="00000000" w:rsidRPr="00000000">
        <w:rPr>
          <w:rFonts w:ascii="Georgia" w:cs="Georgia" w:eastAsia="Georgia" w:hAnsi="Georgia"/>
          <w:sz w:val="22"/>
          <w:szCs w:val="22"/>
          <w:vertAlign w:val="superscript"/>
          <w:rtl w:val="0"/>
        </w:rPr>
        <w:t xml:space="preserve">15</w:t>
      </w:r>
      <w:r w:rsidDel="00000000" w:rsidR="00000000" w:rsidRPr="00000000">
        <w:rPr>
          <w:rFonts w:ascii="Georgia" w:cs="Georgia" w:eastAsia="Georgia" w:hAnsi="Georgia"/>
          <w:sz w:val="22"/>
          <w:szCs w:val="22"/>
          <w:rtl w:val="0"/>
        </w:rPr>
        <w:t xml:space="preserve"> -- and at the same time preside over court hearings. That is the average but, believe it or not, cases are not evenly distributed. Hence, some courts have as much as 6,000 pending cases.</w:t>
      </w:r>
    </w:p>
    <w:p w:rsidR="00000000" w:rsidDel="00000000" w:rsidP="00000000" w:rsidRDefault="00000000" w:rsidRPr="00000000" w14:paraId="000003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requiring magistrates to decide cases within a limited period -- 3 months for trial courts, 12 months for appellate courts, and 24 months for the Supreme Court</w:t>
      </w:r>
      <w:r w:rsidDel="00000000" w:rsidR="00000000" w:rsidRPr="00000000">
        <w:rPr>
          <w:rFonts w:ascii="Georgia" w:cs="Georgia" w:eastAsia="Georgia" w:hAnsi="Georgia"/>
          <w:sz w:val="22"/>
          <w:szCs w:val="22"/>
          <w:vertAlign w:val="superscript"/>
          <w:rtl w:val="0"/>
        </w:rPr>
        <w:t xml:space="preserve">16</w:t>
      </w:r>
      <w:r w:rsidDel="00000000" w:rsidR="00000000" w:rsidRPr="00000000">
        <w:rPr>
          <w:rFonts w:ascii="Georgia" w:cs="Georgia" w:eastAsia="Georgia" w:hAnsi="Georgia"/>
          <w:sz w:val="22"/>
          <w:szCs w:val="22"/>
          <w:rtl w:val="0"/>
        </w:rPr>
        <w:t xml:space="preserve"> -- the Constitution effectively wants not just speed, but also industry, from magistrates.</w:t>
      </w:r>
    </w:p>
    <w:p w:rsidR="00000000" w:rsidDel="00000000" w:rsidP="00000000" w:rsidRDefault="00000000" w:rsidRPr="00000000" w14:paraId="000003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bottom line is that there is just too much work to do. Every judge therefore needs to be superindustrious to cope with the work load.</w:t>
      </w:r>
    </w:p>
    <w:p w:rsidR="00000000" w:rsidDel="00000000" w:rsidP="00000000" w:rsidRDefault="00000000" w:rsidRPr="00000000" w14:paraId="0000037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Knowing Everything about Something and Something about Everything</w:t>
      </w:r>
    </w:p>
    <w:p w:rsidR="00000000" w:rsidDel="00000000" w:rsidP="00000000" w:rsidRDefault="00000000" w:rsidRPr="00000000" w14:paraId="000003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fourth In, intelligence, refers to both knowledge and wisdom. Judges must master the law. To earn the respect of lawyers and litigants, they must be able to preside authoritatively over trials and rule reasonably well on fine points of law and evidence brought before their courts.</w:t>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purposes of our present discussion, intelligence may be equated with excellence, which in turn demands mastery of our chosen vocation and familiarity with all branches of knowledge. Simply put, it means knowing everything about something and something about everything. As I always say, it is not enough for judges to be walking databases of the Constitution, the law and jurisprudence; they must also have a working knowledge of the arts, history, health, medicine, philosophy, mathematics, physics, psychology, economics, computers and the latest biosciences and biotechnologies. To demonstrate my point, let me recall some examples of excellence in the Supreme Court.</w:t>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Diverse but related aspects of the mining industry -- economic, environmental, financial, technical, and social -- were considered by the Court in ruling very recently on the constitutionality of the 1995 Mining Law.</w:t>
      </w:r>
      <w:r w:rsidDel="00000000" w:rsidR="00000000" w:rsidRPr="00000000">
        <w:rPr>
          <w:rFonts w:ascii="Georgia" w:cs="Georgia" w:eastAsia="Georgia" w:hAnsi="Georgia"/>
          <w:sz w:val="22"/>
          <w:szCs w:val="22"/>
          <w:vertAlign w:val="superscript"/>
          <w:rtl w:val="0"/>
        </w:rPr>
        <w:t xml:space="preserve">17</w:t>
      </w:r>
      <w:r w:rsidDel="00000000" w:rsidR="00000000" w:rsidRPr="00000000">
        <w:rPr>
          <w:rtl w:val="0"/>
        </w:rPr>
      </w:r>
    </w:p>
    <w:p w:rsidR="00000000" w:rsidDel="00000000" w:rsidP="00000000" w:rsidRDefault="00000000" w:rsidRPr="00000000" w14:paraId="000003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 dissertation on the minutiae of marine life to point out the evils of cyanide fishing and the imperatives of preserving coral reefs assisted the Court in protecting the seas and in imposing appropriate penalties for acts endangering the environment.</w:t>
      </w:r>
      <w:r w:rsidDel="00000000" w:rsidR="00000000" w:rsidRPr="00000000">
        <w:rPr>
          <w:rFonts w:ascii="Georgia" w:cs="Georgia" w:eastAsia="Georgia" w:hAnsi="Georgia"/>
          <w:sz w:val="22"/>
          <w:szCs w:val="22"/>
          <w:vertAlign w:val="superscript"/>
          <w:rtl w:val="0"/>
        </w:rPr>
        <w:t xml:space="preserve">18</w:t>
      </w:r>
      <w:r w:rsidDel="00000000" w:rsidR="00000000" w:rsidRPr="00000000">
        <w:rPr>
          <w:rtl w:val="0"/>
        </w:rPr>
      </w:r>
    </w:p>
    <w:p w:rsidR="00000000" w:rsidDel="00000000" w:rsidP="00000000" w:rsidRDefault="00000000" w:rsidRPr="00000000" w14:paraId="000003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 keen grasp of what in 1997 were the still emerging economic paradigms -- globalization, trade liberalization, privatization and deregulation -- was instrumental in ruling on the constitutionality of the Philippine adherence to the World Trade Organization.</w:t>
      </w:r>
      <w:r w:rsidDel="00000000" w:rsidR="00000000" w:rsidRPr="00000000">
        <w:rPr>
          <w:rFonts w:ascii="Georgia" w:cs="Georgia" w:eastAsia="Georgia" w:hAnsi="Georgia"/>
          <w:sz w:val="22"/>
          <w:szCs w:val="22"/>
          <w:vertAlign w:val="superscript"/>
          <w:rtl w:val="0"/>
        </w:rPr>
        <w:t xml:space="preserve">19</w:t>
      </w:r>
      <w:r w:rsidDel="00000000" w:rsidR="00000000" w:rsidRPr="00000000">
        <w:rPr>
          <w:rtl w:val="0"/>
        </w:rPr>
      </w:r>
    </w:p>
    <w:p w:rsidR="00000000" w:rsidDel="00000000" w:rsidP="00000000" w:rsidRDefault="00000000" w:rsidRPr="00000000" w14:paraId="000003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A more than nodding acquaintance with mathematics enabled the Court to translate constitutional parameters of the Filipino-style party-list system into a workable formula for determining party-list winners.</w:t>
      </w:r>
      <w:r w:rsidDel="00000000" w:rsidR="00000000" w:rsidRPr="00000000">
        <w:rPr>
          <w:rFonts w:ascii="Georgia" w:cs="Georgia" w:eastAsia="Georgia" w:hAnsi="Georgia"/>
          <w:sz w:val="22"/>
          <w:szCs w:val="22"/>
          <w:vertAlign w:val="superscript"/>
          <w:rtl w:val="0"/>
        </w:rPr>
        <w:t xml:space="preserve">20</w:t>
      </w:r>
      <w:r w:rsidDel="00000000" w:rsidR="00000000" w:rsidRPr="00000000">
        <w:rPr>
          <w:rFonts w:ascii="Georgia" w:cs="Georgia" w:eastAsia="Georgia" w:hAnsi="Georgia"/>
          <w:sz w:val="22"/>
          <w:szCs w:val="22"/>
          <w:rtl w:val="0"/>
        </w:rPr>
        <w:t xml:space="preserve"> On a more basic level, mathematics comes in handy when computing correct interests in contracts;</w:t>
      </w:r>
      <w:r w:rsidDel="00000000" w:rsidR="00000000" w:rsidRPr="00000000">
        <w:rPr>
          <w:rFonts w:ascii="Georgia" w:cs="Georgia" w:eastAsia="Georgia" w:hAnsi="Georgia"/>
          <w:sz w:val="22"/>
          <w:szCs w:val="22"/>
          <w:vertAlign w:val="superscript"/>
          <w:rtl w:val="0"/>
        </w:rPr>
        <w:t xml:space="preserve">21</w:t>
      </w:r>
      <w:r w:rsidDel="00000000" w:rsidR="00000000" w:rsidRPr="00000000">
        <w:rPr>
          <w:rFonts w:ascii="Georgia" w:cs="Georgia" w:eastAsia="Georgia" w:hAnsi="Georgia"/>
          <w:sz w:val="22"/>
          <w:szCs w:val="22"/>
          <w:rtl w:val="0"/>
        </w:rPr>
        <w:t xml:space="preserve"> it can also spell the difference between prolonged imprisonment and early freedom in criminal cases.</w:t>
      </w:r>
      <w:r w:rsidDel="00000000" w:rsidR="00000000" w:rsidRPr="00000000">
        <w:rPr>
          <w:rFonts w:ascii="Georgia" w:cs="Georgia" w:eastAsia="Georgia" w:hAnsi="Georgia"/>
          <w:sz w:val="22"/>
          <w:szCs w:val="22"/>
          <w:vertAlign w:val="superscript"/>
          <w:rtl w:val="0"/>
        </w:rPr>
        <w:t xml:space="preserve">22</w:t>
      </w:r>
      <w:r w:rsidDel="00000000" w:rsidR="00000000" w:rsidRPr="00000000">
        <w:rPr>
          <w:rtl w:val="0"/>
        </w:rPr>
      </w:r>
    </w:p>
    <w:p w:rsidR="00000000" w:rsidDel="00000000" w:rsidP="00000000" w:rsidRDefault="00000000" w:rsidRPr="00000000" w14:paraId="000003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DNA testing, an introduction to the new biosciences and biotechnologies, is fast gaining acceptance as a reliable method of determining identity. It has been instrumental in pinning down culpability for rape and murder.</w:t>
      </w:r>
      <w:r w:rsidDel="00000000" w:rsidR="00000000" w:rsidRPr="00000000">
        <w:rPr>
          <w:rFonts w:ascii="Georgia" w:cs="Georgia" w:eastAsia="Georgia" w:hAnsi="Georgia"/>
          <w:sz w:val="22"/>
          <w:szCs w:val="22"/>
          <w:vertAlign w:val="superscript"/>
          <w:rtl w:val="0"/>
        </w:rPr>
        <w:t xml:space="preserve">23</w:t>
      </w:r>
      <w:r w:rsidDel="00000000" w:rsidR="00000000" w:rsidRPr="00000000">
        <w:rPr>
          <w:rFonts w:ascii="Georgia" w:cs="Georgia" w:eastAsia="Georgia" w:hAnsi="Georgia"/>
          <w:sz w:val="22"/>
          <w:szCs w:val="22"/>
          <w:rtl w:val="0"/>
        </w:rPr>
        <w:t xml:space="preserve"> The Court is likewise recognizing its use in determining parentage and in ruling over custody cases.</w:t>
      </w:r>
      <w:r w:rsidDel="00000000" w:rsidR="00000000" w:rsidRPr="00000000">
        <w:rPr>
          <w:rFonts w:ascii="Georgia" w:cs="Georgia" w:eastAsia="Georgia" w:hAnsi="Georgia"/>
          <w:sz w:val="22"/>
          <w:szCs w:val="22"/>
          <w:vertAlign w:val="superscript"/>
          <w:rtl w:val="0"/>
        </w:rPr>
        <w:t xml:space="preserve">24</w:t>
      </w:r>
      <w:r w:rsidDel="00000000" w:rsidR="00000000" w:rsidRPr="00000000">
        <w:rPr>
          <w:rtl w:val="0"/>
        </w:rPr>
      </w:r>
    </w:p>
    <w:p w:rsidR="00000000" w:rsidDel="00000000" w:rsidP="00000000" w:rsidRDefault="00000000" w:rsidRPr="00000000" w14:paraId="000003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Psychological studies on the "battered woman syndrome" have paved the way for the emergence of this novel phenomenon as a mitigating circumstance or as a viable defense in a prosecution for parricide.</w:t>
      </w:r>
      <w:r w:rsidDel="00000000" w:rsidR="00000000" w:rsidRPr="00000000">
        <w:rPr>
          <w:rFonts w:ascii="Georgia" w:cs="Georgia" w:eastAsia="Georgia" w:hAnsi="Georgia"/>
          <w:sz w:val="22"/>
          <w:szCs w:val="22"/>
          <w:vertAlign w:val="superscript"/>
          <w:rtl w:val="0"/>
        </w:rPr>
        <w:t xml:space="preserve">25</w:t>
      </w:r>
      <w:r w:rsidDel="00000000" w:rsidR="00000000" w:rsidRPr="00000000">
        <w:rPr>
          <w:rtl w:val="0"/>
        </w:rPr>
      </w:r>
    </w:p>
    <w:p w:rsidR="00000000" w:rsidDel="00000000" w:rsidP="00000000" w:rsidRDefault="00000000" w:rsidRPr="00000000" w14:paraId="000003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Precepts of Canon Law provided a better understanding of "psychological incapacity" as a ground to declare a marriage void under Article 36 of the Family Code.</w:t>
      </w:r>
      <w:r w:rsidDel="00000000" w:rsidR="00000000" w:rsidRPr="00000000">
        <w:rPr>
          <w:rFonts w:ascii="Georgia" w:cs="Georgia" w:eastAsia="Georgia" w:hAnsi="Georgia"/>
          <w:sz w:val="22"/>
          <w:szCs w:val="22"/>
          <w:vertAlign w:val="superscript"/>
          <w:rtl w:val="0"/>
        </w:rPr>
        <w:t xml:space="preserve">26</w:t>
      </w:r>
      <w:r w:rsidDel="00000000" w:rsidR="00000000" w:rsidRPr="00000000">
        <w:rPr>
          <w:rtl w:val="0"/>
        </w:rPr>
      </w:r>
    </w:p>
    <w:p w:rsidR="00000000" w:rsidDel="00000000" w:rsidP="00000000" w:rsidRDefault="00000000" w:rsidRPr="00000000" w14:paraId="000003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Knowledge of accounting entries and ledgers made it possible for the Court to rule out excessive interests, penalties, and other charges that had been imposed unilaterally and without the prior knowledge and consent of borrowers.</w:t>
      </w:r>
      <w:r w:rsidDel="00000000" w:rsidR="00000000" w:rsidRPr="00000000">
        <w:rPr>
          <w:rFonts w:ascii="Georgia" w:cs="Georgia" w:eastAsia="Georgia" w:hAnsi="Georgia"/>
          <w:sz w:val="22"/>
          <w:szCs w:val="22"/>
          <w:vertAlign w:val="superscript"/>
          <w:rtl w:val="0"/>
        </w:rPr>
        <w:t xml:space="preserve">27</w:t>
      </w:r>
      <w:r w:rsidDel="00000000" w:rsidR="00000000" w:rsidRPr="00000000">
        <w:rPr>
          <w:rtl w:val="0"/>
        </w:rPr>
      </w:r>
    </w:p>
    <w:p w:rsidR="00000000" w:rsidDel="00000000" w:rsidP="00000000" w:rsidRDefault="00000000" w:rsidRPr="00000000" w14:paraId="0000038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Aiming High and Hitting the Mark</w:t>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 have taken great pains to explain what I believe are the attributes we must look for in a judge. I know they are not easy to find. But I believe it is always good to set high standards, so that all of us in the judiciary would always strive to do our best to reach them.</w:t>
      </w:r>
    </w:p>
    <w:p w:rsidR="00000000" w:rsidDel="00000000" w:rsidP="00000000" w:rsidRDefault="00000000" w:rsidRPr="00000000" w14:paraId="000003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of us in this hall believe in the motto "Aim high and hit the mark." In school, we always set 100 percent as our goal, although many times we would be satisfied with 90 or 95 percent. In the same manner, Bantay Katarungan may use these four Ins as standards for judging the judges. It could assign a percentage to each attribute and set a standard passing mark. In this manner, I hope to be able to contribute to your work of elevating the standards of the judiciary by helping you to screen applicants and to weed out the misfits among the incumbents.</w:t>
      </w:r>
    </w:p>
    <w:p w:rsidR="00000000" w:rsidDel="00000000" w:rsidP="00000000" w:rsidRDefault="00000000" w:rsidRPr="00000000" w14:paraId="000003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however, add that by setting strict and high standards for judging our judges, there arises the concomitant duty to see to it that they are compensated properly. The 34 percent vacancy rate in our trial courts despite the recent increases</w:t>
      </w:r>
      <w:r w:rsidDel="00000000" w:rsidR="00000000" w:rsidRPr="00000000">
        <w:rPr>
          <w:rFonts w:ascii="Georgia" w:cs="Georgia" w:eastAsia="Georgia" w:hAnsi="Georgia"/>
          <w:sz w:val="22"/>
          <w:szCs w:val="22"/>
          <w:vertAlign w:val="superscript"/>
          <w:rtl w:val="0"/>
        </w:rPr>
        <w:t xml:space="preserve">28</w:t>
      </w:r>
      <w:r w:rsidDel="00000000" w:rsidR="00000000" w:rsidRPr="00000000">
        <w:rPr>
          <w:rFonts w:ascii="Georgia" w:cs="Georgia" w:eastAsia="Georgia" w:hAnsi="Georgia"/>
          <w:sz w:val="22"/>
          <w:szCs w:val="22"/>
          <w:rtl w:val="0"/>
        </w:rPr>
        <w:t xml:space="preserve"> in compensation is a festering problem. To entice the best and the brightest to join the judiciary, I believe we must all work on two concerns: (1) the exemption of the judiciary from the Salary Standardization Law;</w:t>
      </w:r>
      <w:r w:rsidDel="00000000" w:rsidR="00000000" w:rsidRPr="00000000">
        <w:rPr>
          <w:rFonts w:ascii="Georgia" w:cs="Georgia" w:eastAsia="Georgia" w:hAnsi="Georgia"/>
          <w:sz w:val="22"/>
          <w:szCs w:val="22"/>
          <w:vertAlign w:val="superscript"/>
          <w:rtl w:val="0"/>
        </w:rPr>
        <w:t xml:space="preserve">29</w:t>
      </w:r>
      <w:r w:rsidDel="00000000" w:rsidR="00000000" w:rsidRPr="00000000">
        <w:rPr>
          <w:rFonts w:ascii="Georgia" w:cs="Georgia" w:eastAsia="Georgia" w:hAnsi="Georgia"/>
          <w:sz w:val="22"/>
          <w:szCs w:val="22"/>
          <w:rtl w:val="0"/>
        </w:rPr>
        <w:t xml:space="preserve"> and (2) the grant of a lump-sum judicial appropriation of, say, two percent</w:t>
      </w:r>
      <w:r w:rsidDel="00000000" w:rsidR="00000000" w:rsidRPr="00000000">
        <w:rPr>
          <w:rFonts w:ascii="Georgia" w:cs="Georgia" w:eastAsia="Georgia" w:hAnsi="Georgia"/>
          <w:sz w:val="22"/>
          <w:szCs w:val="22"/>
          <w:vertAlign w:val="superscript"/>
          <w:rtl w:val="0"/>
        </w:rPr>
        <w:t xml:space="preserve">30</w:t>
      </w:r>
      <w:r w:rsidDel="00000000" w:rsidR="00000000" w:rsidRPr="00000000">
        <w:rPr>
          <w:rFonts w:ascii="Georgia" w:cs="Georgia" w:eastAsia="Georgia" w:hAnsi="Georgia"/>
          <w:sz w:val="22"/>
          <w:szCs w:val="22"/>
          <w:rtl w:val="0"/>
        </w:rPr>
        <w:t xml:space="preserve"> of the national government budget as well as sufficient authority to the Supreme Court to allocate the resources as it deems best.</w:t>
      </w:r>
    </w:p>
    <w:p w:rsidR="00000000" w:rsidDel="00000000" w:rsidP="00000000" w:rsidRDefault="00000000" w:rsidRPr="00000000" w14:paraId="000003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the legislature should no longer make detailed allotments of the judicial appropriation and just let the Supreme Court distribute the lump-sum budget. In this manner, the Court can adjust compensation to attract ethical and excellent lawyers to join the judiciary, in tune with its constitutionally mandated fiscal autonomy.</w:t>
      </w:r>
    </w:p>
    <w:p w:rsidR="00000000" w:rsidDel="00000000" w:rsidP="00000000" w:rsidRDefault="00000000" w:rsidRPr="00000000" w14:paraId="000003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time when judicial reforms to transform our judges are beginning to take root, your unwavering faith in monitoring the ranks is most needed. May I invite you then to be ever vigilant sentinels of justice (mga bantay ng katarungan) and to persevere in the quest for integrity, independence, intelligence and industry in the judiciary. As in the oft-repeated refrain of the song “Impossible Dream,” I hope that in</w:t>
      </w:r>
    </w:p>
    <w:p w:rsidR="00000000" w:rsidDel="00000000" w:rsidP="00000000" w:rsidRDefault="00000000" w:rsidRPr="00000000" w14:paraId="0000038F">
      <w:pPr>
        <w:ind w:left="720" w:firstLine="0"/>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our quest, [We] follow that star, No matter how hopeless, No matter how far, To fight for the right Without question or pause, To be willing to march into hell For a heavenly cause.</w:t>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hanging="288"/>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2">
      <w:pPr>
        <w:ind w:firstLine="0"/>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10</w:t>
      </w:r>
    </w:p>
    <w:p w:rsidR="00000000" w:rsidDel="00000000" w:rsidP="00000000" w:rsidRDefault="00000000" w:rsidRPr="00000000" w14:paraId="0000039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Beyond Excellence</w:t>
      </w:r>
      <w:r w:rsidDel="00000000" w:rsidR="00000000" w:rsidRPr="00000000">
        <w:rPr>
          <w:rFonts w:ascii="Georgia" w:cs="Georgia" w:eastAsia="Georgia" w:hAnsi="Georgia"/>
          <w:color w:val="000000"/>
          <w:sz w:val="22"/>
          <w:szCs w:val="22"/>
          <w:vertAlign w:val="superscript"/>
          <w:rtl w:val="0"/>
        </w:rPr>
        <w:t xml:space="preserve">*</w:t>
      </w:r>
      <w:r w:rsidDel="00000000" w:rsidR="00000000" w:rsidRPr="00000000">
        <w:rPr>
          <w:rtl w:val="0"/>
        </w:rPr>
      </w:r>
    </w:p>
    <w:p w:rsidR="00000000" w:rsidDel="00000000" w:rsidP="00000000" w:rsidRDefault="00000000" w:rsidRPr="00000000" w14:paraId="000003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Among the many activities held to celebrate the 100th anniversary of the Supreme Court (SC) four years ago was the year-long Centenary Lecture Series. One of the distinguished lecturers then was Israeli Justice Dorit Beinisch. During a dinner held in her honor, she felicitated me for reporting in my book Transparency, Unanimity &amp; Diversity’ our effort to dismiss, suspend or fine many misfits in our judiciary. In turn, I asked her whether the Israeli Supreme Court also disciplined errant judges.</w:t>
      </w:r>
    </w:p>
    <w:p w:rsidR="00000000" w:rsidDel="00000000" w:rsidP="00000000" w:rsidRDefault="00000000" w:rsidRPr="00000000" w14:paraId="000003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 she replied after a pause, “during the last half century, our Court has received only one complaint against a magistrate. When our Chief Justice privately confronted the judge about the matter, he immediately resigned.”</w:t>
      </w:r>
    </w:p>
    <w:p w:rsidR="00000000" w:rsidDel="00000000" w:rsidP="00000000" w:rsidRDefault="00000000" w:rsidRPr="00000000" w14:paraId="000003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 had been pleased that Justice Beinisch praised our Court for its vigilance in sanctioning erring judges, my pleasure turned to embarrassment upon hearing her response. It appeared that there were just too many misfits in our judiciary.</w:t>
      </w:r>
    </w:p>
    <w:p w:rsidR="00000000" w:rsidDel="00000000" w:rsidP="00000000" w:rsidRDefault="00000000" w:rsidRPr="00000000" w14:paraId="000003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because hundreds of our magistrates have been sanctioned over the past several years, the impression that the judiciary is inhabited by the inept and the corrupt has unfortunately been formed in the minds of certain sectors. That is why, in many speeches, I have repeatedly explained that the competent and honest judges far exceed the incompetent and dishonest?</w:t>
      </w:r>
    </w:p>
    <w:p w:rsidR="00000000" w:rsidDel="00000000" w:rsidP="00000000" w:rsidRDefault="00000000" w:rsidRPr="00000000" w14:paraId="0000039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Purposes and Expected Outputs of the Conference</w:t>
      </w:r>
    </w:p>
    <w:p w:rsidR="00000000" w:rsidDel="00000000" w:rsidP="00000000" w:rsidRDefault="00000000" w:rsidRPr="00000000" w14:paraId="000003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this conversation with Justice Beinisch, I promised myself that I would do my best to emphasize the many positive things about our judiciary. The institutional opportunity to do this came a year ago when I was named chairperson of the SC Committee on Judicial Excellence, which was tasked with the search for outstanding judges and clerks of court. I have always believed that the recognition given to the winners should not end with the award ceremonies. The pursuit of excellence should be a conscious and continuing endeavor.</w:t>
      </w:r>
    </w:p>
    <w:p w:rsidR="00000000" w:rsidDel="00000000" w:rsidP="00000000" w:rsidRDefault="00000000" w:rsidRPr="00000000" w14:paraId="000003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this effort, the Committee on Judicial Excellence is sponsoring today this Conference, which is participated in by all the judicial awardees since 1991 -- when the Foundation for Judicial Excellence began the search -- until last year when the SC took over. Specifically, this Conference has been called for a threefold purpose:</w:t>
      </w:r>
    </w:p>
    <w:p w:rsidR="00000000" w:rsidDel="00000000" w:rsidP="00000000" w:rsidRDefault="00000000" w:rsidRPr="00000000" w14:paraId="000003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To encourage awardees to continue with their habits of excellence</w:t>
      </w:r>
    </w:p>
    <w:p w:rsidR="00000000" w:rsidDel="00000000" w:rsidP="00000000" w:rsidRDefault="00000000" w:rsidRPr="00000000" w14:paraId="000003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To inspire others to aspire for excellence</w:t>
      </w:r>
    </w:p>
    <w:p w:rsidR="00000000" w:rsidDel="00000000" w:rsidP="00000000" w:rsidRDefault="00000000" w:rsidRPr="00000000" w14:paraId="000003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To formulate an action plan to promote excellence in the entire judiciary</w:t>
      </w:r>
    </w:p>
    <w:p w:rsidR="00000000" w:rsidDel="00000000" w:rsidP="00000000" w:rsidRDefault="00000000" w:rsidRPr="00000000" w14:paraId="000003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my hope that this gathering will be able to crystallize activities and projects that will veer the focus from the errant to the exalted, from the penalized to the persevering, and from the corrupt to the incorruptible. As many of you may have noticed, our Committee on Judicial Excellence has already started implementing, along this direction, some programs like the following:</w:t>
      </w:r>
    </w:p>
    <w:p w:rsidR="00000000" w:rsidDel="00000000" w:rsidP="00000000" w:rsidRDefault="00000000" w:rsidRPr="00000000" w14:paraId="000003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awardees are now being invited as guest speakers during many judicial functions, especially those related to the Action Program for Judicial Reforms (APJR).</w:t>
      </w:r>
    </w:p>
    <w:p w:rsidR="00000000" w:rsidDel="00000000" w:rsidP="00000000" w:rsidRDefault="00000000" w:rsidRPr="00000000" w14:paraId="000003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Our SC Public Information Office has arranged for them to be interviewed over radio and TV networks and to be written about in print media.</w:t>
      </w:r>
    </w:p>
    <w:p w:rsidR="00000000" w:rsidDel="00000000" w:rsidP="00000000" w:rsidRDefault="00000000" w:rsidRPr="00000000" w14:paraId="000003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awardees are given priority when occasions for judicial promotion come up.</w:t>
      </w:r>
    </w:p>
    <w:p w:rsidR="00000000" w:rsidDel="00000000" w:rsidP="00000000" w:rsidRDefault="00000000" w:rsidRPr="00000000" w14:paraId="000003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sure there are many other projects you can propose, like the recognition of exemplary awardees (such as those who have reached the appellate courts) during judicial programs similar to those given to national artists during cultural shows. You may also suggest ways to improve our yearly Awards for Judicial Excellence. In fact, we are already contemplating a Search Committee composed of awardees, with the function of nominating deserving judges and clerks of court who may feel it below their sense of dignity to apply personally for the awards.</w:t>
      </w:r>
    </w:p>
    <w:p w:rsidR="00000000" w:rsidDel="00000000" w:rsidP="00000000" w:rsidRDefault="00000000" w:rsidRPr="00000000" w14:paraId="000003A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Need to Practice Excellence All the Time</w:t>
      </w:r>
    </w:p>
    <w:p w:rsidR="00000000" w:rsidDel="00000000" w:rsidP="00000000" w:rsidRDefault="00000000" w:rsidRPr="00000000" w14:paraId="000003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discussed the goals of our Conference, let me take a few more minutes to talk about the qualities that I believe we should look for in our quest. The first quality is of course EXCELLENCE in the magistracy. To me, excellence demands mastery of our chosen vocation plus a working knowledge of all the other branches of human endeavor. It is not enough that judges be walking databases of the Constitution, the law and jurisprudence. It is also necessary that they have a general knowledge of the arts, history, philosophy, mathematics, physics, psychology, medicine, economics, health, computers and the latest in biosciences and biotechnologies.</w:t>
      </w:r>
    </w:p>
    <w:p w:rsidR="00000000" w:rsidDel="00000000" w:rsidP="00000000" w:rsidRDefault="00000000" w:rsidRPr="00000000" w14:paraId="000003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Expertise in the law and basic learning in other disciplines are essential, because litigations span all known branches of knowledge. Let me cite briefly some recent instances:</w:t>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To rule on the constitutionality of the Philippine adherence to the World Trade Organization, the Court had to discuss in Tañada v. Angara</w:t>
      </w:r>
      <w:r w:rsidDel="00000000" w:rsidR="00000000" w:rsidRPr="00000000">
        <w:rPr>
          <w:rFonts w:ascii="Georgia" w:cs="Georgia" w:eastAsia="Georgia" w:hAnsi="Georgia"/>
          <w:sz w:val="22"/>
          <w:szCs w:val="22"/>
          <w:vertAlign w:val="superscript"/>
          <w:rtl w:val="0"/>
        </w:rPr>
        <w:t xml:space="preserve">3</w:t>
      </w:r>
      <w:r w:rsidDel="00000000" w:rsidR="00000000" w:rsidRPr="00000000">
        <w:rPr>
          <w:rFonts w:ascii="Georgia" w:cs="Georgia" w:eastAsia="Georgia" w:hAnsi="Georgia"/>
          <w:sz w:val="22"/>
          <w:szCs w:val="22"/>
          <w:rtl w:val="0"/>
        </w:rPr>
        <w:t xml:space="preserve"> in 1997 the then emerging economic paradigms of globalization, trade liberalization, privatization and deregulation. As ponente of the Decision, I had to peruse and understand, among other references, the 36-volume WTO Treaty.</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To reduce legal principles into a mathematical equation or formula for us to determine the legal question of who may be proclaimed winners in the Filipino-style party-list system, the Court had to dig deep into the science of mathematics in Veterans Federation Party v. Comelec.</w:t>
      </w:r>
      <w:r w:rsidDel="00000000" w:rsidR="00000000" w:rsidRPr="00000000">
        <w:rPr>
          <w:rFonts w:ascii="Georgia" w:cs="Georgia" w:eastAsia="Georgia" w:hAnsi="Georgia"/>
          <w:sz w:val="22"/>
          <w:szCs w:val="22"/>
          <w:vertAlign w:val="superscript"/>
          <w:rtl w:val="0"/>
        </w:rPr>
        <w:t xml:space="preserve">4</w:t>
      </w:r>
      <w:r w:rsidDel="00000000" w:rsidR="00000000" w:rsidRPr="00000000">
        <w:rPr>
          <w:rtl w:val="0"/>
        </w:rPr>
      </w:r>
    </w:p>
    <w:p w:rsidR="00000000" w:rsidDel="00000000" w:rsidP="00000000" w:rsidRDefault="00000000" w:rsidRPr="00000000" w14:paraId="000003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To understand “psychological incapacity” as a new ground to declare a marriage void, the Court in Santos v. Court of Appeals</w:t>
      </w:r>
      <w:r w:rsidDel="00000000" w:rsidR="00000000" w:rsidRPr="00000000">
        <w:rPr>
          <w:rFonts w:ascii="Georgia" w:cs="Georgia" w:eastAsia="Georgia" w:hAnsi="Georgia"/>
          <w:sz w:val="22"/>
          <w:szCs w:val="22"/>
          <w:vertAlign w:val="superscript"/>
          <w:rtl w:val="0"/>
        </w:rPr>
        <w:t xml:space="preserve">5</w:t>
      </w:r>
      <w:r w:rsidDel="00000000" w:rsidR="00000000" w:rsidRPr="00000000">
        <w:rPr>
          <w:rFonts w:ascii="Georgia" w:cs="Georgia" w:eastAsia="Georgia" w:hAnsi="Georgia"/>
          <w:sz w:val="22"/>
          <w:szCs w:val="22"/>
          <w:rtl w:val="0"/>
        </w:rPr>
        <w:t xml:space="preserve"> and Republic v. Molina</w:t>
      </w:r>
      <w:r w:rsidDel="00000000" w:rsidR="00000000" w:rsidRPr="00000000">
        <w:rPr>
          <w:rFonts w:ascii="Georgia" w:cs="Georgia" w:eastAsia="Georgia" w:hAnsi="Georgia"/>
          <w:sz w:val="22"/>
          <w:szCs w:val="22"/>
          <w:vertAlign w:val="superscript"/>
          <w:rtl w:val="0"/>
        </w:rPr>
        <w:t xml:space="preserve">6</w:t>
      </w:r>
      <w:r w:rsidDel="00000000" w:rsidR="00000000" w:rsidRPr="00000000">
        <w:rPr>
          <w:rFonts w:ascii="Georgia" w:cs="Georgia" w:eastAsia="Georgia" w:hAnsi="Georgia"/>
          <w:sz w:val="22"/>
          <w:szCs w:val="22"/>
          <w:rtl w:val="0"/>
        </w:rPr>
        <w:t xml:space="preserve"> had to refer to and understand Catholic Canon Law, from which Article 36 of the Family Code was adopted.</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To rule on the conclusiveness of DNA testing as a method of determining identity, the Court in People v. Vallejo</w:t>
      </w:r>
      <w:r w:rsidDel="00000000" w:rsidR="00000000" w:rsidRPr="00000000">
        <w:rPr>
          <w:rFonts w:ascii="Georgia" w:cs="Georgia" w:eastAsia="Georgia" w:hAnsi="Georgia"/>
          <w:sz w:val="22"/>
          <w:szCs w:val="22"/>
          <w:vertAlign w:val="superscript"/>
          <w:rtl w:val="0"/>
        </w:rPr>
        <w:t xml:space="preserve">7</w:t>
      </w:r>
      <w:r w:rsidDel="00000000" w:rsidR="00000000" w:rsidRPr="00000000">
        <w:rPr>
          <w:rFonts w:ascii="Georgia" w:cs="Georgia" w:eastAsia="Georgia" w:hAnsi="Georgia"/>
          <w:sz w:val="22"/>
          <w:szCs w:val="22"/>
          <w:rtl w:val="0"/>
        </w:rPr>
        <w:t xml:space="preserve"> and People v. Yatar</w:t>
      </w:r>
      <w:r w:rsidDel="00000000" w:rsidR="00000000" w:rsidRPr="00000000">
        <w:rPr>
          <w:rFonts w:ascii="Georgia" w:cs="Georgia" w:eastAsia="Georgia" w:hAnsi="Georgia"/>
          <w:sz w:val="22"/>
          <w:szCs w:val="22"/>
          <w:vertAlign w:val="superscript"/>
          <w:rtl w:val="0"/>
        </w:rPr>
        <w:t xml:space="preserve">8</w:t>
      </w:r>
      <w:r w:rsidDel="00000000" w:rsidR="00000000" w:rsidRPr="00000000">
        <w:rPr>
          <w:rFonts w:ascii="Georgia" w:cs="Georgia" w:eastAsia="Georgia" w:hAnsi="Georgia"/>
          <w:sz w:val="22"/>
          <w:szCs w:val="22"/>
          <w:rtl w:val="0"/>
        </w:rPr>
        <w:t xml:space="preserve"> had to rely on the new biosciences and biotechnologies. DNA testing is just the beginning of the new learning. After attending two bioscience seminars in Hawaii and Canada, I now realize how the bio-age is just dawning, and how it will deeply affect everyone on this planet by prolonging life spans and enhancing well-being. I have written about this subject in my two latest books, The Bio-Age Dawns on the Judiciary</w:t>
      </w:r>
      <w:r w:rsidDel="00000000" w:rsidR="00000000" w:rsidRPr="00000000">
        <w:rPr>
          <w:rFonts w:ascii="Georgia" w:cs="Georgia" w:eastAsia="Georgia" w:hAnsi="Georgia"/>
          <w:sz w:val="22"/>
          <w:szCs w:val="22"/>
          <w:vertAlign w:val="superscript"/>
          <w:rtl w:val="0"/>
        </w:rPr>
        <w:t xml:space="preserve">9</w:t>
      </w:r>
      <w:r w:rsidDel="00000000" w:rsidR="00000000" w:rsidRPr="00000000">
        <w:rPr>
          <w:rFonts w:ascii="Georgia" w:cs="Georgia" w:eastAsia="Georgia" w:hAnsi="Georgia"/>
          <w:sz w:val="22"/>
          <w:szCs w:val="22"/>
          <w:rtl w:val="0"/>
        </w:rPr>
        <w:t xml:space="preserve"> and Leveling the Playing Field.</w:t>
      </w:r>
      <w:r w:rsidDel="00000000" w:rsidR="00000000" w:rsidRPr="00000000">
        <w:rPr>
          <w:rFonts w:ascii="Georgia" w:cs="Georgia" w:eastAsia="Georgia" w:hAnsi="Georgia"/>
          <w:sz w:val="22"/>
          <w:szCs w:val="22"/>
          <w:vertAlign w:val="superscript"/>
          <w:rtl w:val="0"/>
        </w:rPr>
        <w:t xml:space="preserve">10</w:t>
      </w:r>
      <w:r w:rsidDel="00000000" w:rsidR="00000000" w:rsidRPr="00000000">
        <w:rPr>
          <w:rtl w:val="0"/>
        </w:rPr>
      </w:r>
    </w:p>
    <w:p w:rsidR="00000000" w:rsidDel="00000000" w:rsidP="00000000" w:rsidRDefault="00000000" w:rsidRPr="00000000" w14:paraId="000003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To appreciate the “battered woman syndrome” as a mitigating circumstance or as a viable defense in a prosecution for parricide, the Court in People v. Genosa</w:t>
      </w:r>
      <w:r w:rsidDel="00000000" w:rsidR="00000000" w:rsidRPr="00000000">
        <w:rPr>
          <w:rFonts w:ascii="Georgia" w:cs="Georgia" w:eastAsia="Georgia" w:hAnsi="Georgia"/>
          <w:sz w:val="22"/>
          <w:szCs w:val="22"/>
          <w:vertAlign w:val="superscript"/>
          <w:rtl w:val="0"/>
        </w:rPr>
        <w:t xml:space="preserve">11</w:t>
      </w:r>
      <w:r w:rsidDel="00000000" w:rsidR="00000000" w:rsidRPr="00000000">
        <w:rPr>
          <w:rFonts w:ascii="Georgia" w:cs="Georgia" w:eastAsia="Georgia" w:hAnsi="Georgia"/>
          <w:sz w:val="22"/>
          <w:szCs w:val="22"/>
          <w:rtl w:val="0"/>
        </w:rPr>
        <w:t xml:space="preserve"> had to wade into recent psychological studies on this novel phenomenon.</w:t>
      </w:r>
    </w:p>
    <w:p w:rsidR="00000000" w:rsidDel="00000000" w:rsidP="00000000" w:rsidRDefault="00000000" w:rsidRPr="00000000" w14:paraId="000003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To decide on the constitutionality of the 1995 Mining Law, the Court in La Bugal-B’laan Tribal Association v. Ramos</w:t>
      </w:r>
      <w:r w:rsidDel="00000000" w:rsidR="00000000" w:rsidRPr="00000000">
        <w:rPr>
          <w:rFonts w:ascii="Georgia" w:cs="Georgia" w:eastAsia="Georgia" w:hAnsi="Georgia"/>
          <w:sz w:val="22"/>
          <w:szCs w:val="22"/>
          <w:vertAlign w:val="superscript"/>
          <w:rtl w:val="0"/>
        </w:rPr>
        <w:t xml:space="preserve">12</w:t>
      </w:r>
      <w:r w:rsidDel="00000000" w:rsidR="00000000" w:rsidRPr="00000000">
        <w:rPr>
          <w:rFonts w:ascii="Georgia" w:cs="Georgia" w:eastAsia="Georgia" w:hAnsi="Georgia"/>
          <w:sz w:val="22"/>
          <w:szCs w:val="22"/>
          <w:rtl w:val="0"/>
        </w:rPr>
        <w:t xml:space="preserve"> had to deliberate on and discuss several diverse but related topics: environmental (how sustainable mining operations would be), financial (how to determine “other sources” of governmental income from mining), technical (how mining was different from logging and oil exploration), and social (how mining would impact on the nation at large vis-à-vis indigenous communities).</w:t>
      </w:r>
    </w:p>
    <w:p w:rsidR="00000000" w:rsidDel="00000000" w:rsidP="00000000" w:rsidRDefault="00000000" w:rsidRPr="00000000" w14:paraId="000003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is just a sampling of cases that required excellence; that is, knowledge not only of law but also of many other branches of knowledge.</w:t>
      </w:r>
    </w:p>
    <w:p w:rsidR="00000000" w:rsidDel="00000000" w:rsidP="00000000" w:rsidRDefault="00000000" w:rsidRPr="00000000" w14:paraId="000003A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Necessity for Ethics</w:t>
      </w:r>
    </w:p>
    <w:p w:rsidR="00000000" w:rsidDel="00000000" w:rsidP="00000000" w:rsidRDefault="00000000" w:rsidRPr="00000000" w14:paraId="000003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excellence is not enough. I believe there are at least two other qualities that awardees must possess: ethics and eternity. Those aspiring to be included in the judicial “who’s who” must rigorously follow the Canons of Judicial Ethics and the New Code of Judicial Conduct for the Philippine Judiciary.</w:t>
      </w:r>
      <w:r w:rsidDel="00000000" w:rsidR="00000000" w:rsidRPr="00000000">
        <w:rPr>
          <w:rFonts w:ascii="Georgia" w:cs="Georgia" w:eastAsia="Georgia" w:hAnsi="Georgia"/>
          <w:sz w:val="22"/>
          <w:szCs w:val="22"/>
          <w:vertAlign w:val="superscript"/>
          <w:rtl w:val="0"/>
        </w:rPr>
        <w:t xml:space="preserve">13</w:t>
      </w:r>
      <w:r w:rsidDel="00000000" w:rsidR="00000000" w:rsidRPr="00000000">
        <w:rPr>
          <w:rFonts w:ascii="Georgia" w:cs="Georgia" w:eastAsia="Georgia" w:hAnsi="Georgia"/>
          <w:sz w:val="22"/>
          <w:szCs w:val="22"/>
          <w:rtl w:val="0"/>
        </w:rPr>
        <w:t xml:space="preserve"> Indeed, our awardees are expected to be epitomes of integrity, courage, fidelity, prudence and selflessness.</w:t>
      </w:r>
    </w:p>
    <w:p w:rsidR="00000000" w:rsidDel="00000000" w:rsidP="00000000" w:rsidRDefault="00000000" w:rsidRPr="00000000" w14:paraId="000003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quick look at the various administrative cases decided by the Supreme Court involving judges and judicial employees shows that most of them have been penalized for various ethical violations, like bias, dishonesty, misconduct, immorality, abuse of discretion, undue delay in rendering decisions, knowingly rendering unjust judgments, dereliction of duty, negligence, and unbecoming conduct.</w:t>
      </w:r>
      <w:r w:rsidDel="00000000" w:rsidR="00000000" w:rsidRPr="00000000">
        <w:rPr>
          <w:rFonts w:ascii="Georgia" w:cs="Georgia" w:eastAsia="Georgia" w:hAnsi="Georgia"/>
          <w:sz w:val="22"/>
          <w:szCs w:val="22"/>
          <w:vertAlign w:val="superscript"/>
          <w:rtl w:val="0"/>
        </w:rPr>
        <w:t xml:space="preserve">14</w:t>
      </w:r>
      <w:r w:rsidDel="00000000" w:rsidR="00000000" w:rsidRPr="00000000">
        <w:rPr>
          <w:rtl w:val="0"/>
        </w:rPr>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reform the judiciary, there is a need not just for a change of men, but a change in men; as well as a need to transform old habits of laziness, ineptness and duplicity into ethical values of industry, competence and honesty.</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Legally knowledgeable judges who have no regard for ethics are dangerous to society; they may turn out to be worse than the criminals they sentence to jail. They are the scum and the scourge of the judiciary.</w:t>
      </w:r>
    </w:p>
    <w:p w:rsidR="00000000" w:rsidDel="00000000" w:rsidP="00000000" w:rsidRDefault="00000000" w:rsidRPr="00000000" w14:paraId="000003B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Visions for Eternity</w:t>
      </w:r>
    </w:p>
    <w:p w:rsidR="00000000" w:rsidDel="00000000" w:rsidP="00000000" w:rsidRDefault="00000000" w:rsidRPr="00000000" w14:paraId="000003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ideal judges must set their visions beyond the here and now to the hereafter and forever. They must act with the knowledge that their decisions and </w:t>
      </w:r>
      <w:r w:rsidDel="00000000" w:rsidR="00000000" w:rsidRPr="00000000">
        <w:rPr>
          <w:rFonts w:ascii="Georgia" w:cs="Georgia" w:eastAsia="Georgia" w:hAnsi="Georgia"/>
          <w:sz w:val="22"/>
          <w:szCs w:val="22"/>
          <w:rtl w:val="0"/>
        </w:rPr>
        <w:t xml:space="preserve">actions will be remembered in eternity -- not only in this life, but also in the next. Judges who firmly believe they are born both of the flesh and of the spirit will act prudently and wisely. They will realize that while the body may die and turn to dust, the spirit will live on eternally. Hence, they will act and decide not only because they want to be remembered today, but also because they want a place in a zillion tomorrows.</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there are human and physical laws, there are also spiritual laws. And just as there are consequences for violations of human and physical laws, there are penalties for the transgression of God’s commands. For example, civil laws protect contracts. A party who breaches them may be liable for damages. In the same manner, one who injures another violates criminal laws and may be jailed as a consequence.</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too, a violation of the laws of physics implies consequences; hence, when one jumps out of a window, one falls to the ground and is likely to be injured in accordance with the law of gravity.</w:t>
      </w:r>
    </w:p>
    <w:p w:rsidR="00000000" w:rsidDel="00000000" w:rsidP="00000000" w:rsidRDefault="00000000" w:rsidRPr="00000000" w14:paraId="000003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spiritual laws operate on our spirit, whether we like it or not. For instance, when we transgress the Ten Commandments or the Beatitudes, our spirits suffer the necessary consequences by being damned in eternity. But just as there is reparation for violation of human and physical laws, there is also salvation from our sins -- through repentance, restitution and reformation.</w:t>
      </w:r>
    </w:p>
    <w:p w:rsidR="00000000" w:rsidDel="00000000" w:rsidP="00000000" w:rsidRDefault="00000000" w:rsidRPr="00000000" w14:paraId="000003B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Final Exhortation</w:t>
      </w:r>
    </w:p>
    <w:p w:rsidR="00000000" w:rsidDel="00000000" w:rsidP="00000000" w:rsidRDefault="00000000" w:rsidRPr="00000000" w14:paraId="000003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conclude, may I leave this final exhortation: if my presence today and my 15-minute keynote address should have ‘any value at all, please remember the 3 Es of a life worth living -- Excellence, Ethics and Eternity. Let us constantly and fervently practice them in our lives and livelihoods. Let the 3 Es be our guiding lights and standards of behavior, our special supplications to God. Let the Catholics among us, during the Prayer for the Faithful at Mass, quietly ask for moral courage to absorb and radiate them, not by empty words but by our daily example. And may all of us, during moments of solitude and reflection, always bear them in mind and have the will and the determination to carry them out every day of our lives.</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3BB">
      <w:pPr>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C">
      <w:pPr>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D">
      <w:pPr>
        <w:ind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E">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11</w:t>
      </w:r>
    </w:p>
    <w:p w:rsidR="00000000" w:rsidDel="00000000" w:rsidP="00000000" w:rsidRDefault="00000000" w:rsidRPr="00000000" w14:paraId="000003BF">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Liberty and Prosperity</w:t>
      </w:r>
      <w:r w:rsidDel="00000000" w:rsidR="00000000" w:rsidRPr="00000000">
        <w:rPr>
          <w:rFonts w:ascii="Georgia" w:cs="Georgia" w:eastAsia="Georgia" w:hAnsi="Georgia"/>
          <w:color w:val="000000"/>
          <w:sz w:val="22"/>
          <w:szCs w:val="22"/>
          <w:vertAlign w:val="superscript"/>
          <w:rtl w:val="0"/>
        </w:rPr>
        <w:t xml:space="preserve">*</w:t>
      </w:r>
      <w:r w:rsidDel="00000000" w:rsidR="00000000" w:rsidRPr="00000000">
        <w:rPr>
          <w:rtl w:val="0"/>
        </w:rPr>
      </w:r>
    </w:p>
    <w:p w:rsidR="00000000" w:rsidDel="00000000" w:rsidP="00000000" w:rsidRDefault="00000000" w:rsidRPr="00000000" w14:paraId="000003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deeply honored to have been invited by Atty. Angelica Y. Santiago, the outstanding daughter of an equally outstanding mother; and by Atty. Jose Anselmo I. Cadiz, the distinguished IBP president, to address the 10th National Convention of Lawyers sponsored by the Integrated Bar of the Philippines (IBP) here in Baguio City.</w:t>
      </w:r>
    </w:p>
    <w:p w:rsidR="00000000" w:rsidDel="00000000" w:rsidP="00000000" w:rsidRDefault="00000000" w:rsidRPr="00000000" w14:paraId="000003C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Grand Vision and a Wise Choice of Heroes</w:t>
      </w:r>
    </w:p>
    <w:p w:rsidR="00000000" w:rsidDel="00000000" w:rsidP="00000000" w:rsidRDefault="00000000" w:rsidRPr="00000000" w14:paraId="000003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can never forget the sterling inaugural speech delivered by Atty. Cadiz two years ago at the Supreme Court Session Hall, in which he spelled out his grand vision and mission for the legal profession. What especially impressed me was his psychedelic choice of heroes -- from John and Robert Kennedy, who had brought Camelot to America; to Ho Chi Minh, who had successfully resisted the imposition of the American dream on Vietnam; to Nelson Mandela, whom Atty. Cadiz called “the greatest person of the 20th century”; and finally, to Jose Abad Santos, who had serenely and bravely embraced martyrdom.</w:t>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Long ago, my high school teacher wisely taught her pupils, “Tell me who your friends are and I will tell you who you are.” By that sagacious standard, Atty. Cadiz rates a perfect 10. His choice of heroes has identified him with the 20th century’s greatest thinkers and reformers who have altered the course of civilization in our planet.</w:t>
      </w:r>
    </w:p>
    <w:p w:rsidR="00000000" w:rsidDel="00000000" w:rsidP="00000000" w:rsidRDefault="00000000" w:rsidRPr="00000000" w14:paraId="000003C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Liberation from Tyranny and Poverty</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during the mid-70s, the illustrious Mr. Justice J. B. L. Reyes constantly reminded new lawyers that law was a means to serve justice.</w:t>
      </w:r>
      <w:r w:rsidDel="00000000" w:rsidR="00000000" w:rsidRPr="00000000">
        <w:rPr>
          <w:rFonts w:ascii="Georgia" w:cs="Georgia" w:eastAsia="Georgia" w:hAnsi="Georgia"/>
          <w:sz w:val="22"/>
          <w:szCs w:val="22"/>
          <w:vertAlign w:val="superscript"/>
          <w:rtl w:val="0"/>
        </w:rPr>
        <w:t xml:space="preserve">1</w:t>
      </w:r>
      <w:r w:rsidDel="00000000" w:rsidR="00000000" w:rsidRPr="00000000">
        <w:rPr>
          <w:rFonts w:ascii="Georgia" w:cs="Georgia" w:eastAsia="Georgia" w:hAnsi="Georgia"/>
          <w:sz w:val="22"/>
          <w:szCs w:val="22"/>
          <w:rtl w:val="0"/>
        </w:rPr>
        <w:t xml:space="preserve"> He lamented that some attorneys were acting like “hired guns” who were protecting the interests of their moneyed clients of the moment,</w:t>
      </w:r>
      <w:r w:rsidDel="00000000" w:rsidR="00000000" w:rsidRPr="00000000">
        <w:rPr>
          <w:rFonts w:ascii="Georgia" w:cs="Georgia" w:eastAsia="Georgia" w:hAnsi="Georgia"/>
          <w:sz w:val="22"/>
          <w:szCs w:val="22"/>
          <w:vertAlign w:val="superscript"/>
          <w:rtl w:val="0"/>
        </w:rPr>
        <w:t xml:space="preserve">2</w:t>
      </w:r>
      <w:r w:rsidDel="00000000" w:rsidR="00000000" w:rsidRPr="00000000">
        <w:rPr>
          <w:rFonts w:ascii="Georgia" w:cs="Georgia" w:eastAsia="Georgia" w:hAnsi="Georgia"/>
          <w:sz w:val="22"/>
          <w:szCs w:val="22"/>
          <w:rtl w:val="0"/>
        </w:rPr>
        <w:t xml:space="preserve"> whether or not their causes were just.</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take your overwhelming presence here today as a demonstration meant to dispel the professional morass J. B. L. Reyes spoke of. By your conference theme “Alleviating Poverty and Resolving the Fiscal Crisis: Challenges for the Legal System,” you are saying that lawyers can and must have an active role in purging Philippine society of economic deprivation and want. Such a brave call for action signifies the legal profession’s unity with the common folk and their struggles against hunger and dispossession. This solidarity heralds your commitment to free our people not only from fear, but also from want; to liberate them not only from political tyranny, but also from economic infamy.</w:t>
      </w:r>
    </w:p>
    <w:p w:rsidR="00000000" w:rsidDel="00000000" w:rsidP="00000000" w:rsidRDefault="00000000" w:rsidRPr="00000000" w14:paraId="000003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conference theme also aligns the IBP with the Catholic Church’s Eucharistic Prayer (recited at Mass every Sunday), which describes our countrymen as a “wounded people, wounded by political conflicts and tribal wars, wounded by unjust socio-economic divisions, wounded by corruption and moral degeneration.”</w:t>
      </w:r>
    </w:p>
    <w:p w:rsidR="00000000" w:rsidDel="00000000" w:rsidP="00000000" w:rsidRDefault="00000000" w:rsidRPr="00000000" w14:paraId="000003C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Maintenance of the Social Order</w:t>
      </w:r>
    </w:p>
    <w:p w:rsidR="00000000" w:rsidDel="00000000" w:rsidP="00000000" w:rsidRDefault="00000000" w:rsidRPr="00000000" w14:paraId="000003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civilized societies, law has always been used to maintain social order. To breathe and thrive, an orderly society needs an effective and efficient justice system to interpret rights and duties and to resolve disputes. Thus, courts exist as the great arbiters of all time.’</w:t>
      </w:r>
      <w:r w:rsidDel="00000000" w:rsidR="00000000" w:rsidRPr="00000000">
        <w:rPr>
          <w:rFonts w:ascii="Georgia" w:cs="Georgia" w:eastAsia="Georgia" w:hAnsi="Georgia"/>
          <w:sz w:val="22"/>
          <w:szCs w:val="22"/>
          <w:vertAlign w:val="superscript"/>
          <w:rtl w:val="0"/>
        </w:rPr>
        <w:t xml:space="preserve">3</w:t>
      </w:r>
      <w:r w:rsidDel="00000000" w:rsidR="00000000" w:rsidRPr="00000000">
        <w:rPr>
          <w:rtl w:val="0"/>
        </w:rPr>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resurging interest in the law’s impact on poverty alleviation has opened up a new dimension of the utility of the justice system and the legal profession.</w:t>
      </w:r>
    </w:p>
    <w:p w:rsidR="00000000" w:rsidDel="00000000" w:rsidP="00000000" w:rsidRDefault="00000000" w:rsidRPr="00000000" w14:paraId="000003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1995 report entitled “The World Bank in a Changing World,” Dr. Ibrahim F. I. Shihata said, and I quote:</w:t>
      </w:r>
    </w:p>
    <w:p w:rsidR="00000000" w:rsidDel="00000000" w:rsidP="00000000" w:rsidRDefault="00000000" w:rsidRPr="00000000" w14:paraId="000003CC">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“A complement to economic reform is judicial reform and legal reform. Without effective laws, without effective structures, there may not be investment, there may not be growth.”</w:t>
      </w:r>
      <w:r w:rsidDel="00000000" w:rsidR="00000000" w:rsidRPr="00000000">
        <w:rPr>
          <w:rtl w:val="0"/>
        </w:rPr>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there can be no meaningful economic development without an effective rule of law in place. In recognition of this truism, the Asian Development Bank (ADB) has been undertaking law and policy reform (LPR) activities as an essential prerequisite to the reduction of poverty in developing countries.</w:t>
      </w:r>
      <w:r w:rsidDel="00000000" w:rsidR="00000000" w:rsidRPr="00000000">
        <w:rPr>
          <w:rFonts w:ascii="Georgia" w:cs="Georgia" w:eastAsia="Georgia" w:hAnsi="Georgia"/>
          <w:sz w:val="22"/>
          <w:szCs w:val="22"/>
          <w:vertAlign w:val="superscript"/>
          <w:rtl w:val="0"/>
        </w:rPr>
        <w:t xml:space="preserve">4</w:t>
      </w:r>
      <w:r w:rsidDel="00000000" w:rsidR="00000000" w:rsidRPr="00000000">
        <w:rPr>
          <w:rFonts w:ascii="Georgia" w:cs="Georgia" w:eastAsia="Georgia" w:hAnsi="Georgia"/>
          <w:sz w:val="22"/>
          <w:szCs w:val="22"/>
          <w:rtl w:val="0"/>
        </w:rPr>
        <w:t xml:space="preserve"> The bank acknowledges that poverty measurements must move away from traditional income-based indicators to those that accentuate equal rights and opportunities. The ADB’s new definition of poverty as a “deprivation of essential assets and opportunities to which every human is entitled”</w:t>
      </w:r>
      <w:r w:rsidDel="00000000" w:rsidR="00000000" w:rsidRPr="00000000">
        <w:rPr>
          <w:rFonts w:ascii="Georgia" w:cs="Georgia" w:eastAsia="Georgia" w:hAnsi="Georgia"/>
          <w:sz w:val="22"/>
          <w:szCs w:val="22"/>
          <w:vertAlign w:val="superscript"/>
          <w:rtl w:val="0"/>
        </w:rPr>
        <w:t xml:space="preserve">5</w:t>
      </w:r>
      <w:r w:rsidDel="00000000" w:rsidR="00000000" w:rsidRPr="00000000">
        <w:rPr>
          <w:rFonts w:ascii="Georgia" w:cs="Georgia" w:eastAsia="Georgia" w:hAnsi="Georgia"/>
          <w:sz w:val="22"/>
          <w:szCs w:val="22"/>
          <w:rtl w:val="0"/>
        </w:rPr>
        <w:t xml:space="preserve"> underpins the bank’s various access-to-justice projects.</w:t>
      </w:r>
    </w:p>
    <w:p w:rsidR="00000000" w:rsidDel="00000000" w:rsidP="00000000" w:rsidRDefault="00000000" w:rsidRPr="00000000" w14:paraId="000003C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Poverty Alleviation Mandated by the 1987 Constitution</w:t>
      </w:r>
    </w:p>
    <w:p w:rsidR="00000000" w:rsidDel="00000000" w:rsidP="00000000" w:rsidRDefault="00000000" w:rsidRPr="00000000" w14:paraId="000003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I did not really need to cite the Catholic Church, the World Bank, or the Asian Development Bank to show the necessity of upholding the twin goals of liberty and prosperity. Our 1987 Constitution provides more than sufficient authority to the task of alleviating the marginalized and the poor.</w:t>
      </w:r>
      <w:r w:rsidDel="00000000" w:rsidR="00000000" w:rsidRPr="00000000">
        <w:rPr>
          <w:rFonts w:ascii="Georgia" w:cs="Georgia" w:eastAsia="Georgia" w:hAnsi="Georgia"/>
          <w:sz w:val="22"/>
          <w:szCs w:val="22"/>
          <w:vertAlign w:val="superscript"/>
          <w:rtl w:val="0"/>
        </w:rPr>
        <w:t xml:space="preserve">6</w:t>
      </w:r>
      <w:r w:rsidDel="00000000" w:rsidR="00000000" w:rsidRPr="00000000">
        <w:rPr>
          <w:rFonts w:ascii="Georgia" w:cs="Georgia" w:eastAsia="Georgia" w:hAnsi="Georgia"/>
          <w:sz w:val="22"/>
          <w:szCs w:val="22"/>
          <w:rtl w:val="0"/>
        </w:rPr>
        <w:t xml:space="preserve"> In the pursuit of economic development, it directs preferential attention to social justice,</w:t>
      </w:r>
      <w:r w:rsidDel="00000000" w:rsidR="00000000" w:rsidRPr="00000000">
        <w:rPr>
          <w:rFonts w:ascii="Georgia" w:cs="Georgia" w:eastAsia="Georgia" w:hAnsi="Georgia"/>
          <w:sz w:val="22"/>
          <w:szCs w:val="22"/>
          <w:vertAlign w:val="superscript"/>
          <w:rtl w:val="0"/>
        </w:rPr>
        <w:t xml:space="preserve">7</w:t>
      </w:r>
      <w:r w:rsidDel="00000000" w:rsidR="00000000" w:rsidRPr="00000000">
        <w:rPr>
          <w:rFonts w:ascii="Georgia" w:cs="Georgia" w:eastAsia="Georgia" w:hAnsi="Georgia"/>
          <w:sz w:val="22"/>
          <w:szCs w:val="22"/>
          <w:rtl w:val="0"/>
        </w:rPr>
        <w:t xml:space="preserve"> human rights,</w:t>
      </w:r>
      <w:r w:rsidDel="00000000" w:rsidR="00000000" w:rsidRPr="00000000">
        <w:rPr>
          <w:rFonts w:ascii="Georgia" w:cs="Georgia" w:eastAsia="Georgia" w:hAnsi="Georgia"/>
          <w:sz w:val="22"/>
          <w:szCs w:val="22"/>
          <w:vertAlign w:val="superscript"/>
          <w:rtl w:val="0"/>
        </w:rPr>
        <w:t xml:space="preserve">8</w:t>
      </w:r>
      <w:r w:rsidDel="00000000" w:rsidR="00000000" w:rsidRPr="00000000">
        <w:rPr>
          <w:rFonts w:ascii="Georgia" w:cs="Georgia" w:eastAsia="Georgia" w:hAnsi="Georgia"/>
          <w:sz w:val="22"/>
          <w:szCs w:val="22"/>
          <w:rtl w:val="0"/>
        </w:rPr>
        <w:t xml:space="preserve"> and ecology,</w:t>
      </w:r>
      <w:r w:rsidDel="00000000" w:rsidR="00000000" w:rsidRPr="00000000">
        <w:rPr>
          <w:rFonts w:ascii="Georgia" w:cs="Georgia" w:eastAsia="Georgia" w:hAnsi="Georgia"/>
          <w:sz w:val="22"/>
          <w:szCs w:val="22"/>
          <w:vertAlign w:val="superscript"/>
          <w:rtl w:val="0"/>
        </w:rPr>
        <w:t xml:space="preserve">9</w:t>
      </w:r>
      <w:r w:rsidDel="00000000" w:rsidR="00000000" w:rsidRPr="00000000">
        <w:rPr>
          <w:rFonts w:ascii="Georgia" w:cs="Georgia" w:eastAsia="Georgia" w:hAnsi="Georgia"/>
          <w:sz w:val="22"/>
          <w:szCs w:val="22"/>
          <w:rtl w:val="0"/>
        </w:rPr>
        <w:t xml:space="preserve"> among others.</w:t>
      </w:r>
    </w:p>
    <w:p w:rsidR="00000000" w:rsidDel="00000000" w:rsidP="00000000" w:rsidRDefault="00000000" w:rsidRPr="00000000" w14:paraId="000003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broad strokes, the Constitution lays down the role of women</w:t>
      </w:r>
      <w:r w:rsidDel="00000000" w:rsidR="00000000" w:rsidRPr="00000000">
        <w:rPr>
          <w:rFonts w:ascii="Georgia" w:cs="Georgia" w:eastAsia="Georgia" w:hAnsi="Georgia"/>
          <w:sz w:val="22"/>
          <w:szCs w:val="22"/>
          <w:vertAlign w:val="superscript"/>
          <w:rtl w:val="0"/>
        </w:rPr>
        <w:t xml:space="preserve">10</w:t>
      </w:r>
      <w:r w:rsidDel="00000000" w:rsidR="00000000" w:rsidRPr="00000000">
        <w:rPr>
          <w:rFonts w:ascii="Georgia" w:cs="Georgia" w:eastAsia="Georgia" w:hAnsi="Georgia"/>
          <w:sz w:val="22"/>
          <w:szCs w:val="22"/>
          <w:rtl w:val="0"/>
        </w:rPr>
        <w:t xml:space="preserve"> and children,</w:t>
      </w:r>
      <w:r w:rsidDel="00000000" w:rsidR="00000000" w:rsidRPr="00000000">
        <w:rPr>
          <w:rFonts w:ascii="Georgia" w:cs="Georgia" w:eastAsia="Georgia" w:hAnsi="Georgia"/>
          <w:sz w:val="22"/>
          <w:szCs w:val="22"/>
          <w:vertAlign w:val="superscript"/>
          <w:rtl w:val="0"/>
        </w:rPr>
        <w:t xml:space="preserve">11</w:t>
      </w:r>
      <w:r w:rsidDel="00000000" w:rsidR="00000000" w:rsidRPr="00000000">
        <w:rPr>
          <w:rFonts w:ascii="Georgia" w:cs="Georgia" w:eastAsia="Georgia" w:hAnsi="Georgia"/>
          <w:sz w:val="22"/>
          <w:szCs w:val="22"/>
          <w:rtl w:val="0"/>
        </w:rPr>
        <w:t xml:space="preserve"> the protection of labor</w:t>
      </w:r>
      <w:r w:rsidDel="00000000" w:rsidR="00000000" w:rsidRPr="00000000">
        <w:rPr>
          <w:rFonts w:ascii="Georgia" w:cs="Georgia" w:eastAsia="Georgia" w:hAnsi="Georgia"/>
          <w:sz w:val="22"/>
          <w:szCs w:val="22"/>
          <w:vertAlign w:val="superscript"/>
          <w:rtl w:val="0"/>
        </w:rPr>
        <w:t xml:space="preserve">12</w:t>
      </w:r>
      <w:r w:rsidDel="00000000" w:rsidR="00000000" w:rsidRPr="00000000">
        <w:rPr>
          <w:rFonts w:ascii="Georgia" w:cs="Georgia" w:eastAsia="Georgia" w:hAnsi="Georgia"/>
          <w:sz w:val="22"/>
          <w:szCs w:val="22"/>
          <w:rtl w:val="0"/>
        </w:rPr>
        <w:t xml:space="preserve"> and respect for the rights of indigenous cultural communities.</w:t>
      </w:r>
      <w:r w:rsidDel="00000000" w:rsidR="00000000" w:rsidRPr="00000000">
        <w:rPr>
          <w:rFonts w:ascii="Georgia" w:cs="Georgia" w:eastAsia="Georgia" w:hAnsi="Georgia"/>
          <w:sz w:val="22"/>
          <w:szCs w:val="22"/>
          <w:vertAlign w:val="superscript"/>
          <w:rtl w:val="0"/>
        </w:rPr>
        <w:t xml:space="preserve">13</w:t>
      </w:r>
      <w:r w:rsidDel="00000000" w:rsidR="00000000" w:rsidRPr="00000000">
        <w:rPr>
          <w:rFonts w:ascii="Georgia" w:cs="Georgia" w:eastAsia="Georgia" w:hAnsi="Georgia"/>
          <w:sz w:val="22"/>
          <w:szCs w:val="22"/>
          <w:rtl w:val="0"/>
        </w:rPr>
        <w:t xml:space="preserve"> In response to these pro-poor directives of the Charter, the Supreme Court, for its part, has time and time again proactively decided in favor of farmers, fisherfolk, common workers and other groups in such areas as agrarian reform,</w:t>
      </w:r>
      <w:r w:rsidDel="00000000" w:rsidR="00000000" w:rsidRPr="00000000">
        <w:rPr>
          <w:rFonts w:ascii="Georgia" w:cs="Georgia" w:eastAsia="Georgia" w:hAnsi="Georgia"/>
          <w:sz w:val="22"/>
          <w:szCs w:val="22"/>
          <w:vertAlign w:val="superscript"/>
          <w:rtl w:val="0"/>
        </w:rPr>
        <w:t xml:space="preserve">14</w:t>
      </w:r>
      <w:r w:rsidDel="00000000" w:rsidR="00000000" w:rsidRPr="00000000">
        <w:rPr>
          <w:rFonts w:ascii="Georgia" w:cs="Georgia" w:eastAsia="Georgia" w:hAnsi="Georgia"/>
          <w:sz w:val="22"/>
          <w:szCs w:val="22"/>
          <w:rtl w:val="0"/>
        </w:rPr>
        <w:t xml:space="preserve"> human rights,</w:t>
      </w:r>
      <w:r w:rsidDel="00000000" w:rsidR="00000000" w:rsidRPr="00000000">
        <w:rPr>
          <w:rFonts w:ascii="Georgia" w:cs="Georgia" w:eastAsia="Georgia" w:hAnsi="Georgia"/>
          <w:sz w:val="22"/>
          <w:szCs w:val="22"/>
          <w:vertAlign w:val="superscript"/>
          <w:rtl w:val="0"/>
        </w:rPr>
        <w:t xml:space="preserve">15</w:t>
      </w:r>
      <w:r w:rsidDel="00000000" w:rsidR="00000000" w:rsidRPr="00000000">
        <w:rPr>
          <w:rFonts w:ascii="Georgia" w:cs="Georgia" w:eastAsia="Georgia" w:hAnsi="Georgia"/>
          <w:sz w:val="22"/>
          <w:szCs w:val="22"/>
          <w:rtl w:val="0"/>
        </w:rPr>
        <w:t xml:space="preserve"> labor,</w:t>
      </w:r>
      <w:r w:rsidDel="00000000" w:rsidR="00000000" w:rsidRPr="00000000">
        <w:rPr>
          <w:rFonts w:ascii="Georgia" w:cs="Georgia" w:eastAsia="Georgia" w:hAnsi="Georgia"/>
          <w:sz w:val="22"/>
          <w:szCs w:val="22"/>
          <w:vertAlign w:val="superscript"/>
          <w:rtl w:val="0"/>
        </w:rPr>
        <w:t xml:space="preserve">16</w:t>
      </w:r>
      <w:r w:rsidDel="00000000" w:rsidR="00000000" w:rsidRPr="00000000">
        <w:rPr>
          <w:rFonts w:ascii="Georgia" w:cs="Georgia" w:eastAsia="Georgia" w:hAnsi="Georgia"/>
          <w:sz w:val="22"/>
          <w:szCs w:val="22"/>
          <w:rtl w:val="0"/>
        </w:rPr>
        <w:t xml:space="preserve"> environmental protection,</w:t>
      </w:r>
      <w:r w:rsidDel="00000000" w:rsidR="00000000" w:rsidRPr="00000000">
        <w:rPr>
          <w:rFonts w:ascii="Georgia" w:cs="Georgia" w:eastAsia="Georgia" w:hAnsi="Georgia"/>
          <w:sz w:val="22"/>
          <w:szCs w:val="22"/>
          <w:vertAlign w:val="superscript"/>
          <w:rtl w:val="0"/>
        </w:rPr>
        <w:t xml:space="preserve">17</w:t>
      </w:r>
      <w:r w:rsidDel="00000000" w:rsidR="00000000" w:rsidRPr="00000000">
        <w:rPr>
          <w:rFonts w:ascii="Georgia" w:cs="Georgia" w:eastAsia="Georgia" w:hAnsi="Georgia"/>
          <w:sz w:val="22"/>
          <w:szCs w:val="22"/>
          <w:rtl w:val="0"/>
        </w:rPr>
        <w:t xml:space="preserve"> and economic development.</w:t>
      </w:r>
      <w:r w:rsidDel="00000000" w:rsidR="00000000" w:rsidRPr="00000000">
        <w:rPr>
          <w:rFonts w:ascii="Georgia" w:cs="Georgia" w:eastAsia="Georgia" w:hAnsi="Georgia"/>
          <w:sz w:val="22"/>
          <w:szCs w:val="22"/>
          <w:vertAlign w:val="superscript"/>
          <w:rtl w:val="0"/>
        </w:rPr>
        <w:t xml:space="preserve">18</w:t>
      </w:r>
      <w:r w:rsidDel="00000000" w:rsidR="00000000" w:rsidRPr="00000000">
        <w:rPr>
          <w:rFonts w:ascii="Georgia" w:cs="Georgia" w:eastAsia="Georgia" w:hAnsi="Georgia"/>
          <w:sz w:val="22"/>
          <w:szCs w:val="22"/>
          <w:rtl w:val="0"/>
        </w:rPr>
        <w:t xml:space="preserve"> Worthy of special mention are two very recent landmark Decisions, Department of Agrarian Reform v. Cuenca</w:t>
      </w:r>
      <w:r w:rsidDel="00000000" w:rsidR="00000000" w:rsidRPr="00000000">
        <w:rPr>
          <w:rFonts w:ascii="Georgia" w:cs="Georgia" w:eastAsia="Georgia" w:hAnsi="Georgia"/>
          <w:sz w:val="22"/>
          <w:szCs w:val="22"/>
          <w:vertAlign w:val="superscript"/>
          <w:rtl w:val="0"/>
        </w:rPr>
        <w:t xml:space="preserve">19</w:t>
      </w:r>
      <w:r w:rsidDel="00000000" w:rsidR="00000000" w:rsidRPr="00000000">
        <w:rPr>
          <w:rFonts w:ascii="Georgia" w:cs="Georgia" w:eastAsia="Georgia" w:hAnsi="Georgia"/>
          <w:sz w:val="22"/>
          <w:szCs w:val="22"/>
          <w:rtl w:val="0"/>
        </w:rPr>
        <w:t xml:space="preserve"> and Sta. Rosa Realty Development Corporation v. Amante,</w:t>
      </w:r>
      <w:r w:rsidDel="00000000" w:rsidR="00000000" w:rsidRPr="00000000">
        <w:rPr>
          <w:rFonts w:ascii="Georgia" w:cs="Georgia" w:eastAsia="Georgia" w:hAnsi="Georgia"/>
          <w:sz w:val="22"/>
          <w:szCs w:val="22"/>
          <w:vertAlign w:val="superscript"/>
          <w:rtl w:val="0"/>
        </w:rPr>
        <w:t xml:space="preserve">20</w:t>
      </w:r>
      <w:r w:rsidDel="00000000" w:rsidR="00000000" w:rsidRPr="00000000">
        <w:rPr>
          <w:rFonts w:ascii="Georgia" w:cs="Georgia" w:eastAsia="Georgia" w:hAnsi="Georgia"/>
          <w:sz w:val="22"/>
          <w:szCs w:val="22"/>
          <w:rtl w:val="0"/>
        </w:rPr>
        <w:t xml:space="preserve"> which have been hailed by farmer-groups for championing the Comprehensive Agrarian Reform Program.</w:t>
      </w:r>
      <w:r w:rsidDel="00000000" w:rsidR="00000000" w:rsidRPr="00000000">
        <w:rPr>
          <w:rFonts w:ascii="Georgia" w:cs="Georgia" w:eastAsia="Georgia" w:hAnsi="Georgia"/>
          <w:sz w:val="22"/>
          <w:szCs w:val="22"/>
          <w:vertAlign w:val="superscript"/>
          <w:rtl w:val="0"/>
        </w:rPr>
        <w:t xml:space="preserve">21</w:t>
      </w:r>
      <w:r w:rsidDel="00000000" w:rsidR="00000000" w:rsidRPr="00000000">
        <w:rPr>
          <w:rtl w:val="0"/>
        </w:rPr>
      </w:r>
    </w:p>
    <w:p w:rsidR="00000000" w:rsidDel="00000000" w:rsidP="00000000" w:rsidRDefault="00000000" w:rsidRPr="00000000" w14:paraId="000003D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Supreme Court's Role in Economic Development</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latest book published in December last year, Leveling the Playing Field, I wrote about the Supreme Court’s role in economic development. Whenever the Court ruled on major cases affecting business and investments, traditional economic indicators -- like the stock market index and foreign exchange rates -- reacted positively or negatively, depending on how business people perceived the ruling. While the Court voided laws regulating investments (like the first Oil Deregulation Law)</w:t>
      </w:r>
      <w:r w:rsidDel="00000000" w:rsidR="00000000" w:rsidRPr="00000000">
        <w:rPr>
          <w:rFonts w:ascii="Georgia" w:cs="Georgia" w:eastAsia="Georgia" w:hAnsi="Georgia"/>
          <w:sz w:val="22"/>
          <w:szCs w:val="22"/>
          <w:vertAlign w:val="superscript"/>
          <w:rtl w:val="0"/>
        </w:rPr>
        <w:t xml:space="preserve">22</w:t>
      </w:r>
      <w:r w:rsidDel="00000000" w:rsidR="00000000" w:rsidRPr="00000000">
        <w:rPr>
          <w:rFonts w:ascii="Georgia" w:cs="Georgia" w:eastAsia="Georgia" w:hAnsi="Georgia"/>
          <w:sz w:val="22"/>
          <w:szCs w:val="22"/>
          <w:rtl w:val="0"/>
        </w:rPr>
        <w:t xml:space="preserve"> and mega-contracts and infrastructure projects,</w:t>
      </w:r>
      <w:r w:rsidDel="00000000" w:rsidR="00000000" w:rsidRPr="00000000">
        <w:rPr>
          <w:rFonts w:ascii="Georgia" w:cs="Georgia" w:eastAsia="Georgia" w:hAnsi="Georgia"/>
          <w:sz w:val="22"/>
          <w:szCs w:val="22"/>
          <w:vertAlign w:val="superscript"/>
          <w:rtl w:val="0"/>
        </w:rPr>
        <w:t xml:space="preserve">23</w:t>
      </w:r>
      <w:r w:rsidDel="00000000" w:rsidR="00000000" w:rsidRPr="00000000">
        <w:rPr>
          <w:rFonts w:ascii="Georgia" w:cs="Georgia" w:eastAsia="Georgia" w:hAnsi="Georgia"/>
          <w:sz w:val="22"/>
          <w:szCs w:val="22"/>
          <w:rtl w:val="0"/>
        </w:rPr>
        <w:t xml:space="preserve"> it did so only as a matter of exception.</w:t>
      </w:r>
    </w:p>
    <w:p w:rsidR="00000000" w:rsidDel="00000000" w:rsidP="00000000" w:rsidRDefault="00000000" w:rsidRPr="00000000" w14:paraId="000003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general rule, the High Court has been deferential to and respectful of the actions taken by governmental agencies that have primary responsibility for the economic development of the country. Only when an act has been clearly made or executed with grave abuse of discretion does the Court get involved in policy issues.</w:t>
      </w:r>
    </w:p>
    <w:p w:rsidR="00000000" w:rsidDel="00000000" w:rsidP="00000000" w:rsidRDefault="00000000" w:rsidRPr="00000000" w14:paraId="000003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laissez-faire judicial doctrine is well-known to all lawyers. Thus, in upholding the Philippine ratification of the treaty establishing the World Trade Organization (WTO), Tañada v. Angara</w:t>
      </w:r>
      <w:r w:rsidDel="00000000" w:rsidR="00000000" w:rsidRPr="00000000">
        <w:rPr>
          <w:rFonts w:ascii="Georgia" w:cs="Georgia" w:eastAsia="Georgia" w:hAnsi="Georgia"/>
          <w:sz w:val="22"/>
          <w:szCs w:val="22"/>
          <w:vertAlign w:val="superscript"/>
          <w:rtl w:val="0"/>
        </w:rPr>
        <w:t xml:space="preserve">24</w:t>
      </w:r>
      <w:r w:rsidDel="00000000" w:rsidR="00000000" w:rsidRPr="00000000">
        <w:rPr>
          <w:rFonts w:ascii="Georgia" w:cs="Georgia" w:eastAsia="Georgia" w:hAnsi="Georgia"/>
          <w:sz w:val="22"/>
          <w:szCs w:val="22"/>
          <w:rtl w:val="0"/>
        </w:rPr>
        <w:t xml:space="preserve"> held that “this Court never forgets that the Senate, whose act is under review, is one of the two sovereign Houses of Congress and is thus entitled to great respect in its actions. It is itself a constitutional body, independent and coordinate, and thus its actions are presumed regular and done in good faith. Unless convincing proof and persuasive arguments are presented to overthrow such presumption, this Court will resolve every doubt in its favor.”</w:t>
      </w:r>
    </w:p>
    <w:p w:rsidR="00000000" w:rsidDel="00000000" w:rsidP="00000000" w:rsidRDefault="00000000" w:rsidRPr="00000000" w14:paraId="000003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latest major foray of the Supreme Court into the economic life of the nation involved the constitutionality of Republic Act 7942, the Mining Law of 1995.</w:t>
      </w:r>
      <w:r w:rsidDel="00000000" w:rsidR="00000000" w:rsidRPr="00000000">
        <w:rPr>
          <w:rFonts w:ascii="Georgia" w:cs="Georgia" w:eastAsia="Georgia" w:hAnsi="Georgia"/>
          <w:sz w:val="22"/>
          <w:szCs w:val="22"/>
          <w:vertAlign w:val="superscript"/>
          <w:rtl w:val="0"/>
        </w:rPr>
        <w:t xml:space="preserve">25</w:t>
      </w:r>
      <w:r w:rsidDel="00000000" w:rsidR="00000000" w:rsidRPr="00000000">
        <w:rPr>
          <w:rFonts w:ascii="Georgia" w:cs="Georgia" w:eastAsia="Georgia" w:hAnsi="Georgia"/>
          <w:sz w:val="22"/>
          <w:szCs w:val="22"/>
          <w:rtl w:val="0"/>
        </w:rPr>
        <w:t xml:space="preserve"> At 246 pages, double-spaced, the Decision in that case was and is the longest since the founding of the Court 104 years ago. It was extraordinarily lengthy, because it dealt not just with the strictly legal issues; it also delved deep into technological, technical, social, ecological, environmental, and financial concerns.</w:t>
      </w:r>
      <w:r w:rsidDel="00000000" w:rsidR="00000000" w:rsidRPr="00000000">
        <w:rPr>
          <w:rFonts w:ascii="Georgia" w:cs="Georgia" w:eastAsia="Georgia" w:hAnsi="Georgia"/>
          <w:sz w:val="22"/>
          <w:szCs w:val="22"/>
          <w:vertAlign w:val="superscript"/>
          <w:rtl w:val="0"/>
        </w:rPr>
        <w:t xml:space="preserve">26</w:t>
      </w:r>
      <w:r w:rsidDel="00000000" w:rsidR="00000000" w:rsidRPr="00000000">
        <w:rPr>
          <w:rtl w:val="0"/>
        </w:rPr>
      </w:r>
    </w:p>
    <w:p w:rsidR="00000000" w:rsidDel="00000000" w:rsidP="00000000" w:rsidRDefault="00000000" w:rsidRPr="00000000" w14:paraId="000003D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Economic Implications of the Mining Law Decision</w:t>
      </w:r>
    </w:p>
    <w:p w:rsidR="00000000" w:rsidDel="00000000" w:rsidP="00000000" w:rsidRDefault="00000000" w:rsidRPr="00000000" w14:paraId="000003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do not have the time to take up the extensive financial discussions made in that Decision. They are, however, footnoted on the printed copy of this speech, which will be distributed later. Suffice it to say that since the judgment was issued on December 1, 2004, there has been a significant increase in foreign investments, a revival of the moribund stock market, a marked improvement in the peso-dollar exchange rate, and an emergence of a favorable business climate.</w:t>
      </w:r>
    </w:p>
    <w:p w:rsidR="00000000" w:rsidDel="00000000" w:rsidP="00000000" w:rsidRDefault="00000000" w:rsidRPr="00000000" w14:paraId="000003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sunshine effect of the Court’s Decision in La Bugal-B’laan Tribal Association v. Ramos (the non-descriptive title of that case) permeated the entire economy, not just the mining sector. Demonstrably, the recent initial public offerings (or IPO) of Manila Water and SM Investments were over-subscribed well beyond the expectations of the business community, due largely to the renewed foreign interest in our country.</w:t>
      </w:r>
    </w:p>
    <w:p w:rsidR="00000000" w:rsidDel="00000000" w:rsidP="00000000" w:rsidRDefault="00000000" w:rsidRPr="00000000" w14:paraId="000003D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Role of the IBP and the Legal Profession</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taken up the judiciary’s role in economic governance, let me now proceed to the part that the IBP can play.</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judiciary is said to be a passive actor in our governmental scheme. It cannot act unless appropriate proceedings are first initiated by the proper parties represented by competent lawyers. This, then, is the first major area in which the legal profession may assist in ensuring liberty and prosperity for our nation: the proactive initiation, prosecution or defense of cases and causes that will ultimately promote economic development.</w:t>
      </w:r>
    </w:p>
    <w:p w:rsidR="00000000" w:rsidDel="00000000" w:rsidP="00000000" w:rsidRDefault="00000000" w:rsidRPr="00000000" w14:paraId="000003D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Legal Accountability</w:t>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there is a big challenge to the legal profession: to help ensure legal accountability and transparency in the use of public funds. Lawyers are in the best position to bring to the attention of lawmakers, the Executive Department, the specialized constitutional bodies, as well as of the public, the legal standards that ought to be observed in alleviating poverty and in easing the fiscal crunch. Transparency in the use of funds is necessary to ensure that scarce resources are used wisely and effectively.</w:t>
      </w:r>
    </w:p>
    <w:p w:rsidR="00000000" w:rsidDel="00000000" w:rsidP="00000000" w:rsidRDefault="00000000" w:rsidRPr="00000000" w14:paraId="000003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starter, you can undertake educational and information campaigns that stress accountability for every peso allotted and spent and thereby ensure the legal soundness of projects and programs.</w:t>
      </w:r>
    </w:p>
    <w:p w:rsidR="00000000" w:rsidDel="00000000" w:rsidP="00000000" w:rsidRDefault="00000000" w:rsidRPr="00000000" w14:paraId="000003D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Fight Against Corruption</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bar itself must shun corruption by reporting it where and when it happens. It is not enough, for instance, that lawyers complain of corruption in the judicial system. According to the latest Social Weather Stations (SWS) survey,</w:t>
      </w:r>
      <w:r w:rsidDel="00000000" w:rsidR="00000000" w:rsidRPr="00000000">
        <w:rPr>
          <w:rFonts w:ascii="Georgia" w:cs="Georgia" w:eastAsia="Georgia" w:hAnsi="Georgia"/>
          <w:sz w:val="22"/>
          <w:szCs w:val="22"/>
          <w:vertAlign w:val="superscript"/>
          <w:rtl w:val="0"/>
        </w:rPr>
        <w:t xml:space="preserve">27</w:t>
      </w:r>
      <w:r w:rsidDel="00000000" w:rsidR="00000000" w:rsidRPr="00000000">
        <w:rPr>
          <w:rFonts w:ascii="Georgia" w:cs="Georgia" w:eastAsia="Georgia" w:hAnsi="Georgia"/>
          <w:sz w:val="22"/>
          <w:szCs w:val="22"/>
          <w:rtl w:val="0"/>
        </w:rPr>
        <w:t xml:space="preserve"> more lawyers do complain now, compared with 10 years ago, and yet they do nothing about it.</w:t>
      </w:r>
    </w:p>
    <w:p w:rsidR="00000000" w:rsidDel="00000000" w:rsidP="00000000" w:rsidRDefault="00000000" w:rsidRPr="00000000" w14:paraId="000003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worse when corruption is perpetrated by members of the bar. The SWS reported that lawyers include bribe money</w:t>
      </w:r>
      <w:r w:rsidDel="00000000" w:rsidR="00000000" w:rsidRPr="00000000">
        <w:rPr>
          <w:rFonts w:ascii="Georgia" w:cs="Georgia" w:eastAsia="Georgia" w:hAnsi="Georgia"/>
          <w:sz w:val="22"/>
          <w:szCs w:val="22"/>
          <w:vertAlign w:val="superscript"/>
          <w:rtl w:val="0"/>
        </w:rPr>
        <w:t xml:space="preserve">28</w:t>
      </w:r>
      <w:r w:rsidDel="00000000" w:rsidR="00000000" w:rsidRPr="00000000">
        <w:rPr>
          <w:rFonts w:ascii="Georgia" w:cs="Georgia" w:eastAsia="Georgia" w:hAnsi="Georgia"/>
          <w:sz w:val="22"/>
          <w:szCs w:val="22"/>
          <w:rtl w:val="0"/>
        </w:rPr>
        <w:t xml:space="preserve"> in computing attorneys’ fees. This perception taints the profession’s laudable objectives and contributes to the people’s distrust in the judicial system.</w:t>
      </w:r>
      <w:r w:rsidDel="00000000" w:rsidR="00000000" w:rsidRPr="00000000">
        <w:rPr>
          <w:rFonts w:ascii="Georgia" w:cs="Georgia" w:eastAsia="Georgia" w:hAnsi="Georgia"/>
          <w:sz w:val="22"/>
          <w:szCs w:val="22"/>
          <w:vertAlign w:val="superscript"/>
          <w:rtl w:val="0"/>
        </w:rPr>
        <w:t xml:space="preserve">29</w:t>
      </w:r>
      <w:r w:rsidDel="00000000" w:rsidR="00000000" w:rsidRPr="00000000">
        <w:rPr>
          <w:rFonts w:ascii="Georgia" w:cs="Georgia" w:eastAsia="Georgia" w:hAnsi="Georgia"/>
          <w:sz w:val="22"/>
          <w:szCs w:val="22"/>
          <w:rtl w:val="0"/>
        </w:rPr>
        <w:t xml:space="preserve"> For those with less in life, this apprehension waters down the oft-cited social justice tenet that they should have more in law.</w:t>
      </w:r>
    </w:p>
    <w:p w:rsidR="00000000" w:rsidDel="00000000" w:rsidP="00000000" w:rsidRDefault="00000000" w:rsidRPr="00000000" w14:paraId="000003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the IBP may want to consider proposed activities coming from the ranks, per the SWS survey,</w:t>
      </w:r>
      <w:r w:rsidDel="00000000" w:rsidR="00000000" w:rsidRPr="00000000">
        <w:rPr>
          <w:rFonts w:ascii="Georgia" w:cs="Georgia" w:eastAsia="Georgia" w:hAnsi="Georgia"/>
          <w:sz w:val="22"/>
          <w:szCs w:val="22"/>
          <w:vertAlign w:val="superscript"/>
          <w:rtl w:val="0"/>
        </w:rPr>
        <w:t xml:space="preserve">30</w:t>
      </w:r>
      <w:r w:rsidDel="00000000" w:rsidR="00000000" w:rsidRPr="00000000">
        <w:rPr>
          <w:rFonts w:ascii="Georgia" w:cs="Georgia" w:eastAsia="Georgia" w:hAnsi="Georgia"/>
          <w:sz w:val="22"/>
          <w:szCs w:val="22"/>
          <w:rtl w:val="0"/>
        </w:rPr>
        <w:t xml:space="preserve"> such as (1) the filing and prosecution of cases against corrupt lawyers and government officials, (2) the protection of “whistleblowers,” (3) lifestyle checks on all officials suspected of corruption, and (4) the forging of an agreement allowing clients to terminate their contracts with their lawyers if the latter participate in bribery.</w:t>
      </w:r>
    </w:p>
    <w:p w:rsidR="00000000" w:rsidDel="00000000" w:rsidP="00000000" w:rsidRDefault="00000000" w:rsidRPr="00000000" w14:paraId="000003E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Legal Empowerment of the Marginalized</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concurrently with the reforms mentioned, the bar must push legal empowerment; that is, the use of the law by the poor to exercise more control over their lives. You may want to refer to an ADB-commissioned study</w:t>
      </w:r>
      <w:r w:rsidDel="00000000" w:rsidR="00000000" w:rsidRPr="00000000">
        <w:rPr>
          <w:rFonts w:ascii="Georgia" w:cs="Georgia" w:eastAsia="Georgia" w:hAnsi="Georgia"/>
          <w:sz w:val="22"/>
          <w:szCs w:val="22"/>
          <w:vertAlign w:val="superscript"/>
          <w:rtl w:val="0"/>
        </w:rPr>
        <w:t xml:space="preserve">31</w:t>
      </w:r>
      <w:r w:rsidDel="00000000" w:rsidR="00000000" w:rsidRPr="00000000">
        <w:rPr>
          <w:rFonts w:ascii="Georgia" w:cs="Georgia" w:eastAsia="Georgia" w:hAnsi="Georgia"/>
          <w:sz w:val="22"/>
          <w:szCs w:val="22"/>
          <w:rtl w:val="0"/>
        </w:rPr>
        <w:t xml:space="preserve"> on how legal empowerment contributes to good governance, poverty reduction and other developmental goals. That study recommended the following endeavors: (1) raising awareness of the law and the rights it confers through a mix of informational/educational campaigns and trainings; (2) extending legal assistance, so that the poor can take action to assert their rights or push for the enforcement of judgments; and (3) ensuring participation by the poor or their representatives in local governance structures.</w:t>
      </w:r>
    </w:p>
    <w:p w:rsidR="00000000" w:rsidDel="00000000" w:rsidP="00000000" w:rsidRDefault="00000000" w:rsidRPr="00000000" w14:paraId="000003E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Mechanisms for Social Sharing</w:t>
      </w:r>
    </w:p>
    <w:p w:rsidR="00000000" w:rsidDel="00000000" w:rsidP="00000000" w:rsidRDefault="00000000" w:rsidRPr="00000000" w14:paraId="000003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Jeffrey D. Sachs,</w:t>
      </w:r>
      <w:r w:rsidDel="00000000" w:rsidR="00000000" w:rsidRPr="00000000">
        <w:rPr>
          <w:rFonts w:ascii="Georgia" w:cs="Georgia" w:eastAsia="Georgia" w:hAnsi="Georgia"/>
          <w:sz w:val="22"/>
          <w:szCs w:val="22"/>
          <w:vertAlign w:val="superscript"/>
          <w:rtl w:val="0"/>
        </w:rPr>
        <w:t xml:space="preserve">32</w:t>
      </w:r>
      <w:r w:rsidDel="00000000" w:rsidR="00000000" w:rsidRPr="00000000">
        <w:rPr>
          <w:rFonts w:ascii="Georgia" w:cs="Georgia" w:eastAsia="Georgia" w:hAnsi="Georgia"/>
          <w:sz w:val="22"/>
          <w:szCs w:val="22"/>
          <w:rtl w:val="0"/>
        </w:rPr>
        <w:t xml:space="preserve"> author of a new book, The End of Poverty,</w:t>
      </w:r>
      <w:r w:rsidDel="00000000" w:rsidR="00000000" w:rsidRPr="00000000">
        <w:rPr>
          <w:rFonts w:ascii="Georgia" w:cs="Georgia" w:eastAsia="Georgia" w:hAnsi="Georgia"/>
          <w:sz w:val="22"/>
          <w:szCs w:val="22"/>
          <w:vertAlign w:val="superscript"/>
          <w:rtl w:val="0"/>
        </w:rPr>
        <w:t xml:space="preserve">33</w:t>
      </w:r>
      <w:r w:rsidDel="00000000" w:rsidR="00000000" w:rsidRPr="00000000">
        <w:rPr>
          <w:rFonts w:ascii="Georgia" w:cs="Georgia" w:eastAsia="Georgia" w:hAnsi="Georgia"/>
          <w:sz w:val="22"/>
          <w:szCs w:val="22"/>
          <w:rtl w:val="0"/>
        </w:rPr>
        <w:t xml:space="preserve"> presents yet another challenge. He points out that the rich must reach out to the eight million people who die each year all over the world. The task of ending extreme poverty, he says, is a collective one; it “requires a global network of cooperation among people.”</w:t>
      </w:r>
      <w:r w:rsidDel="00000000" w:rsidR="00000000" w:rsidRPr="00000000">
        <w:rPr>
          <w:rFonts w:ascii="Georgia" w:cs="Georgia" w:eastAsia="Georgia" w:hAnsi="Georgia"/>
          <w:sz w:val="22"/>
          <w:szCs w:val="22"/>
          <w:vertAlign w:val="superscript"/>
          <w:rtl w:val="0"/>
        </w:rPr>
        <w:t xml:space="preserve">34</w:t>
      </w:r>
      <w:r w:rsidDel="00000000" w:rsidR="00000000" w:rsidRPr="00000000">
        <w:rPr>
          <w:rFonts w:ascii="Georgia" w:cs="Georgia" w:eastAsia="Georgia" w:hAnsi="Georgia"/>
          <w:sz w:val="22"/>
          <w:szCs w:val="22"/>
          <w:rtl w:val="0"/>
        </w:rPr>
        <w:t xml:space="preserve"> He stresses that, since the sources of poverty are multidimensional, so must the solutions be.</w:t>
      </w:r>
    </w:p>
    <w:p w:rsidR="00000000" w:rsidDel="00000000" w:rsidP="00000000" w:rsidRDefault="00000000" w:rsidRPr="00000000" w14:paraId="000003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parallel call for “social sharing” has recently been espoused here at home by the “10-Point Agenda for Economic Democratization” advocated by the Ateneo de Manila University.</w:t>
      </w:r>
      <w:r w:rsidDel="00000000" w:rsidR="00000000" w:rsidRPr="00000000">
        <w:rPr>
          <w:rFonts w:ascii="Georgia" w:cs="Georgia" w:eastAsia="Georgia" w:hAnsi="Georgia"/>
          <w:sz w:val="22"/>
          <w:szCs w:val="22"/>
          <w:vertAlign w:val="superscript"/>
          <w:rtl w:val="0"/>
        </w:rPr>
        <w:t xml:space="preserve">35</w:t>
      </w:r>
      <w:r w:rsidDel="00000000" w:rsidR="00000000" w:rsidRPr="00000000">
        <w:rPr>
          <w:rFonts w:ascii="Georgia" w:cs="Georgia" w:eastAsia="Georgia" w:hAnsi="Georgia"/>
          <w:sz w:val="22"/>
          <w:szCs w:val="22"/>
          <w:rtl w:val="0"/>
        </w:rPr>
        <w:t xml:space="preserve"> Statistics supplied by the paper tell us that one out of four Filipino families is poor; hence, inversely, the three others are not. If one of every three non-poor families helps nurture one poor family out of poverty, the impoverished shall be no more.</w:t>
      </w:r>
    </w:p>
    <w:p w:rsidR="00000000" w:rsidDel="00000000" w:rsidP="00000000" w:rsidRDefault="00000000" w:rsidRPr="00000000" w14:paraId="000003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Philippines has already experimented with this concept. Crocodiles, tarsiers, eagles, and other endangered species have been handed to the care of communities and families. If people can adopt and take care of these animals, could they not do the same for people?</w:t>
      </w:r>
    </w:p>
    <w:p w:rsidR="00000000" w:rsidDel="00000000" w:rsidP="00000000" w:rsidRDefault="00000000" w:rsidRPr="00000000" w14:paraId="000003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 this line, the legal profession can help hammer out the institutional mechanisms for social sharing. It should not be difficult to link this proposal with your developmental legal aid program directed towards the poor as a class. After all, Section 1 of the “IBP Guidelines on Legal Aid” clearly declares that “the correction of social imbalances is a public responsibility of the bar.”</w:t>
      </w:r>
    </w:p>
    <w:p w:rsidR="00000000" w:rsidDel="00000000" w:rsidP="00000000" w:rsidRDefault="00000000" w:rsidRPr="00000000" w14:paraId="000003EA">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Lives of Rectitude</w:t>
      </w:r>
    </w:p>
    <w:p w:rsidR="00000000" w:rsidDel="00000000" w:rsidP="00000000" w:rsidRDefault="00000000" w:rsidRPr="00000000" w14:paraId="000003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and on a more personal level, I say that the members of the bar can usher in a new era of moral and fiscal responsibility by leading lives of rectitude and obedience to the rule of law. This means such simple things as paying the correct taxes voluntarily and on time, observing rules and procedures, living modestly, and giving everyone else their just share, consistent with the human relations provisions of the Civil Code.</w:t>
      </w:r>
    </w:p>
    <w:p w:rsidR="00000000" w:rsidDel="00000000" w:rsidP="00000000" w:rsidRDefault="00000000" w:rsidRPr="00000000" w14:paraId="000003E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Summary</w:t>
      </w:r>
    </w:p>
    <w:p w:rsidR="00000000" w:rsidDel="00000000" w:rsidP="00000000" w:rsidRDefault="00000000" w:rsidRPr="00000000" w14:paraId="000003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past 20 minutes or so, I endeavored to explain the new programs of developmental organizations, like the World Bank and the Asian Development Bank, to focus on the need for the observance of laws and rules as a prerequisite for economic development and eventually for good governance. For this reason, these developmental agencies have focused assistance to judicial and legal reforms not only in our country, but all over the world.</w:t>
      </w:r>
    </w:p>
    <w:p w:rsidR="00000000" w:rsidDel="00000000" w:rsidP="00000000" w:rsidRDefault="00000000" w:rsidRPr="00000000" w14:paraId="000003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related to you the response of our Supreme Court to the challenge of ensuring that the rule of law safeguards not just liberty, but also prosperity. Of course, in the process, the Court has also embarked on an extensive judicial reform program to improve the delivery of fair and speedy justice -- a subject I have spoken about so many times in the past.</w:t>
      </w:r>
    </w:p>
    <w:p w:rsidR="00000000" w:rsidDel="00000000" w:rsidP="00000000" w:rsidRDefault="00000000" w:rsidRPr="00000000" w14:paraId="000003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 IBP has chosen to discuss poverty alleviation and the fiscal crisis is itself worthy of commendation. However, the challenge is to expand the horizon and to implement more concrete measures -- like the ones I suggested earlier -- to help attain the twin goals of safeguarding liberty and nurturing prosperity.</w:t>
      </w:r>
    </w:p>
    <w:p w:rsidR="00000000" w:rsidDel="00000000" w:rsidP="00000000" w:rsidRDefault="00000000" w:rsidRPr="00000000" w14:paraId="000003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Magandang gabi po sa inyong lahat.</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hanging="288"/>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ind w:firstLine="0"/>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12</w:t>
      </w:r>
    </w:p>
    <w:p w:rsidR="00000000" w:rsidDel="00000000" w:rsidP="00000000" w:rsidRDefault="00000000" w:rsidRPr="00000000" w14:paraId="000003F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An Ethical Compass for the Legal Profession</w:t>
      </w:r>
    </w:p>
    <w:p w:rsidR="00000000" w:rsidDel="00000000" w:rsidP="00000000" w:rsidRDefault="00000000" w:rsidRPr="00000000" w14:paraId="000003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deeply honored by the distinctive introduction delivered by Judge Irin Zenaida S. Buan of the Regional Trial Court of Angeles City. Instead of merely reciting the usual milestones in my life -- like date of birth, parentage, education and career developments – Judge Buan chose to analyze what she perceived was my legal philosophy, which she had culled from some of my significant decisions and opinions in the Supreme Court. For this, I am grateful.</w:t>
      </w:r>
    </w:p>
    <w:p w:rsidR="00000000" w:rsidDel="00000000" w:rsidP="00000000" w:rsidRDefault="00000000" w:rsidRPr="00000000" w14:paraId="000003F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New Breed of Pampango Judges</w:t>
      </w:r>
    </w:p>
    <w:p w:rsidR="00000000" w:rsidDel="00000000" w:rsidP="00000000" w:rsidRDefault="00000000" w:rsidRPr="00000000" w14:paraId="000003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Judge Buan personifies the new breed of young, competent, honest and dedicated magistrates in Pampanga.[1] I assure you that many of us in the Supreme Court, not just I, have noticed the commendable performance of the judiciary in our native province. Every time the justices discuss the rising stars in the judicial firmament, Pampango magistrates always shine among the brightest.</w:t>
      </w:r>
    </w:p>
    <w:p w:rsidR="00000000" w:rsidDel="00000000" w:rsidP="00000000" w:rsidRDefault="00000000" w:rsidRPr="00000000" w14:paraId="000003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over the last one hundred years, Kapampangans have always distinguished themselves in the annals of the Philippine judiciary. Perhaps, the most revered among them is Chief Justice Jose Abad Santos, who chose martyrdom over collaboration with the Japanese invaders during World War II. He is honored by the Supreme Court with a bronze statue at the entrance of its main building. The only other magistrate given equal preeminence is Chief Justice Cayetano Arellano, whose statue also graces our gate, for being the first Chief Justice of the Philippines.</w:t>
      </w:r>
    </w:p>
    <w:p w:rsidR="00000000" w:rsidDel="00000000" w:rsidP="00000000" w:rsidRDefault="00000000" w:rsidRPr="00000000" w14:paraId="000003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joined the Supreme Court in 1995, seven of the fifteen members were Pampangeños. In fact, in the Third Division to which I was initially assigned, all the five members were cabalens; namely, Justices Florentino P. Feliciano, Flerida Ruth P. Romero, Jose A. R. Melo, Jose C. Vitug and yours truly. Our group was then fondly called the “Lahar Division.”</w:t>
      </w:r>
    </w:p>
    <w:p w:rsidR="00000000" w:rsidDel="00000000" w:rsidP="00000000" w:rsidRDefault="00000000" w:rsidRPr="00000000" w14:paraId="000003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the five original members of this Division, I am now the only survivor; the four others have reached the mandatory retirement age. Unfortunately, their replacements were not Kapampangans. I believe, however, that destiny awaits our young magistrates in Pampanga. One day soon, given time to ripen and mature, our present young outstanding judges will perpetuate the distinguished legacies of Chief Justice Abad Santos and the other esteemed Pampango justices.</w:t>
      </w:r>
    </w:p>
    <w:p w:rsidR="00000000" w:rsidDel="00000000" w:rsidP="00000000" w:rsidRDefault="00000000" w:rsidRPr="00000000" w14:paraId="000003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thank the president of the IBP-Pampanga Chapter, Atty. Josep Jepri M. Miranda, for inviting me to this induction ceremony. No less deserving of thanks is Atty. Jose Songco, who secretly told me in advance of Judge Buan’s unique introduction of me. Atty. Songco has made it his lifetime passion to help reform the judiciary and the legal profession in our province.</w:t>
      </w:r>
    </w:p>
    <w:p w:rsidR="00000000" w:rsidDel="00000000" w:rsidP="00000000" w:rsidRDefault="00000000" w:rsidRPr="00000000" w14:paraId="000003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 I gladly accepted the invitation of Atty. Miranda, no matter the distance and my busy schedule today, for a number of reasons. First, the occasion gives me the opportunity to practice conversing in our royal dialect. Second, through great Kapampangan delicacies, it allows me to indulge my taste buds. Third, and most important, it reminds me of my special affinity with you, because of not only our common geographical origin, but also our professional kinship.</w:t>
      </w:r>
    </w:p>
    <w:p w:rsidR="00000000" w:rsidDel="00000000" w:rsidP="00000000" w:rsidRDefault="00000000" w:rsidRPr="00000000" w14:paraId="000003FD">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High Ethical Conduct</w:t>
      </w:r>
    </w:p>
    <w:p w:rsidR="00000000" w:rsidDel="00000000" w:rsidP="00000000" w:rsidRDefault="00000000" w:rsidRPr="00000000" w14:paraId="000003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in the midst of the present crisis of confidence and credibility facing our country and people, I would like to sound a call to ethics for the legal profession. Ethics embraces, among others, fairness, candor and integrity in the personal and professional lives of lawyers.</w:t>
      </w:r>
    </w:p>
    <w:p w:rsidR="00000000" w:rsidDel="00000000" w:rsidP="00000000" w:rsidRDefault="00000000" w:rsidRPr="00000000" w14:paraId="000003F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Fairness</w:t>
      </w:r>
    </w:p>
    <w:p w:rsidR="00000000" w:rsidDel="00000000" w:rsidP="00000000" w:rsidRDefault="00000000" w:rsidRPr="00000000" w14:paraId="000004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Fairness means not merely fighting for an even-handed treatment of one’s cause and case. It extends to a refusal to take undue advantage of the other side, being honorable in battle, and being scrupulous in the choice of legal weapons.</w:t>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Immediately after passing the bar examinations in 1960, I became an associate in the law office of our then dean, Dr. Jovito R. Salonga. One early morning, Dean Salonga called me up at home to say that he was indisposed and to ask if I could substitute for him in that morning’s trial at the then Court of First Instance of Pasay. Even if I knew very little about that inheritance case he was directly handling, I stood up gallantly when it was called that morning and I mumbled, “Ready for the defense, Your Honor.”</w:t>
      </w:r>
    </w:p>
    <w:p w:rsidR="00000000" w:rsidDel="00000000" w:rsidP="00000000" w:rsidRDefault="00000000" w:rsidRPr="00000000" w14:paraId="000004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Judge Angel Mojica, who was presiding, looked at me askance and asked suspiciously, “Where is Atty. Salonga? And young man, are you ready to continue the cross-examination of the plaintiff?”</w:t>
      </w:r>
    </w:p>
    <w:p w:rsidR="00000000" w:rsidDel="00000000" w:rsidP="00000000" w:rsidRDefault="00000000" w:rsidRPr="00000000" w14:paraId="000004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“Your Honor, he called me up early this morning to say that he was indisposed. He told me that I should not ask for a postponement, because there is a standing agreement not to delay the case,” I nervously replied.</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“Your Honor,” butted in Atty. Jose W. Diokno, the counsel for the plaintiff, “it is true that we agreed not to defer today’s hearing. But in fairness to our young compañero, and knowing that Atty. Salonga would not tell a lie about his health, I myself am now moving to postpone the hearing. Anyway, this case is scheduled to be heard two more times during the next two weeks.”</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Addressing me, Judge Mojica boomed, “What do you say to that motion, counsel?” </w:t>
      </w:r>
    </w:p>
    <w:p w:rsidR="00000000" w:rsidDel="00000000" w:rsidP="00000000" w:rsidRDefault="00000000" w:rsidRPr="00000000" w14:paraId="000004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objection, Your Honor,” I quickly answered.</w:t>
      </w:r>
    </w:p>
    <w:p w:rsidR="00000000" w:rsidDel="00000000" w:rsidP="00000000" w:rsidRDefault="00000000" w:rsidRPr="00000000" w14:paraId="000004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may have been a little incident in the checkered life of the late illustrious Atty. Jose W. Diokno, but it was a major one in mine. It showed me how a great advocate could demonstrate fairness to a young inexperienced lawyer who hardly knew the pending case; and who, at that point, would probably not have been able to cross-examine the plaintiff adequately. Atty. Diokno earned my immediate admiration and awe -- not only for his vaunted competence, but also for his genial sportsmanship in refusing to take undue advantage of a young, nervous lawyer. I am certain that Judge Mojica, who is now in the Great Beyond, was impressed, too.</w:t>
      </w:r>
    </w:p>
    <w:p w:rsidR="00000000" w:rsidDel="00000000" w:rsidP="00000000" w:rsidRDefault="00000000" w:rsidRPr="00000000" w14:paraId="0000040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Candor</w:t>
      </w:r>
    </w:p>
    <w:p w:rsidR="00000000" w:rsidDel="00000000" w:rsidP="00000000" w:rsidRDefault="00000000" w:rsidRPr="00000000" w14:paraId="000004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Candor refers to straightforwardness or forthrightness in admitting a weakness or even an error. Some lawyers are too proud to admit a mistake. Matitigas ang mga ulo. There are also lawyers who insist on equating the ratio decidendi of a decision with a mere obiter dictum. Credibility goes up when a lawyer frankly admits that a statement in a decision is a mere obiter and may not be binding. And respect rises even more when the learned counsel explains why the obiter makes sense and should anyway be adopted as a doctrine.</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nothing erodes a lawyer’s credibility more than the deliberate misquoting of a decision or, worse, the omission of certain words or sentences that qualify or restrict the sense of a ruling. Remember that the eagle-eyed magistrates can easily detect misquotations, out-of-context statements and misleading arguments.</w:t>
      </w:r>
    </w:p>
    <w:p w:rsidR="00000000" w:rsidDel="00000000" w:rsidP="00000000" w:rsidRDefault="00000000" w:rsidRPr="00000000" w14:paraId="000004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candid lawyer is a humble person -- not only one who is not afraid to admit an error or a shortcoming, but also one who rises from a mistake and more than makes up for it the next time around.</w:t>
      </w:r>
    </w:p>
    <w:p w:rsidR="00000000" w:rsidDel="00000000" w:rsidP="00000000" w:rsidRDefault="00000000" w:rsidRPr="00000000" w14:paraId="0000040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Integrity</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by integrity I refer to honesty and truthfulness. A person with integrity acts in accordance with what is true and honest regardless of personal consequences. To act with integrity is to act with moral courage. It involves not only bravery in theoretical battle but also, a priori, purity of spirit and clarity of conscience. For only one who is pure of heart and clear of mind can act with integrity.</w:t>
      </w:r>
    </w:p>
    <w:p w:rsidR="00000000" w:rsidDel="00000000" w:rsidP="00000000" w:rsidRDefault="00000000" w:rsidRPr="00000000" w14:paraId="000004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as you know, has embarked on a comprehensive reform program to address the many complaints of corruption, incompetence and delay in the delivery of justice. Many times these problems are brought about, or at least aggravated, by members of the bar.</w:t>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now take this occasion to call for your cooperation and assistance in eradicating these ills. As active practicing lawyers, you know who are the corrupt and the incompetent among the magistrates. You know which ones do not deserve to wear their majestic black robes.</w:t>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Lawyers of integrity will never bribe a judge. Remember, corruption will take place only if it is abetted or tolerated by the bar. Integrity demands not only moral courage in denouncing the corrupt and the incompetent; it also calls for initiative in defending the decent and the competent from malicious, unreasonable and scurrilous attacks.</w:t>
      </w:r>
    </w:p>
    <w:p w:rsidR="00000000" w:rsidDel="00000000" w:rsidP="00000000" w:rsidRDefault="00000000" w:rsidRPr="00000000" w14:paraId="000004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there are dishonest judges, there are also unscrupulous lawyers who want to win at all costs. Worse, in an effort to earn more, there are lawyers who ask money from clients, allegedly to line the pockets of magistrates. Whether the money is actually used to bribe judges or merely to increase the lawyers’ own earnings, such practice is reprehensible and should be condemned by all lawyers of integrity.</w:t>
      </w:r>
    </w:p>
    <w:p w:rsidR="00000000" w:rsidDel="00000000" w:rsidP="00000000" w:rsidRDefault="00000000" w:rsidRPr="00000000" w14:paraId="000004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denounce most vehemently some lawyers’ habit of harassing decent and competent judges by threatening them with administrative complaints. By such deplorable conduct, these unscrupulous attorneys are sometimes able to stymie or delay the promotion of deserving magistrates. The mere pendency of these baseless charges is enough to hinder the Judicial and Bar Council from processing a judge’s otherwise deserving promotion.</w:t>
      </w:r>
    </w:p>
    <w:p w:rsidR="00000000" w:rsidDel="00000000" w:rsidP="00000000" w:rsidRDefault="00000000" w:rsidRPr="00000000" w14:paraId="000004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virtues of fairness, candor and integrity are just three of the ethical values enshrined in the Code of Professional Responsibility.</w:t>
      </w:r>
    </w:p>
    <w:p w:rsidR="00000000" w:rsidDel="00000000" w:rsidP="00000000" w:rsidRDefault="00000000" w:rsidRPr="00000000" w14:paraId="0000041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Lawyer’s Public Responsibility</w:t>
      </w:r>
    </w:p>
    <w:p w:rsidR="00000000" w:rsidDel="00000000" w:rsidP="00000000" w:rsidRDefault="00000000" w:rsidRPr="00000000" w14:paraId="000004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more fundamental concern underlies the public responsibility of lawyers. Knowing that they have specific tasks to perform in society, I must ask what kind of lawyers our people need in these times of crises and crossroads. To answer this question, there is a necessity to identify the ends or goals lawyers must serve and the proper means of achieving those ends. Today, I shall dwell on these questions, not only to refresh your minds of the oath you have solemnly taken, but also to breathe new life and vigor to that commitment.</w:t>
      </w:r>
    </w:p>
    <w:p w:rsidR="00000000" w:rsidDel="00000000" w:rsidP="00000000" w:rsidRDefault="00000000" w:rsidRPr="00000000" w14:paraId="000004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connection, let me stress that during the term of Chief Justice Hilario G. Davide Jr., and consistent with the judiciary’s reform program, the Supreme Court has become increasingly strict in enforcing the Code of Professional Responsibility. It has been uncompromising in disciplining lawyers who have fallen short of the ethical standards demanded by the Code.</w:t>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latest figures from the Office of the Bar Confidant of the Supreme Court show that from 1999 to 2004 (during Chief Justice Davide’s term), a total of 463 lawyers have been disciplined by the Court for various infractions of the Code of Professional Responsibility.[2] Of that number, 23 have been disbarred; 138, suspended; 155, fined; 57, reprimanded; and 50 others, admonished. Fourteen notarial commissions have also been suspended in the same period. Among the most common infractions reported were deceit, gross misconduct, grossly immoral conduct and negligence.[3] To be sure, these cases reflect badly on the moral fiber of present-day lawyers. They are disturbing because of the ethical implications.</w:t>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Allow me to cite three recent cases.</w:t>
      </w:r>
    </w:p>
    <w:p w:rsidR="00000000" w:rsidDel="00000000" w:rsidP="00000000" w:rsidRDefault="00000000" w:rsidRPr="00000000" w14:paraId="0000041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Three Recent Samples of Disciplinary Sanctions</w:t>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one case,[4] a lawyer was haled to court by his own sister-in-law for allegedly depriving the coheirs of his wife of the estate left behind by his parents-in-law. The respondent was charged and found to have, among others, abetted his wife’s perjury in a Deed of Extrajudicial Settlement of Estate; remained silent on the forgery of the complainant’s signature in another Deed; and offered false testimony in a proceeding for the judicial reconstitution of title.</w:t>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respondent was ethically and legally unfit to remain in the legal profession. His acts constituted gross misconduct and violation of the lawyer’s oath, for which he was disbarred.</w:t>
      </w:r>
    </w:p>
    <w:p w:rsidR="00000000" w:rsidDel="00000000" w:rsidP="00000000" w:rsidRDefault="00000000" w:rsidRPr="00000000" w14:paraId="000004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interesting case stemmed from a disbarment complaint filed by a wife against her philandering husband because of his continuing cohabitation with another woman. The respondent, a former judge, had already been sanctioned by the Court a number of times for his immoral ways -- the same reason he was eventually dismissed from the judiciary. Even then, he refused to mend his ways.</w:t>
      </w:r>
    </w:p>
    <w:p w:rsidR="00000000" w:rsidDel="00000000" w:rsidP="00000000" w:rsidRDefault="00000000" w:rsidRPr="00000000" w14:paraId="000004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Finding his obstinate and arrogant refusal to live by ethical and moral standards unacceptable, the Court iterated that after the priestly ministry, the legal profession was one vocation in which a high-toned morality was more imperative than knowledge of the law. Having lost moral ground as a member of the legal profession, the respondent was disbarred.</w:t>
      </w:r>
    </w:p>
    <w:p w:rsidR="00000000" w:rsidDel="00000000" w:rsidP="00000000" w:rsidRDefault="00000000" w:rsidRPr="00000000" w14:paraId="000004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Still another case involved an attorney’s willful and intentional falsehood. Here, the counsel purposely deceived the trial court by insisting that a Compromise Agreement was unenforceable, because a necessary signature was purportedly missing.</w:t>
      </w:r>
    </w:p>
    <w:p w:rsidR="00000000" w:rsidDel="00000000" w:rsidP="00000000" w:rsidRDefault="00000000" w:rsidRPr="00000000" w14:paraId="000004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stressed that the duty of lawyers to protect the interests of their clients is secondary to the former’s obligation to assist in the speedy and efficient administration of justice. Hence, lawyers’ fidelity to their clients must always be made within the parameters of law and ethics; never at the expense of truth, the law, and the fair administration of justice.</w:t>
      </w:r>
    </w:p>
    <w:p w:rsidR="00000000" w:rsidDel="00000000" w:rsidP="00000000" w:rsidRDefault="00000000" w:rsidRPr="00000000" w14:paraId="0000042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“Lawyering” with Ethics and Moral Courage</w:t>
      </w:r>
    </w:p>
    <w:p w:rsidR="00000000" w:rsidDel="00000000" w:rsidP="00000000" w:rsidRDefault="00000000" w:rsidRPr="00000000" w14:paraId="000004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need for morally upright lawyers and the primary responsibility of serving truth and justice reverberate in the cases cited. As the great Mr. Justice J. B. L. Reyes once exhorted, lawyers must always “keep their souls attuned to the demands of morality and honor, since a just cause cannot be protected or defended by dishonorable means.” Verily, the profession would be empty without a soul to guide it.</w:t>
      </w:r>
    </w:p>
    <w:p w:rsidR="00000000" w:rsidDel="00000000" w:rsidP="00000000" w:rsidRDefault="00000000" w:rsidRPr="00000000" w14:paraId="000004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an ethical compass is required of those who wish to reach the pinnacle of this noble vocation. So much of a lawyer’s professional life depends on ethical values and moral behavior, not just within the inner circles of professional associations, but also outside and beyond them.</w:t>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simple mariner’s compass is calibrated to point to the north at all times. From this direction, a captain is able to steer the ship to whatever port it is destined. By the same token, lawyers whose professional compass is always directed at high ethical conduct will always be able to discern the straight and narrow path to truth and justice.</w:t>
      </w:r>
    </w:p>
    <w:p w:rsidR="00000000" w:rsidDel="00000000" w:rsidP="00000000" w:rsidRDefault="00000000" w:rsidRPr="00000000" w14:paraId="000004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society in constant flux such as ours, there is an ever growing temptation to cut corners for easy solutions. Sadly, some lawyers have become so adept at being legal technicians in defending their client’s causes that they have lost sight of the fact that their duty, first and foremost, is to serve the ends of justice; and that their primary fidelity is to the courts and secondarily only, to their clients. Worse, they have jumbled up the hierarchy of their responsibilities to mean their interests first, the interests of their clients second, and the interest of justice a far third. Society has the most to fear from this crop of lawyers who have a wealth of legal knowledge, but a threadbare morality; they may turn out to be worse than the criminals they defend.</w:t>
      </w:r>
    </w:p>
    <w:p w:rsidR="00000000" w:rsidDel="00000000" w:rsidP="00000000" w:rsidRDefault="00000000" w:rsidRPr="00000000" w14:paraId="000004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Ethics in the profession, therefore, cannot be overemphasized if lawyers must uphold their fidelity to truth and justice. Quality justice always begins with ethics. Without sound and firm ethical moorings to anchor the profession, attorneys are bound to drift in a vast sea of uncertainty and even of moral degeneracy.</w:t>
      </w:r>
    </w:p>
    <w:p w:rsidR="00000000" w:rsidDel="00000000" w:rsidP="00000000" w:rsidRDefault="00000000" w:rsidRPr="00000000" w14:paraId="0000042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Fidelity to Truth and to the Courts</w:t>
      </w:r>
    </w:p>
    <w:p w:rsidR="00000000" w:rsidDel="00000000" w:rsidP="00000000" w:rsidRDefault="00000000" w:rsidRPr="00000000" w14:paraId="000004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society needs during these times of perverted values is a fresh crop of ethical lawyers. Given their role in forming public opinion and determining important issues, it is necessary that they act according to the following hierarchy of values: fidelity to the courts first and to their own interests, second; to truth first and to their clients’ causes, second.</w:t>
      </w:r>
    </w:p>
    <w:p w:rsidR="00000000" w:rsidDel="00000000" w:rsidP="00000000" w:rsidRDefault="00000000" w:rsidRPr="00000000" w14:paraId="000004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Defenders with a strong and firm sense of right and wrong behave in accordance with what is true and honest regardless of personal consequences. Legal practitioners with personal integrity possess the moral courage to denounce a wrong and to promote the truth. Moral courage emboldens them to stand for their convictions against all odds; to carry on in spite of seemingly insurmountable opposition; and to be a beacon for the weak, the oppressed and the disadvantaged.</w:t>
      </w:r>
    </w:p>
    <w:p w:rsidR="00000000" w:rsidDel="00000000" w:rsidP="00000000" w:rsidRDefault="00000000" w:rsidRPr="00000000" w14:paraId="000004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now call on you to share in the efforts to reinvigorate the legal profession with an energized ethical spirit. From your vantage point as officers of the IBP-Pampanga Chapter, you are in a position to initiate within the ranks the needed changes that can then radiate beyond the profession to society in general.</w:t>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manner that the Supreme Court monitors the performance of judges, it also keeps track of the conduct of lawyers. The names of the law firms and the counsels appearing for the parties are always indicated on the agenda of the Court. The specific arguments of attorneys of record -- especially when coached in elegant, ethical and respectful language – often become a source of discussion among the justices. Counsels’ reputation for ethics, truth and candor always comes in handy in sensitive controversies.</w:t>
      </w:r>
    </w:p>
    <w:p w:rsidR="00000000" w:rsidDel="00000000" w:rsidP="00000000" w:rsidRDefault="00000000" w:rsidRPr="00000000" w14:paraId="000004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decisions I write, I take special care to mention the names of the opposing lawyers. Footnoted in all of my ponencias are the names of the attorneys who signed the memoranda of the parties and, sometimes, a brief comment on their work.</w:t>
      </w:r>
    </w:p>
    <w:p w:rsidR="00000000" w:rsidDel="00000000" w:rsidP="00000000" w:rsidRDefault="00000000" w:rsidRPr="00000000" w14:paraId="000004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asked for a list of the members of the IBP-Pampanga Chapter. I will try to remember your names and, whenever the opportunity arises, I will always be happy to speak well of you -- especially your reputation for high ethical conduct and your dogged pursuit of justice, above all else. I only hope that you all uphold this ethical compass all throughout your careers.</w:t>
      </w:r>
    </w:p>
    <w:p w:rsidR="00000000" w:rsidDel="00000000" w:rsidP="00000000" w:rsidRDefault="00000000" w:rsidRPr="00000000" w14:paraId="000004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let me congratulate you again on your induction and for selflessly giving yourselves to this task of rebuilding the profession upon unshakeable ethical foundations. Let all Pampangueños take pride that cabalen attorneys have no compass but ethics, no master but law, no guide but honor, and no aim but justice.</w:t>
      </w:r>
    </w:p>
    <w:p w:rsidR="00000000" w:rsidDel="00000000" w:rsidP="00000000" w:rsidRDefault="00000000" w:rsidRPr="00000000" w14:paraId="000004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Dacal pung salamat!</w:t>
      </w:r>
    </w:p>
    <w:p w:rsidR="00000000" w:rsidDel="00000000" w:rsidP="00000000" w:rsidRDefault="00000000" w:rsidRPr="00000000" w14:paraId="0000042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6">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3A">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13</w:t>
      </w:r>
    </w:p>
    <w:p w:rsidR="00000000" w:rsidDel="00000000" w:rsidP="00000000" w:rsidRDefault="00000000" w:rsidRPr="00000000" w14:paraId="0000043B">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3C">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Power of Example</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month ago, during the last week of May, I attended, together with Chief Justice Hilario G. Davide Jr., the 13th International Judicial Conference in Kiev, Ukraine.</w:t>
      </w:r>
      <w:r w:rsidDel="00000000" w:rsidR="00000000" w:rsidRPr="00000000">
        <w:rPr>
          <w:rFonts w:ascii="Georgia" w:cs="Georgia" w:eastAsia="Georgia" w:hAnsi="Georgia"/>
          <w:sz w:val="22"/>
          <w:szCs w:val="22"/>
          <w:vertAlign w:val="superscript"/>
          <w:rtl w:val="0"/>
        </w:rPr>
        <w:t xml:space="preserve">1</w:t>
      </w:r>
      <w:r w:rsidDel="00000000" w:rsidR="00000000" w:rsidRPr="00000000">
        <w:rPr>
          <w:rFonts w:ascii="Georgia" w:cs="Georgia" w:eastAsia="Georgia" w:hAnsi="Georgia"/>
          <w:sz w:val="22"/>
          <w:szCs w:val="22"/>
          <w:rtl w:val="0"/>
        </w:rPr>
        <w:t xml:space="preserve"> What made that global meeting different from other conferences I had attended was the preeminent participation of the Chief Justices and other senior magistrates from former Soviet republics,</w:t>
      </w:r>
      <w:r w:rsidDel="00000000" w:rsidR="00000000" w:rsidRPr="00000000">
        <w:rPr>
          <w:rFonts w:ascii="Georgia" w:cs="Georgia" w:eastAsia="Georgia" w:hAnsi="Georgia"/>
          <w:sz w:val="22"/>
          <w:szCs w:val="22"/>
          <w:vertAlign w:val="superscript"/>
          <w:rtl w:val="0"/>
        </w:rPr>
        <w:t xml:space="preserve">2</w:t>
      </w:r>
      <w:r w:rsidDel="00000000" w:rsidR="00000000" w:rsidRPr="00000000">
        <w:rPr>
          <w:rFonts w:ascii="Georgia" w:cs="Georgia" w:eastAsia="Georgia" w:hAnsi="Georgia"/>
          <w:sz w:val="22"/>
          <w:szCs w:val="22"/>
          <w:rtl w:val="0"/>
        </w:rPr>
        <w:t xml:space="preserve"> like Azerbaijan, Belarus, Estonia, Georgia, Kazakhstan, Kyrgyzstan, Lithuania, Tajikistan, and of course the host country -- Ukraine;</w:t>
      </w:r>
      <w:r w:rsidDel="00000000" w:rsidR="00000000" w:rsidRPr="00000000">
        <w:rPr>
          <w:rFonts w:ascii="Georgia" w:cs="Georgia" w:eastAsia="Georgia" w:hAnsi="Georgia"/>
          <w:sz w:val="22"/>
          <w:szCs w:val="22"/>
          <w:vertAlign w:val="superscript"/>
          <w:rtl w:val="0"/>
        </w:rPr>
        <w:t xml:space="preserve">3</w:t>
      </w:r>
      <w:r w:rsidDel="00000000" w:rsidR="00000000" w:rsidRPr="00000000">
        <w:rPr>
          <w:rFonts w:ascii="Georgia" w:cs="Georgia" w:eastAsia="Georgia" w:hAnsi="Georgia"/>
          <w:sz w:val="22"/>
          <w:szCs w:val="22"/>
          <w:rtl w:val="0"/>
        </w:rPr>
        <w:t xml:space="preserve"> as well as from former Soviet allies like Albania, Bulgaria, Croatia, the Czech Republic, Hungary, Poland, Romania and Slovakia.</w:t>
      </w:r>
    </w:p>
    <w:p w:rsidR="00000000" w:rsidDel="00000000" w:rsidP="00000000" w:rsidRDefault="00000000" w:rsidRPr="00000000" w14:paraId="0000043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Advancing the Economy in the New Democracies</w:t>
      </w:r>
    </w:p>
    <w:p w:rsidR="00000000" w:rsidDel="00000000" w:rsidP="00000000" w:rsidRDefault="00000000" w:rsidRPr="00000000" w14:paraId="000004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conference theme and the platform addresses dealt mainly with the independence of courts and their role in safeguarding elections -- an obvious tribute to the host Supreme Court which, in a courageous exercise of judicial power, annulled the fraud-ridden Ukrainian presidential election last year, thereby paving the way for a subsequent election on December 26, 2004. That second balloting heralded the triumph of Viktor Yushchenko as Ukrainian President.</w:t>
      </w:r>
    </w:p>
    <w:p w:rsidR="00000000" w:rsidDel="00000000" w:rsidP="00000000" w:rsidRDefault="00000000" w:rsidRPr="00000000" w14:paraId="000004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than the formal sessions, however, what really impressed me were my person-to-person “corridor conversations” with several of the senior justices from these former Soviet countries. After the collapse of the USSR (Union of Soviet Socialist Republics) in 1989, these states became some of the world’s best known emerging democracies. After adopting the democratic system, largely parliamentary, they have also embraced free enterprise as the engine of their economic growth. Many of them aspire to join the European Union, which is viewed as a fine example of liberal democracy.</w:t>
      </w:r>
    </w:p>
    <w:p w:rsidR="00000000" w:rsidDel="00000000" w:rsidP="00000000" w:rsidRDefault="00000000" w:rsidRPr="00000000" w14:paraId="000004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authoritarian days, it is said that everyone in the state had a job, but nobody was working. There was no incentive to excel and to produce more, because the workers were paid according to their needs, regardless of how much or how little they had labored and produced. With the advent of free enterprise and its corollary paradigms of privatization, deregulation and globalization, state enterprises were taken over by private businessmen.</w:t>
      </w:r>
    </w:p>
    <w:p w:rsidR="00000000" w:rsidDel="00000000" w:rsidP="00000000" w:rsidRDefault="00000000" w:rsidRPr="00000000" w14:paraId="000004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efficient and competitive, these privatized companies had to lay off unnecessary personnel, thereby precipitating unemployment -- a phenomenon largely unknown in the erstwhile authoritarian regimes. Moreover, socialized pricing could no longer be sustained. With the withdrawal of state subsidies, industries -- even though more efficient under the private entrepreneurs -- had to increase the prices of their goods and services according to market forces of supply and demand. Indeed, free enterprise gave rise to new economic problems, especially unemployment and inflation.</w:t>
      </w:r>
    </w:p>
    <w:p w:rsidR="00000000" w:rsidDel="00000000" w:rsidP="00000000" w:rsidRDefault="00000000" w:rsidRPr="00000000" w14:paraId="000004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Naturally, a lot of people were adversely affected in the process. Precisely, the centralized and state-controlled economic system had to be abandoned, because it had impoverished the government and enslaved the people. And yet, new miseries engulfed the people. Given this situation, the basic problem now of these emerging democracies is how to advance their economy in their new democratic setting.</w:t>
      </w:r>
    </w:p>
    <w:p w:rsidR="00000000" w:rsidDel="00000000" w:rsidP="00000000" w:rsidRDefault="00000000" w:rsidRPr="00000000" w14:paraId="000004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the Philippines celebrated its 107th Independence Day last June 12, 2005, in my humble view our country is really comparable with these former Soviet states, where their totalitarian governments effectively suppressed liberty and prosperity until 1989, After all, for about 20 years, our country had been under the authoritarian and autocratic rule of Ferdinand Marcos. It was only in 1986 that our freedom was regained. Parenthetically, our yellow “People Power” Revolution presaged and became the inspiration for the wave of “velvet revolutions” that have swept Czechoslovakia and other former Soviet states starting in 1989, and the “orange revolution” of Ukraine in 2004.</w:t>
      </w:r>
    </w:p>
    <w:p w:rsidR="00000000" w:rsidDel="00000000" w:rsidP="00000000" w:rsidRDefault="00000000" w:rsidRPr="00000000" w14:paraId="0000044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Main Problems of the Philippines</w:t>
      </w:r>
    </w:p>
    <w:p w:rsidR="00000000" w:rsidDel="00000000" w:rsidP="00000000" w:rsidRDefault="00000000" w:rsidRPr="00000000" w14:paraId="000004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this background, Dr. Salonga’s book being launched today -- The Task of Building a Better Nation -- finds relevance not only in the Philippine setting, but in all other emerging democracies. These are the ones that are similarly transforming from authoritarian to democratic governments and from socialized to free enterprise economies.</w:t>
      </w:r>
    </w:p>
    <w:p w:rsidR="00000000" w:rsidDel="00000000" w:rsidP="00000000" w:rsidRDefault="00000000" w:rsidRPr="00000000" w14:paraId="000004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elegant, stirring, vintage-Salonga English, the well-respected former Senate President identifies the three main problems of the Philippines: the massive poverty of our people, rampant corruption at all levels of government, and uncontrolled criminality in all parts of the country.</w:t>
      </w:r>
    </w:p>
    <w:p w:rsidR="00000000" w:rsidDel="00000000" w:rsidP="00000000" w:rsidRDefault="00000000" w:rsidRPr="00000000" w14:paraId="000004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him, these problems are interrelated. He says, and I quote from his book: “Our grinding poverty, the result of the concentration of too much wealth and power in the hands of a few -- the so-called elite -- leads to graft and corruption, a double standard of justice (one standard of justice for the poor and another standard of justice for the rich) and ever-rising criminality.”</w:t>
      </w:r>
      <w:r w:rsidDel="00000000" w:rsidR="00000000" w:rsidRPr="00000000">
        <w:rPr>
          <w:rFonts w:ascii="Georgia" w:cs="Georgia" w:eastAsia="Georgia" w:hAnsi="Georgia"/>
          <w:sz w:val="22"/>
          <w:szCs w:val="22"/>
          <w:vertAlign w:val="superscript"/>
          <w:rtl w:val="0"/>
        </w:rPr>
        <w:t xml:space="preserve">5</w:t>
      </w:r>
      <w:r w:rsidDel="00000000" w:rsidR="00000000" w:rsidRPr="00000000">
        <w:rPr>
          <w:rtl w:val="0"/>
        </w:rPr>
      </w:r>
    </w:p>
    <w:p w:rsidR="00000000" w:rsidDel="00000000" w:rsidP="00000000" w:rsidRDefault="00000000" w:rsidRPr="00000000" w14:paraId="0000044A">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Answers to Come from the Youth</w:t>
      </w:r>
    </w:p>
    <w:p w:rsidR="00000000" w:rsidDel="00000000" w:rsidP="00000000" w:rsidRDefault="00000000" w:rsidRPr="00000000" w14:paraId="000004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book is especially addressed to the youth who, Senator Salonga believes, can provide solutions to these three problems. After all, according to him, “throughout our history, it is the youth that has led our people in our struggle for freedom.”</w:t>
      </w:r>
      <w:r w:rsidDel="00000000" w:rsidR="00000000" w:rsidRPr="00000000">
        <w:rPr>
          <w:rFonts w:ascii="Georgia" w:cs="Georgia" w:eastAsia="Georgia" w:hAnsi="Georgia"/>
          <w:sz w:val="22"/>
          <w:szCs w:val="22"/>
          <w:vertAlign w:val="superscript"/>
          <w:rtl w:val="0"/>
        </w:rPr>
        <w:t xml:space="preserve">6</w:t>
      </w:r>
      <w:r w:rsidDel="00000000" w:rsidR="00000000" w:rsidRPr="00000000">
        <w:rPr>
          <w:rFonts w:ascii="Georgia" w:cs="Georgia" w:eastAsia="Georgia" w:hAnsi="Georgia"/>
          <w:sz w:val="22"/>
          <w:szCs w:val="22"/>
          <w:rtl w:val="0"/>
        </w:rPr>
        <w:t xml:space="preserve"> He points out that “Jose Rizal, at 26, wrote his first novel, Noli Me Tangere; x x x Andres Bonifacio led the Katipunan at 26; Gen. Emilio Aguinaldo was 29 when he was inaugurated as the first President of the Philippine Republic; Apolinario Mabini [at 34 was] the brains of the Revolution x x x.”</w:t>
      </w:r>
      <w:r w:rsidDel="00000000" w:rsidR="00000000" w:rsidRPr="00000000">
        <w:rPr>
          <w:rFonts w:ascii="Georgia" w:cs="Georgia" w:eastAsia="Georgia" w:hAnsi="Georgia"/>
          <w:sz w:val="22"/>
          <w:szCs w:val="22"/>
          <w:vertAlign w:val="superscript"/>
          <w:rtl w:val="0"/>
        </w:rPr>
        <w:t xml:space="preserve">7</w:t>
      </w:r>
      <w:r w:rsidDel="00000000" w:rsidR="00000000" w:rsidRPr="00000000">
        <w:rPr>
          <w:rFonts w:ascii="Georgia" w:cs="Georgia" w:eastAsia="Georgia" w:hAnsi="Georgia"/>
          <w:sz w:val="22"/>
          <w:szCs w:val="22"/>
          <w:rtl w:val="0"/>
        </w:rPr>
        <w:t xml:space="preserve"> He adds that “under the American Administration, the youth led the nation in our parliamentary struggle for independence. Sergio Osmeña was Speaker of the House at 29; Manuel L. Quezon was Resident Commissioner in Washington, D.C., at 32; Jose P. Laurel was Secretary of Interior at 32; Manuel Roxas was Speaker of the House at 29.”</w:t>
      </w:r>
      <w:r w:rsidDel="00000000" w:rsidR="00000000" w:rsidRPr="00000000">
        <w:rPr>
          <w:rFonts w:ascii="Georgia" w:cs="Georgia" w:eastAsia="Georgia" w:hAnsi="Georgia"/>
          <w:sz w:val="22"/>
          <w:szCs w:val="22"/>
          <w:vertAlign w:val="superscript"/>
          <w:rtl w:val="0"/>
        </w:rPr>
        <w:t xml:space="preserve">8</w:t>
      </w:r>
      <w:r w:rsidDel="00000000" w:rsidR="00000000" w:rsidRPr="00000000">
        <w:rPr>
          <w:rtl w:val="0"/>
        </w:rPr>
      </w:r>
    </w:p>
    <w:p w:rsidR="00000000" w:rsidDel="00000000" w:rsidP="00000000" w:rsidRDefault="00000000" w:rsidRPr="00000000" w14:paraId="000004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he points to the Good Book and explains that “Jesus Christ and his twelve disciples, mostly obscure, unlettered fishermen, were all young men in their early 30s [when they] left their fishing nets to become fishers of men.”</w:t>
      </w:r>
      <w:r w:rsidDel="00000000" w:rsidR="00000000" w:rsidRPr="00000000">
        <w:rPr>
          <w:rFonts w:ascii="Georgia" w:cs="Georgia" w:eastAsia="Georgia" w:hAnsi="Georgia"/>
          <w:sz w:val="22"/>
          <w:szCs w:val="22"/>
          <w:vertAlign w:val="superscript"/>
          <w:rtl w:val="0"/>
        </w:rPr>
        <w:t xml:space="preserve">9</w:t>
      </w:r>
      <w:r w:rsidDel="00000000" w:rsidR="00000000" w:rsidRPr="00000000">
        <w:rPr>
          <w:rtl w:val="0"/>
        </w:rPr>
      </w:r>
    </w:p>
    <w:p w:rsidR="00000000" w:rsidDel="00000000" w:rsidP="00000000" w:rsidRDefault="00000000" w:rsidRPr="00000000" w14:paraId="000004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this list of outstanding young men I would like to add another distinguished name, Jovito R. Salonga, who in his 30s became the youngest law dean in the Philippines.</w:t>
      </w:r>
      <w:r w:rsidDel="00000000" w:rsidR="00000000" w:rsidRPr="00000000">
        <w:rPr>
          <w:rFonts w:ascii="Georgia" w:cs="Georgia" w:eastAsia="Georgia" w:hAnsi="Georgia"/>
          <w:sz w:val="22"/>
          <w:szCs w:val="22"/>
          <w:vertAlign w:val="superscript"/>
          <w:rtl w:val="0"/>
        </w:rPr>
        <w:t xml:space="preserve">10</w:t>
      </w:r>
      <w:r w:rsidDel="00000000" w:rsidR="00000000" w:rsidRPr="00000000">
        <w:rPr>
          <w:rFonts w:ascii="Georgia" w:cs="Georgia" w:eastAsia="Georgia" w:hAnsi="Georgia"/>
          <w:sz w:val="22"/>
          <w:szCs w:val="22"/>
          <w:rtl w:val="0"/>
        </w:rPr>
        <w:t xml:space="preserve"> A few years later, as a new member of the House of Representatives, he enthralled the entire country with his first privileged speech entitled “A Plea for Sobriety.” And in a memorable debate, he taught the most seasoned parliamentarians of his time a few lessons in logic, humility and urbanity.</w:t>
      </w:r>
      <w:r w:rsidDel="00000000" w:rsidR="00000000" w:rsidRPr="00000000">
        <w:rPr>
          <w:rFonts w:ascii="Georgia" w:cs="Georgia" w:eastAsia="Georgia" w:hAnsi="Georgia"/>
          <w:sz w:val="22"/>
          <w:szCs w:val="22"/>
          <w:vertAlign w:val="superscript"/>
          <w:rtl w:val="0"/>
        </w:rPr>
        <w:t xml:space="preserve">11</w:t>
      </w:r>
      <w:r w:rsidDel="00000000" w:rsidR="00000000" w:rsidRPr="00000000">
        <w:rPr>
          <w:rtl w:val="0"/>
        </w:rPr>
      </w:r>
    </w:p>
    <w:p w:rsidR="00000000" w:rsidDel="00000000" w:rsidP="00000000" w:rsidRDefault="00000000" w:rsidRPr="00000000" w14:paraId="0000044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Judiciary That Upholds Civil, Political and Economic Rights</w:t>
      </w:r>
    </w:p>
    <w:p w:rsidR="00000000" w:rsidDel="00000000" w:rsidP="00000000" w:rsidRDefault="00000000" w:rsidRPr="00000000" w14:paraId="000004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the youth,</w:t>
      </w:r>
      <w:r w:rsidDel="00000000" w:rsidR="00000000" w:rsidRPr="00000000">
        <w:rPr>
          <w:rFonts w:ascii="Georgia" w:cs="Georgia" w:eastAsia="Georgia" w:hAnsi="Georgia"/>
          <w:sz w:val="22"/>
          <w:szCs w:val="22"/>
          <w:vertAlign w:val="superscript"/>
          <w:rtl w:val="0"/>
        </w:rPr>
        <w:t xml:space="preserve">12</w:t>
      </w:r>
      <w:r w:rsidDel="00000000" w:rsidR="00000000" w:rsidRPr="00000000">
        <w:rPr>
          <w:rFonts w:ascii="Georgia" w:cs="Georgia" w:eastAsia="Georgia" w:hAnsi="Georgia"/>
          <w:sz w:val="22"/>
          <w:szCs w:val="22"/>
          <w:rtl w:val="0"/>
        </w:rPr>
        <w:t xml:space="preserve"> the judiciary is another focus of The Task of Building a Better Nation. While he has never been a judge, Senator Salonga formerly had, for law partner and best friend, Pedro L. Yap,</w:t>
      </w:r>
      <w:r w:rsidDel="00000000" w:rsidR="00000000" w:rsidRPr="00000000">
        <w:rPr>
          <w:rFonts w:ascii="Georgia" w:cs="Georgia" w:eastAsia="Georgia" w:hAnsi="Georgia"/>
          <w:sz w:val="22"/>
          <w:szCs w:val="22"/>
          <w:vertAlign w:val="superscript"/>
          <w:rtl w:val="0"/>
        </w:rPr>
        <w:t xml:space="preserve">13</w:t>
      </w:r>
      <w:r w:rsidDel="00000000" w:rsidR="00000000" w:rsidRPr="00000000">
        <w:rPr>
          <w:rFonts w:ascii="Georgia" w:cs="Georgia" w:eastAsia="Georgia" w:hAnsi="Georgia"/>
          <w:sz w:val="22"/>
          <w:szCs w:val="22"/>
          <w:rtl w:val="0"/>
        </w:rPr>
        <w:t xml:space="preserve"> who later became Chief Justice of the Republic in 1988. The author looks upon an independent, competent, diligent and courageous judiciary as an essential ingredient of a government that upholds not only the civil and political rights of our people, but their economic rights as well. He is passionate about the struggle to equalize political and economic opportunities, in which he sees the importance of “social justice, so the poor and the marginalized, the exploited and the disadvantaged may be lifted up.”</w:t>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discourse on the judiciary has a special place in my heart. I have always believed that the rule of law is a prerequisite for good governance and meaningful economic development. In various meetings with top officials of multinational development agencies, like the World Bank and the Asian Development Bank, I have stressed that those who have less in life should be given a better chance at competing with those who have more in law. When “the people are not happy with their access to justice and the economy, they will rebel.”</w:t>
      </w:r>
      <w:r w:rsidDel="00000000" w:rsidR="00000000" w:rsidRPr="00000000">
        <w:rPr>
          <w:rFonts w:ascii="Georgia" w:cs="Georgia" w:eastAsia="Georgia" w:hAnsi="Georgia"/>
          <w:sz w:val="22"/>
          <w:szCs w:val="22"/>
          <w:vertAlign w:val="superscript"/>
          <w:rtl w:val="0"/>
        </w:rPr>
        <w:t xml:space="preserve">15</w:t>
      </w:r>
      <w:r w:rsidDel="00000000" w:rsidR="00000000" w:rsidRPr="00000000">
        <w:rPr>
          <w:rFonts w:ascii="Georgia" w:cs="Georgia" w:eastAsia="Georgia" w:hAnsi="Georgia"/>
          <w:sz w:val="22"/>
          <w:szCs w:val="22"/>
          <w:rtl w:val="0"/>
        </w:rPr>
        <w:t xml:space="preserve"> Indeed, there can be no prosperity or progress without affording justice and peace to all, especially to the underprivileged and the disadvantaged.</w:t>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newest book, Senator Salonga also manifests his high esteem for and deep faith in Chief Justice Davide, who is in the audience today. He stresses that, based on his “review of the relevant evidence,” the Chief Justice was innocent of the impeachment charges leveled against him two years ago, and that the charges had been “initiated and pursued in such ruthless, cold-blooded haste” to influence the Court unduly in deciding some controversial cases he discussed in his book.</w:t>
      </w:r>
      <w:r w:rsidDel="00000000" w:rsidR="00000000" w:rsidRPr="00000000">
        <w:rPr>
          <w:rFonts w:ascii="Georgia" w:cs="Georgia" w:eastAsia="Georgia" w:hAnsi="Georgia"/>
          <w:sz w:val="22"/>
          <w:szCs w:val="22"/>
          <w:vertAlign w:val="superscript"/>
          <w:rtl w:val="0"/>
        </w:rPr>
        <w:t xml:space="preserve">16</w:t>
      </w:r>
      <w:r w:rsidDel="00000000" w:rsidR="00000000" w:rsidRPr="00000000">
        <w:rPr>
          <w:rFonts w:ascii="Georgia" w:cs="Georgia" w:eastAsia="Georgia" w:hAnsi="Georgia"/>
          <w:sz w:val="22"/>
          <w:szCs w:val="22"/>
          <w:rtl w:val="0"/>
        </w:rPr>
        <w:t xml:space="preserve"> Because of time constraints, I shall no longer take up these cases individually. Suffice it to say that Senator Salonga believes that the preservation of the independence and integrity of the judiciary is indispensable to the “task of building a better nation.”</w:t>
      </w:r>
    </w:p>
    <w:p w:rsidR="00000000" w:rsidDel="00000000" w:rsidP="00000000" w:rsidRDefault="00000000" w:rsidRPr="00000000" w14:paraId="00000452">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Solutions to the Main Problems</w:t>
      </w:r>
    </w:p>
    <w:p w:rsidR="00000000" w:rsidDel="00000000" w:rsidP="00000000" w:rsidRDefault="00000000" w:rsidRPr="00000000" w14:paraId="000004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let me go back to the three main problems of poverty, corruption and criminality (PCC), which were pointed out by Senator Salonga. For these maladies, he offers the following solution: an open, pluralistic and free society that safeguards the liberty of the people and nurtures their prosperity. He passionately pleads for upholding human dignity as the “first article of faith.” On the political side, he argues for the recognition of the “sacred worth and importance of every human being, without distinction as to origin, social status, sex or belief, and his valid claim to be free from fear, violence, poverty, ignorance, disease, exploitation, and from any oppressive or dehumanizing power.”</w:t>
      </w:r>
      <w:r w:rsidDel="00000000" w:rsidR="00000000" w:rsidRPr="00000000">
        <w:rPr>
          <w:rFonts w:ascii="Georgia" w:cs="Georgia" w:eastAsia="Georgia" w:hAnsi="Georgia"/>
          <w:sz w:val="22"/>
          <w:szCs w:val="22"/>
          <w:vertAlign w:val="superscript"/>
          <w:rtl w:val="0"/>
        </w:rPr>
        <w:t xml:space="preserve">17</w:t>
      </w:r>
      <w:r w:rsidDel="00000000" w:rsidR="00000000" w:rsidRPr="00000000">
        <w:rPr>
          <w:rtl w:val="0"/>
        </w:rPr>
      </w:r>
    </w:p>
    <w:p w:rsidR="00000000" w:rsidDel="00000000" w:rsidP="00000000" w:rsidRDefault="00000000" w:rsidRPr="00000000" w14:paraId="000004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economic field, he asserts that “[e]very Filipino has the right to aspire to a decent life in terms of adequate food and clothing, improved medical care, ample housing, satisfactory work or employment, a sound system of education, a healthy environment, and enough time for leisure, among other things.”</w:t>
      </w:r>
      <w:r w:rsidDel="00000000" w:rsidR="00000000" w:rsidRPr="00000000">
        <w:rPr>
          <w:rFonts w:ascii="Georgia" w:cs="Georgia" w:eastAsia="Georgia" w:hAnsi="Georgia"/>
          <w:sz w:val="22"/>
          <w:szCs w:val="22"/>
          <w:vertAlign w:val="superscript"/>
          <w:rtl w:val="0"/>
        </w:rPr>
        <w:t xml:space="preserve">18</w:t>
      </w:r>
      <w:r w:rsidDel="00000000" w:rsidR="00000000" w:rsidRPr="00000000">
        <w:rPr>
          <w:rtl w:val="0"/>
        </w:rPr>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bloodless, peaceful “yellow revolution” in 1986 may have restored more than adequate democratic space in our country. In fact, a well-known former Singaporean Prime Minister</w:t>
      </w:r>
      <w:r w:rsidDel="00000000" w:rsidR="00000000" w:rsidRPr="00000000">
        <w:rPr>
          <w:rFonts w:ascii="Georgia" w:cs="Georgia" w:eastAsia="Georgia" w:hAnsi="Georgia"/>
          <w:sz w:val="22"/>
          <w:szCs w:val="22"/>
          <w:vertAlign w:val="superscript"/>
          <w:rtl w:val="0"/>
        </w:rPr>
        <w:t xml:space="preserve">19</w:t>
      </w:r>
      <w:r w:rsidDel="00000000" w:rsidR="00000000" w:rsidRPr="00000000">
        <w:rPr>
          <w:rFonts w:ascii="Georgia" w:cs="Georgia" w:eastAsia="Georgia" w:hAnsi="Georgia"/>
          <w:sz w:val="22"/>
          <w:szCs w:val="22"/>
          <w:rtl w:val="0"/>
        </w:rPr>
        <w:t xml:space="preserve"> has lamented that Filipinos have “too much freedom,” which they allegedly use to bludgeon one another and to stalemate economic development. Verily, many foreigners get the impression that, in our country, it is fashionable to slander others, no matter how ridiculous the charge may be. As a result, many Filipino public officials refuse to take bold actions for fear of media criticisms and eventual court litigations that could hound them throughout -- and even beyond -- their terms of office, and they may not even be able to defend themselves adequately because of lack of personal resources.</w:t>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while our political rights have been restored, our version of free enterprise has not worked properly. Since 1986, our economy has lagged behind other Asian economies. It has been characterized by a huge external debt, gargantuan budget deficits, escalating inflation and a battered currency. Senator Salonga observes that a lucky few have become richer and richer, while the vast majority of our people have been getting poorer and poorer over the last several years.</w:t>
      </w:r>
    </w:p>
    <w:p w:rsidR="00000000" w:rsidDel="00000000" w:rsidP="00000000" w:rsidRDefault="00000000" w:rsidRPr="00000000" w14:paraId="000004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solution to the problem of how to build a better nation -- an open, pluralistic and free society that safeguards the liberty of the people and nurtures their prosperity -- has been mouthed, at least in part and mostly in empty rhetoric, by some of our political leaders, past and present.</w:t>
      </w:r>
      <w:r w:rsidDel="00000000" w:rsidR="00000000" w:rsidRPr="00000000">
        <w:rPr>
          <w:rFonts w:ascii="Georgia" w:cs="Georgia" w:eastAsia="Georgia" w:hAnsi="Georgia"/>
          <w:sz w:val="22"/>
          <w:szCs w:val="22"/>
          <w:vertAlign w:val="superscript"/>
          <w:rtl w:val="0"/>
        </w:rPr>
        <w:t xml:space="preserve">20</w:t>
      </w:r>
      <w:r w:rsidDel="00000000" w:rsidR="00000000" w:rsidRPr="00000000">
        <w:rPr>
          <w:rtl w:val="0"/>
        </w:rPr>
      </w:r>
    </w:p>
    <w:p w:rsidR="00000000" w:rsidDel="00000000" w:rsidP="00000000" w:rsidRDefault="00000000" w:rsidRPr="00000000" w14:paraId="0000045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Government by Example</w:t>
      </w:r>
    </w:p>
    <w:p w:rsidR="00000000" w:rsidDel="00000000" w:rsidP="00000000" w:rsidRDefault="00000000" w:rsidRPr="00000000" w14:paraId="000004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all these copycat incantations, the response of Senator Salonga spells a difference. He asserts that a truly free and prosperous Philippines can be attained only by “the fitness of its leaders.” He cites Confucius, the Asian philosopher, who said a long time ago that “[g]overnment, to be effective, must be government by example.”</w:t>
      </w:r>
      <w:r w:rsidDel="00000000" w:rsidR="00000000" w:rsidRPr="00000000">
        <w:rPr>
          <w:rFonts w:ascii="Georgia" w:cs="Georgia" w:eastAsia="Georgia" w:hAnsi="Georgia"/>
          <w:sz w:val="22"/>
          <w:szCs w:val="22"/>
          <w:vertAlign w:val="superscript"/>
          <w:rtl w:val="0"/>
        </w:rPr>
        <w:t xml:space="preserve">21</w:t>
      </w:r>
      <w:r w:rsidDel="00000000" w:rsidR="00000000" w:rsidRPr="00000000">
        <w:rPr>
          <w:rtl w:val="0"/>
        </w:rPr>
      </w:r>
    </w:p>
    <w:p w:rsidR="00000000" w:rsidDel="00000000" w:rsidP="00000000" w:rsidRDefault="00000000" w:rsidRPr="00000000" w14:paraId="000004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statesman-author has lived this principle, the power of example, to the hilt. Thus, in 1986 when he was named first chairman of the Presidential Commission on Good Government, he not only divested himself of his conflicting financial interests as required by law; he also completely dissolved his prestigious law firm.</w:t>
      </w:r>
      <w:r w:rsidDel="00000000" w:rsidR="00000000" w:rsidRPr="00000000">
        <w:rPr>
          <w:rFonts w:ascii="Georgia" w:cs="Georgia" w:eastAsia="Georgia" w:hAnsi="Georgia"/>
          <w:sz w:val="22"/>
          <w:szCs w:val="22"/>
          <w:vertAlign w:val="superscript"/>
          <w:rtl w:val="0"/>
        </w:rPr>
        <w:t xml:space="preserve">22</w:t>
      </w:r>
      <w:r w:rsidDel="00000000" w:rsidR="00000000" w:rsidRPr="00000000">
        <w:rPr>
          <w:rFonts w:ascii="Georgia" w:cs="Georgia" w:eastAsia="Georgia" w:hAnsi="Georgia"/>
          <w:sz w:val="22"/>
          <w:szCs w:val="22"/>
          <w:rtl w:val="0"/>
        </w:rPr>
        <w:t xml:space="preserve"> Our laws did not require such drastic dissolution. Neither do they mandate public servants to impoverish themselves in order to render public service.</w:t>
      </w:r>
    </w:p>
    <w:p w:rsidR="00000000" w:rsidDel="00000000" w:rsidP="00000000" w:rsidRDefault="00000000" w:rsidRPr="00000000" w14:paraId="000004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self-imposed, strict personal ethic of Senator Salonga, however, has become a model for all who have worked with or under him. He has set an endearing, enduring and powerful example of how to serve with dignity and honor. Indeed, he believes that, to be credible and effective, public officials must always be beyond suspicion; their every action must pass the test of the strictest scrutiny.</w:t>
      </w:r>
    </w:p>
    <w:p w:rsidR="00000000" w:rsidDel="00000000" w:rsidP="00000000" w:rsidRDefault="00000000" w:rsidRPr="00000000" w14:paraId="000004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example. He believed that in a poor country like ours, public officials must live simply so others may simply live. He exemplified this belief. During his stint in the government, he resided in a modest, rented house; used a mid-size, four-cylinder, locally assembled car; and wore mostly white cotton barongs. He did not smoke, drink or gamble. Moreover, he was a dedicated husband, a caring father, a faithful friend, and a devoted man of God. Money, worldly pleasures, titles and honors held no fascination for him. Small wonder, he was given the “Mahatma Gandhi Freedom Award” by the College of William and Mary in Virginia, USA.</w:t>
      </w:r>
    </w:p>
    <w:p w:rsidR="00000000" w:rsidDel="00000000" w:rsidP="00000000" w:rsidRDefault="00000000" w:rsidRPr="00000000" w14:paraId="000004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1987, he brought to the Senate his ascetic lifestyle. He led that august chamber with his legendary austere living. Thus, during his stint in the Senate, he was able to navigate the passage of witness-enhancing laws like the Code of Conduct and Ethical Standard for Public Officials and Employees, as well as the Anti-Plunder Act and the Anti-Coup d’Etat Law -- all of which he had personally authored.</w:t>
      </w:r>
    </w:p>
    <w:p w:rsidR="00000000" w:rsidDel="00000000" w:rsidP="00000000" w:rsidRDefault="00000000" w:rsidRPr="00000000" w14:paraId="0000045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Simple, Dignified Life Worth Living</w:t>
      </w:r>
    </w:p>
    <w:p w:rsidR="00000000" w:rsidDel="00000000" w:rsidP="00000000" w:rsidRDefault="00000000" w:rsidRPr="00000000" w14:paraId="000004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lawyer of some of the biggest and most profitable companies in the country, Senator Salonga had a thriving -- nay, affluent -- law practice in the 1950s and well into the 1980s. He could have easily enriched himself, especially after his election as congressman -- he had single-handedly but convincingly dethroned the two powerful political clans in his home province of Rizal -- and three times as Number One Senator of the Republic.</w:t>
      </w:r>
      <w:r w:rsidDel="00000000" w:rsidR="00000000" w:rsidRPr="00000000">
        <w:rPr>
          <w:rFonts w:ascii="Georgia" w:cs="Georgia" w:eastAsia="Georgia" w:hAnsi="Georgia"/>
          <w:sz w:val="22"/>
          <w:szCs w:val="22"/>
          <w:vertAlign w:val="superscript"/>
          <w:rtl w:val="0"/>
        </w:rPr>
        <w:t xml:space="preserve">23</w:t>
      </w:r>
      <w:r w:rsidDel="00000000" w:rsidR="00000000" w:rsidRPr="00000000">
        <w:rPr>
          <w:rFonts w:ascii="Georgia" w:cs="Georgia" w:eastAsia="Georgia" w:hAnsi="Georgia"/>
          <w:sz w:val="22"/>
          <w:szCs w:val="22"/>
          <w:rtl w:val="0"/>
        </w:rPr>
        <w:t xml:space="preserve"> Yet, he chose to devote his time, talent and treasure to the service of the country. He forsook money-making opportunities and dropped supporters whose business practices were inconsistent with his ascetic lifestyle and stringent work ethic.</w:t>
      </w:r>
    </w:p>
    <w:p w:rsidR="00000000" w:rsidDel="00000000" w:rsidP="00000000" w:rsidRDefault="00000000" w:rsidRPr="00000000" w14:paraId="000004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in his happy retirement -- he has just celebrated his 85th birthday last June 22 -- he is still healthy and well. His giant intellect is still as vibrant as it was more than 50 years ago when he entered public service. He is still outraged by public excesses. Equally important, he still lives by the power of his example: a simple, dignified life worth living.</w:t>
      </w:r>
    </w:p>
    <w:p w:rsidR="00000000" w:rsidDel="00000000" w:rsidP="00000000" w:rsidRDefault="00000000" w:rsidRPr="00000000" w14:paraId="000004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1971, a fragmentation grenade hurled at a political rally of the Liberal Party in Plaza Miranda (Manila) nearly snuffed out his life.</w:t>
      </w:r>
      <w:r w:rsidDel="00000000" w:rsidR="00000000" w:rsidRPr="00000000">
        <w:rPr>
          <w:rFonts w:ascii="Georgia" w:cs="Georgia" w:eastAsia="Georgia" w:hAnsi="Georgia"/>
          <w:sz w:val="22"/>
          <w:szCs w:val="22"/>
          <w:vertAlign w:val="superscript"/>
          <w:rtl w:val="0"/>
        </w:rPr>
        <w:t xml:space="preserve">24</w:t>
      </w:r>
      <w:r w:rsidDel="00000000" w:rsidR="00000000" w:rsidRPr="00000000">
        <w:rPr>
          <w:rFonts w:ascii="Georgia" w:cs="Georgia" w:eastAsia="Georgia" w:hAnsi="Georgia"/>
          <w:sz w:val="22"/>
          <w:szCs w:val="22"/>
          <w:rtl w:val="0"/>
        </w:rPr>
        <w:t xml:space="preserve"> For a while, he was declared “clinically dead” at the Medical Center of Manila.</w:t>
      </w:r>
      <w:r w:rsidDel="00000000" w:rsidR="00000000" w:rsidRPr="00000000">
        <w:rPr>
          <w:rFonts w:ascii="Georgia" w:cs="Georgia" w:eastAsia="Georgia" w:hAnsi="Georgia"/>
          <w:sz w:val="22"/>
          <w:szCs w:val="22"/>
          <w:vertAlign w:val="superscript"/>
          <w:rtl w:val="0"/>
        </w:rPr>
        <w:t xml:space="preserve">25</w:t>
      </w:r>
      <w:r w:rsidDel="00000000" w:rsidR="00000000" w:rsidRPr="00000000">
        <w:rPr>
          <w:rFonts w:ascii="Georgia" w:cs="Georgia" w:eastAsia="Georgia" w:hAnsi="Georgia"/>
          <w:sz w:val="22"/>
          <w:szCs w:val="22"/>
          <w:rtl w:val="0"/>
        </w:rPr>
        <w:t xml:space="preserve"> But as soon as he recovered, he wondered, “God must have a purpose in saving me from the abyss of death.”</w:t>
      </w:r>
    </w:p>
    <w:p w:rsidR="00000000" w:rsidDel="00000000" w:rsidP="00000000" w:rsidRDefault="00000000" w:rsidRPr="00000000" w14:paraId="000004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say there is: to be a beacon in our darkened country and to instill hope in our listless society through his teachings and his power of example. Mabuhay po kayo, Senator Jovito R. Salonga!</w:t>
      </w:r>
    </w:p>
    <w:p w:rsidR="00000000" w:rsidDel="00000000" w:rsidP="00000000" w:rsidRDefault="00000000" w:rsidRPr="00000000" w14:paraId="000004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64">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65">
      <w:pPr>
        <w:pStyle w:val="Heading1"/>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9">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14</w:t>
      </w:r>
    </w:p>
    <w:p w:rsidR="00000000" w:rsidDel="00000000" w:rsidP="00000000" w:rsidRDefault="00000000" w:rsidRPr="00000000" w14:paraId="0000046A">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6B">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Invest in the Whole Country, Not Just in the Mining Industry</w:t>
      </w:r>
    </w:p>
    <w:p w:rsidR="00000000" w:rsidDel="00000000" w:rsidP="00000000" w:rsidRDefault="00000000" w:rsidRPr="00000000" w14:paraId="0000046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honored to have been invited to speak before this international gathering of mining investors. I was requested to explain the main features of the Supreme Court’s recent landmark Decision upholding the constitutionality of the Mining Law in our country and defining the nature and extent of foreign participation in large-scale mining.</w:t>
      </w:r>
    </w:p>
    <w:p w:rsidR="00000000" w:rsidDel="00000000" w:rsidP="00000000" w:rsidRDefault="00000000" w:rsidRPr="00000000" w14:paraId="000004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before I do that, permit me to discuss some important preliminaries, so that you may have a macro view of our legal system, as well as how it relates to business in general and to the mining industry in particular.</w:t>
      </w:r>
    </w:p>
    <w:p w:rsidR="00000000" w:rsidDel="00000000" w:rsidP="00000000" w:rsidRDefault="00000000" w:rsidRPr="00000000" w14:paraId="000004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start by saying that our government is republican in nature and presidential in form. Our Constitution divides the powers of government into three broad categories and allocates their exercise to its three main branches. Thus, the power to make laws is granted to Congress; to execute them, to the President; and to interpret them, to the Supreme Court. In this sense, our government is similar to that of the United States.</w:t>
      </w:r>
    </w:p>
    <w:p w:rsidR="00000000" w:rsidDel="00000000" w:rsidP="00000000" w:rsidRDefault="00000000" w:rsidRPr="00000000" w14:paraId="000004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discharge of their functions, the three branches of government are coequal and coindependent, but they are neither antagonistic nor subservient to one another. Rather, they coordinate their functions to achieve governmental objectives; at the same time, they check one another to prevent abuse in the exercise of their respective powers. These functions of coordinating and checking characterize our government and differentiate it from the governments of many other countries.</w:t>
      </w:r>
    </w:p>
    <w:p w:rsidR="00000000" w:rsidDel="00000000" w:rsidP="00000000" w:rsidRDefault="00000000" w:rsidRPr="00000000" w14:paraId="0000047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Judiciary’s Role in the Philippines</w:t>
      </w:r>
    </w:p>
    <w:p w:rsidR="00000000" w:rsidDel="00000000" w:rsidP="00000000" w:rsidRDefault="00000000" w:rsidRPr="00000000" w14:paraId="000004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most important attributes of our judiciary is its strong independence. Being a coequal of the President and of Congress, the Supreme Court is not beholden to anyone or anything except the Constitution and the law. Like most other judiciaries in the world, it reviews and corrects the errors of lower courts. Unlike many of them, however, our judiciary is mandated by our Constitution to nullify any act of any branch or official of the government -- including that of the President or of Congress -- when such act is done with “grave abuse of discretion.” This specific mandate to strike down gravely abusive actions is a solemn responsibility the courts cannot shirk from. It is a duty, not just a power. A power can be relinquished, but a duty cannot be evaded under any circumstance.</w:t>
      </w:r>
    </w:p>
    <w:p w:rsidR="00000000" w:rsidDel="00000000" w:rsidP="00000000" w:rsidRDefault="00000000" w:rsidRPr="00000000" w14:paraId="000004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this duty, the Supreme Court has nullified laws passed by Congress and executive orders issued by the President. It has struck down decisions and actions of cabinet secretaries, bureau directors, and top-ranking officers of the military and the police; and has voided contracts entered into by government officials -- all on the ground of grave abuse of discretion.</w:t>
      </w:r>
    </w:p>
    <w:p w:rsidR="00000000" w:rsidDel="00000000" w:rsidP="00000000" w:rsidRDefault="00000000" w:rsidRPr="00000000" w14:paraId="000004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Grave abuse of discretion is committed when an act is done contrary to the Constitution, the law or jurisprudence; or when it is executed “whimsically or arbitrarily” in a manner “so patent and so gross as to amount to an evasion of a positive duty or to a virtual refusal to perform the duty enjoined.”</w:t>
      </w:r>
    </w:p>
    <w:p w:rsidR="00000000" w:rsidDel="00000000" w:rsidP="00000000" w:rsidRDefault="00000000" w:rsidRPr="00000000" w14:paraId="000004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its exercise of this duty to nullify gravely abusive acts, the Supreme Court is not superior to the President or to Congress. When it so acts, it merely sees to it that the Constitution and the laws reign supreme. Law overrides the desires and caprices of officials. In short, in this country, the rule of law -- not of men -- prevails.</w:t>
      </w:r>
    </w:p>
    <w:p w:rsidR="00000000" w:rsidDel="00000000" w:rsidP="00000000" w:rsidRDefault="00000000" w:rsidRPr="00000000" w14:paraId="000004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quickly add that despite this plenary authority to override the acts of other branches of government, the Supreme Court has always been respectful of them. In case of doubt, it always upholds the constitutionality of legislative and executive acts and gives the benefit of the doubt to Congress and the President. At the same time, it always stands ready to protect citizens and aliens alike when their rights are violated or impaired.</w:t>
      </w:r>
    </w:p>
    <w:p w:rsidR="00000000" w:rsidDel="00000000" w:rsidP="00000000" w:rsidRDefault="00000000" w:rsidRPr="00000000" w14:paraId="000004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last statement cannot be overemphasized in this gathering. Investors have the assurance that when their legal or contractual rights are trampled upon by anyone -- including high officials of our government -- they can avail themselves of a final recourse to the Supreme Court, which will decide their cases independently and fairly.</w:t>
      </w:r>
    </w:p>
    <w:p w:rsidR="00000000" w:rsidDel="00000000" w:rsidP="00000000" w:rsidRDefault="00000000" w:rsidRPr="00000000" w14:paraId="000004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deciding litigations, our judiciary adheres to the “adversarial system.” As contradistinguished from the “inquisitorial system,” our judges act only after due process is observed, after all the opposing parties are thoroughly heard. Decisions are made only on the basis of facts admitted by the litigants or duly proven by them in accordance with known adversarial rules of evidence.</w:t>
      </w:r>
    </w:p>
    <w:p w:rsidR="00000000" w:rsidDel="00000000" w:rsidP="00000000" w:rsidRDefault="00000000" w:rsidRPr="00000000" w14:paraId="000004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stress that under our Constitution, the “State recognizes the indispensable role of the private sector, encourages private enterprise, and provides incentives to needed investments.” Further, no person -- including aliens -- “shall be deprived of life, liberty or property without due process of law, nor shall any person be denied the equal protection of the laws.” As a signatory to the WTO Treaty, the Philippines adheres to free trade as the country’s engine of economic growth.</w:t>
      </w:r>
    </w:p>
    <w:p w:rsidR="00000000" w:rsidDel="00000000" w:rsidP="00000000" w:rsidRDefault="00000000" w:rsidRPr="00000000" w14:paraId="000004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times it has been asked why contracts entered into by the government are sometimes nullified by the courts. The answer is simple: contracts that violate the Constitution or the laws are void. They enjoy neither protection nor sanctity. To investors, both foreign and local, who ask how they can protect their contracts with government, I give this simple advice: follow the rules honestly, secure the assistance of credible lawyers before - - not after -- entering into a contract, and avoid transactions that require bribery of our officials. Those who desire details of this advice may refer to my new book, Leveling the Playing Field, in which the role of the judiciary in business is discussed at length.</w:t>
      </w:r>
    </w:p>
    <w:p w:rsidR="00000000" w:rsidDel="00000000" w:rsidP="00000000" w:rsidRDefault="00000000" w:rsidRPr="00000000" w14:paraId="0000047B">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Natural Resources Owned by the State and Subject to Its Full State Control</w:t>
      </w:r>
    </w:p>
    <w:p w:rsidR="00000000" w:rsidDel="00000000" w:rsidP="00000000" w:rsidRDefault="00000000" w:rsidRPr="00000000" w14:paraId="000004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given you a bird’s eye view of our governmental system and the judiciary’s place in it, let me now discuss some legal aspects of foreign investments in our mining industry.</w:t>
      </w:r>
    </w:p>
    <w:p w:rsidR="00000000" w:rsidDel="00000000" w:rsidP="00000000" w:rsidRDefault="00000000" w:rsidRPr="00000000" w14:paraId="000004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our Constitution, all natural resources, specifically all minerals still hidden in the ground, are owned by the State. As a general rule, their exploration, development and utilization (or EDU) may be undertaken by the State through (1) co-production; (2) joint venture; or (3) production-sharing agreements with corporations, at least 60 percent of whose capital is owned by Filipino citizens.[20] This requirement implies that aliens may own not more than 40 percent of this kind of companies.</w:t>
      </w:r>
    </w:p>
    <w:p w:rsidR="00000000" w:rsidDel="00000000" w:rsidP="00000000" w:rsidRDefault="00000000" w:rsidRPr="00000000" w14:paraId="000004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large-scale EDU of our minerals, however, may be undertaken by means of agreements entered into by the President of the Philippines with 100-percent foreign-owned companies.</w:t>
      </w:r>
    </w:p>
    <w:p w:rsidR="00000000" w:rsidDel="00000000" w:rsidP="00000000" w:rsidRDefault="00000000" w:rsidRPr="00000000" w14:paraId="0000047F">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These mining agreements, known as financial and technical assistance agreements (or FTAAs), were the specific subject of the recent Decision of our Supreme Court (SC) -- La </w:t>
      </w:r>
      <w:r w:rsidDel="00000000" w:rsidR="00000000" w:rsidRPr="00000000">
        <w:rPr>
          <w:rFonts w:ascii="Georgia" w:cs="Georgia" w:eastAsia="Georgia" w:hAnsi="Georgia"/>
          <w:color w:val="000000"/>
          <w:sz w:val="22"/>
          <w:szCs w:val="22"/>
          <w:rtl w:val="0"/>
        </w:rPr>
        <w:t xml:space="preserve">Bugal-B’laan Tribal Association v. Ramos.</w:t>
      </w:r>
    </w:p>
    <w:p w:rsidR="00000000" w:rsidDel="00000000" w:rsidP="00000000" w:rsidRDefault="00000000" w:rsidRPr="00000000" w14:paraId="000004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outline briefly some essential features of that Decision, especially as it refers to 100-percent foreign-owned companies, which I shall refer to as FOCs in this address. Significantly, the Decision became “final” just the other day, February 1, 2005, when the SC turned down the petitioners’ Motion for Reconsideration -- by the same vote of 10 in favor of constitutionality and 4 against, with one abstention.</w:t>
      </w:r>
    </w:p>
    <w:p w:rsidR="00000000" w:rsidDel="00000000" w:rsidP="00000000" w:rsidRDefault="00000000" w:rsidRPr="00000000" w14:paraId="000004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foreign-owned companies or FOCs may enter into FTAAs only with the President of the Philippines, not with private individuals.</w:t>
      </w:r>
    </w:p>
    <w:p w:rsidR="00000000" w:rsidDel="00000000" w:rsidP="00000000" w:rsidRDefault="00000000" w:rsidRPr="00000000" w14:paraId="000004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FTAAs cover only the large-scale EDU of (1) minerals, (2) petroleum and (3) other mineral oils. Other natural resources, like forests, fisheries and lands are not fit subjects of FTAAs with FOCs.</w:t>
      </w:r>
    </w:p>
    <w:p w:rsidR="00000000" w:rsidDel="00000000" w:rsidP="00000000" w:rsidRDefault="00000000" w:rsidRPr="00000000" w14:paraId="000004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regardless of the provisions of the FTAAs, the EDU of minerals is always subject to the “full control and supervision of the State.” The State’s full control is similar to “that which is exercised by the board of directors of a private corporation: the performance of managerial, operational, financial, marketing and other functions may be delegated to subordinate officials or given to contractual entities, but the board retains full residual control of the business.”</w:t>
      </w:r>
    </w:p>
    <w:p w:rsidR="00000000" w:rsidDel="00000000" w:rsidP="00000000" w:rsidRDefault="00000000" w:rsidRPr="00000000" w14:paraId="000004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President of the Philippines and the President’s alter ego -- the secretary of the Department of Environment and Natural Resources -- actually exercise this power of full control.</w:t>
      </w:r>
    </w:p>
    <w:p w:rsidR="00000000" w:rsidDel="00000000" w:rsidP="00000000" w:rsidRDefault="00000000" w:rsidRPr="00000000" w14:paraId="000004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FTAAs must abide by the provisions of our laws, specifically the Mining Law of 1995 (Republic Act 7942), as well as its Implementing and Regulations.</w:t>
      </w:r>
    </w:p>
    <w:p w:rsidR="00000000" w:rsidDel="00000000" w:rsidP="00000000" w:rsidRDefault="00000000" w:rsidRPr="00000000" w14:paraId="0000048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Foreigners Granted Reasonable Prerogatives to Protect Investments</w:t>
      </w:r>
    </w:p>
    <w:p w:rsidR="00000000" w:rsidDel="00000000" w:rsidP="00000000" w:rsidRDefault="00000000" w:rsidRPr="00000000" w14:paraId="00000487">
      <w:pPr>
        <w:pStyle w:val="Heading2"/>
        <w:jc w:val="both"/>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Sixth, FOCs assume all financial, technical and entrepreneurial risks; hence, an FTAA may grant an FOC “reasonable management, operational, marketing, audit and other prerogatives to protect its investments and to enable the business to succeed”; provided, however, that full control and supervision of the enterprise is retained by the State through the latter’s “power to didirect overall strategy; and to set aside, reverse or modify plans and actions of the contractor.”</w:t>
      </w:r>
    </w:p>
    <w:p w:rsidR="00000000" w:rsidDel="00000000" w:rsidP="00000000" w:rsidRDefault="00000000" w:rsidRPr="00000000" w14:paraId="000004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as the official who is constitutionally authorized to enter into FTAAs, the President is given the prerogative to specify terms and conditions of the contract, especially its fiscal regime -- “the sharing of the net mining revenues between the contractor and the State.”</w:t>
      </w:r>
    </w:p>
    <w:p w:rsidR="00000000" w:rsidDel="00000000" w:rsidP="00000000" w:rsidRDefault="00000000" w:rsidRPr="00000000" w14:paraId="000004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Eighth, the Supreme Court will not inordinately interfere in the exercise of this presidential power of control. Grave abuse of discretion may indeed occur in the execution of any governmental prerogative, as when the FTAA surrenders or dilutes such power of control. The Court, after observing due process in a proper litigation, may then strike down the gravely abusive act or nullify specific FTAA provisions that are contrary to law or manifestly and grossly disadvantageous to the nation.</w:t>
      </w:r>
    </w:p>
    <w:p w:rsidR="00000000" w:rsidDel="00000000" w:rsidP="00000000" w:rsidRDefault="00000000" w:rsidRPr="00000000" w14:paraId="0000048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Financial Benefits Determined by the President</w:t>
      </w:r>
    </w:p>
    <w:p w:rsidR="00000000" w:rsidDel="00000000" w:rsidP="00000000" w:rsidRDefault="00000000" w:rsidRPr="00000000" w14:paraId="000004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Ninth, all the members of the Supreme Court are agreed that the Constitution allows the President to enter into FTAAs with FOCs. The controversy hinged on the extent of the participation of FOCs in the EDU of minerals and “the amount of discretion to be accorded the Executive Department in respect of negotiations over the terms of FTAAs, particularly when it comes to the government’s share of financial benefits” from these agreements.</w:t>
      </w:r>
    </w:p>
    <w:p w:rsidR="00000000" w:rsidDel="00000000" w:rsidP="00000000" w:rsidRDefault="00000000" w:rsidRPr="00000000" w14:paraId="000004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 dissenters in the Supreme Court[27] laid heavy emphasis on the need to assure maximum financial advantages for our people. The dissenters argued that the Court should require all FTAAs to grant the government a minimum of 60 percent of the net mining revenues. They further claimed that the Mining Law was unconstitutional, because it would allegedly give all mining revenues to the FOCs and leave the State only taxes and fees as its share. Hence, they concluded that unless the Mining Law and its Implementing Rules are nullified, our mineral resources would be gobbled up by foreigners, and practically nothing would be left for our impoverished people.</w:t>
      </w:r>
    </w:p>
    <w:p w:rsidR="00000000" w:rsidDel="00000000" w:rsidP="00000000" w:rsidRDefault="00000000" w:rsidRPr="00000000" w14:paraId="000004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course, the Decision of the Supreme Court strongly disputed these contentions. It held that there were no provisions in our Constitution that authorized the judiciary to make that pronouncement. While the Court naturally favored the grant of maximum financial benefits to our people, there was no specific constitutional authority that empowered it to fix those benefits to a minimum of 60 percent. Thus, it concluded that the President should be given leeway in negotiating FTAAs and heralded this overriding judicial policy as follows:</w:t>
      </w:r>
    </w:p>
    <w:p w:rsidR="00000000" w:rsidDel="00000000" w:rsidP="00000000" w:rsidRDefault="00000000" w:rsidRPr="00000000" w14:paraId="000004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should be read in broad, life-giving strokes. It should not be used to strangulate economic growth or to serve narrow, parochial interests. Rather it should be construed to grant the President and Congress sufficient discretion and reasonable leeway to enable them to attract foreign investments and expertise, as well as to secure for our people and our posterity the blessings of prosperity and peace.”</w:t>
      </w:r>
    </w:p>
    <w:p w:rsidR="00000000" w:rsidDel="00000000" w:rsidP="00000000" w:rsidRDefault="00000000" w:rsidRPr="00000000" w14:paraId="000004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added that “[f]airness is a credo not only in law but also in business.” </w:t>
      </w:r>
    </w:p>
    <w:p w:rsidR="00000000" w:rsidDel="00000000" w:rsidP="00000000" w:rsidRDefault="00000000" w:rsidRPr="00000000" w14:paraId="000004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our Supreme Court placed in the President the responsibility of negotiating FTAAs, at the same time it cautioned the Chief Executive to take appropriate steps to secure the best terms and conditions under the circumstances. It also issued the reminder that “if it should later be found that the share [of profits] agreed upon is grossly disadvantageous to the government, the officials responsible for entering into such contract on its behalf will have to answer to the courts for their malfeasance. And the contract provision [will have to be] voided.”</w:t>
      </w:r>
    </w:p>
    <w:p w:rsidR="00000000" w:rsidDel="00000000" w:rsidP="00000000" w:rsidRDefault="00000000" w:rsidRPr="00000000" w14:paraId="00000491">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Environmental Concerns Addressed</w:t>
      </w:r>
    </w:p>
    <w:p w:rsidR="00000000" w:rsidDel="00000000" w:rsidP="00000000" w:rsidRDefault="00000000" w:rsidRPr="00000000" w14:paraId="000004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Tenth and final point. Let me bring to your attention the incessant plea of the petitioners in this case -- the nongovernment group and civic-spirited citizens who brought the suit before the Supreme Court. They repeatedly argued that mining did not deserve to be accorded “priority, preference and government support as against, say, agriculture and other activities in which Filipinos x x x may have an ‘economic advantage.’” They cited a US study entitled the “OXFAM America Research Report,” which claimed that mining-dependent communities had registered a much lower growth rate than non-mining dependent regions. Additionally, they pointed to a World Bank report, which warned of “environmental degradation, social disruption, conflict and uneven sharing of benefits x x x.”</w:t>
      </w:r>
    </w:p>
    <w:p w:rsidR="00000000" w:rsidDel="00000000" w:rsidP="00000000" w:rsidRDefault="00000000" w:rsidRPr="00000000" w14:paraId="000004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response to this concern was that “[w]hatever priority or preference may be given to mining vis-à-vis other economic or non-economic activities is a question of policy [not of constitutionality] that the President and Congress will have to address x x x. [The] Court declares what the Constitution and the laws say, interprets only when necessary, and refrains from delving into matters of policy.” While valid and important, the economic and environmental concerns raised by the petitioners were outside the constitutional authority of the Court to decide. Those issues were within the prerogative of the political branches of the government, not the judiciary.</w:t>
      </w:r>
    </w:p>
    <w:p w:rsidR="00000000" w:rsidDel="00000000" w:rsidP="00000000" w:rsidRDefault="00000000" w:rsidRPr="00000000" w14:paraId="000004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the Court hastened to stress certain points, lest it be accused of completely washing its hands of those great concerns. It pointed out that the State’s residual power of control would enable the President to demand from FOCs the use of the best mining practices to produce maximum benefits, to protect the rights of indigenous communities, and to prevent environmental degradation. It added that both the previous and the present Presidents of this country were aware of responsible mining and in fact took concrete steps to promote it. They did so “with due regard for justice and equity, sensitivity to the culture of the Filipino people and respect for Philippine sovereignty.”</w:t>
      </w:r>
    </w:p>
    <w:p w:rsidR="00000000" w:rsidDel="00000000" w:rsidP="00000000" w:rsidRDefault="00000000" w:rsidRPr="00000000" w14:paraId="000004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cited the Implementing Rules that mandated the distribution of financial benefits to different levels of government: national, 50 percent; provincial, 10 percent; municipal, 20 percent; and affected barangays (or local communities), 20 percent.</w:t>
      </w:r>
    </w:p>
    <w:p w:rsidR="00000000" w:rsidDel="00000000" w:rsidP="00000000" w:rsidRDefault="00000000" w:rsidRPr="00000000" w14:paraId="000004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media expressed massive public support for our Decision, there were also considerable negative reactions, owing largely to past sad experiences suffered because of the activities of some local companies, like the Marinduque Mining and Marcopper. Certain religious groups, both Catholic and non-Catholic, denounced mining as an industry that the SC should not have encouraged.</w:t>
      </w:r>
    </w:p>
    <w:p w:rsidR="00000000" w:rsidDel="00000000" w:rsidP="00000000" w:rsidRDefault="00000000" w:rsidRPr="00000000" w14:paraId="000004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the Court’s response was that while those environmental and social concerns were very important, they could not be answered fully by the judiciary. Only legal issues were resolved by the courts with finality. Having said that, the Supreme Court nonetheless took the opportunity to express its sympathy, with a call to preserve and promote the environment. It thus exhorted everyone to take all possible steps to “prevent irreversible ecological damage.”</w:t>
      </w:r>
    </w:p>
    <w:p w:rsidR="00000000" w:rsidDel="00000000" w:rsidP="00000000" w:rsidRDefault="00000000" w:rsidRPr="00000000" w14:paraId="0000049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Final Exhortation</w:t>
      </w:r>
    </w:p>
    <w:p w:rsidR="00000000" w:rsidDel="00000000" w:rsidP="00000000" w:rsidRDefault="00000000" w:rsidRPr="00000000" w14:paraId="000004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during the past several minutes, I have tried to summarize some of the main features of the Supreme Court’s Decision on the Mining Law. The Court discussed not only strictly constitutional issues, but also some nonlegal matters, which I will no longer discuss here due to lack of time. In its original form -- double-spaced on standard legal-sized paper -- the Decision consisted of 246 pages, the longest ever in the 104-year history of the highest tribunal of our country. The monumental importance of this case to our nation was reflected in the record length of the Decision, the extraordinary and extensive deliberations the justices devoted to it, and their herculean effort to go beyond the strictly legal parameters of this controversy.</w:t>
      </w:r>
    </w:p>
    <w:p w:rsidR="00000000" w:rsidDel="00000000" w:rsidP="00000000" w:rsidRDefault="00000000" w:rsidRPr="00000000" w14:paraId="000004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case deals with the great natural wealth of this country. In issuing its Decision, the Supreme Court called for “an appropriate balancing of interests and needs,” between the “need to develop our stagnating mining industry x x x in order to jumpstart our floundering economy on the one hand; and, on the other, the need to enhance our nationalistic aspirations, protect our indigenous communities, and prevent ecological damage.”</w:t>
      </w:r>
    </w:p>
    <w:p w:rsidR="00000000" w:rsidDel="00000000" w:rsidP="00000000" w:rsidRDefault="00000000" w:rsidRPr="00000000" w14:paraId="000004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its vision set firmly upon the future, the Court declared thus: “[T]he mining wealth of the country x x x [is] meant to benefit not merely a select group of people living in the areas locally affected by mining activities but the entire Filipino nation, present and future, to whom the mineral wealth really belongs.” You, our honored guests and participants in this investors’ conference, may have come to our country to invest and eventually make money from our mining industry; and there is basically nothing wrong with that initial intent. However, I respectfully ask you to take a wider and longer-term view by helping us develop not just the mining industry, but the whole country.</w:t>
      </w:r>
    </w:p>
    <w:p w:rsidR="00000000" w:rsidDel="00000000" w:rsidP="00000000" w:rsidRDefault="00000000" w:rsidRPr="00000000" w14:paraId="000004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all, mining investments take several years, even decades, to take root and to bear fruit. In this sense, large-scale mining ventures are really permanent investments in the long-term development of the whole country. Inequitable sharing of benefits and neglect of the environment could bring resentment and instability, which would adversely affect everyone, including investors. Our vision of development for the whole nation and prosperity for all our people under the rule of law is what I ask you to take into account in extending your financial and technical assistance to the mining industry. In short, invest not just in the mining industry. Invest in our country. Invest in our people’s prosperity.</w:t>
      </w:r>
    </w:p>
    <w:p w:rsidR="00000000" w:rsidDel="00000000" w:rsidP="00000000" w:rsidRDefault="00000000" w:rsidRPr="00000000" w14:paraId="000004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9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9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1">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6">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A">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15</w:t>
      </w:r>
    </w:p>
    <w:p w:rsidR="00000000" w:rsidDel="00000000" w:rsidP="00000000" w:rsidRDefault="00000000" w:rsidRPr="00000000" w14:paraId="000004AB">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AC">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La Bugal B’laan v. Ramos: The Constitutionality of the Mining Law</w:t>
      </w:r>
    </w:p>
    <w:p w:rsidR="00000000" w:rsidDel="00000000" w:rsidP="00000000" w:rsidRDefault="00000000" w:rsidRPr="00000000" w14:paraId="000004A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previous Chapter entitled “Invest in the Whole Country, Not Just in the Mining Industry,” I discussed from the lay person’s perspective the reasons for and the consequences of the Supreme Court’s Decision upholding the constitutionality of the Mining Law. After all, the text of that chapter was taken from my speech delivered during the International Mining Summit a few weeks after the Decision had come out. In the present chapter, I shall summarize the comprehensive Court judgments more thoroughly, especially their strictly constitutional and legal aspects.</w:t>
      </w:r>
    </w:p>
    <w:p w:rsidR="00000000" w:rsidDel="00000000" w:rsidP="00000000" w:rsidRDefault="00000000" w:rsidRPr="00000000" w14:paraId="000004A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Factual Backdrop</w:t>
      </w:r>
    </w:p>
    <w:p w:rsidR="00000000" w:rsidDel="00000000" w:rsidP="00000000" w:rsidRDefault="00000000" w:rsidRPr="00000000" w14:paraId="000004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25, 1987, then President Corazon C. Aquino issued Executive Order (EO) No. 279, authorizing the secretary of the Department of Environment and Natural Resources (DENR) to “accept, consider and evaluate proposals from foreign-owned corporations or foreign investors for contracts or agreements involving either technical or financial assistance for large-scale exploration, development, and utilization of minerals, which, upon appropriate recommendation of the Secretary, the President may execute with the foreign proponent.”</w:t>
      </w:r>
    </w:p>
    <w:p w:rsidR="00000000" w:rsidDel="00000000" w:rsidP="00000000" w:rsidRDefault="00000000" w:rsidRPr="00000000" w14:paraId="000004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3, 1995, then President Fidel V. Ramos approved Republic Act (RA) No. 7942 to “govern the exploration, development, utilization and processing of all mineral </w:t>
      </w:r>
      <w:r w:rsidDel="00000000" w:rsidR="00000000" w:rsidRPr="00000000">
        <w:rPr>
          <w:rFonts w:ascii="Georgia" w:cs="Georgia" w:eastAsia="Georgia" w:hAnsi="Georgia"/>
          <w:color w:val="000000"/>
          <w:sz w:val="22"/>
          <w:szCs w:val="22"/>
          <w:rtl w:val="0"/>
        </w:rPr>
        <w:t xml:space="preserve">resources.” Its Implementing Rules and Regulations were embodied in DENR</w:t>
      </w:r>
      <w:r w:rsidDel="00000000" w:rsidR="00000000" w:rsidRPr="00000000">
        <w:rPr>
          <w:rFonts w:ascii="Georgia" w:cs="Georgia" w:eastAsia="Georgia" w:hAnsi="Georgia"/>
          <w:sz w:val="22"/>
          <w:szCs w:val="22"/>
          <w:rtl w:val="0"/>
        </w:rPr>
        <w:t xml:space="preserve"> Administrative Order (DAO) No. 96-40, s. 1996, issued on December 20, 1996, by then DENR Secretary Victor O. Ramos. </w:t>
      </w:r>
    </w:p>
    <w:p w:rsidR="00000000" w:rsidDel="00000000" w:rsidP="00000000" w:rsidRDefault="00000000" w:rsidRPr="00000000" w14:paraId="000004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30, 1995, the President entered into a financial and technical assistance agreement (FTAA) with Western Mining Corporation Philippines, Inc. (WMCP) covering 99,387 hectares of land in South Cotabato, Sultan Kudarat, Davao del Sur and North Cotabato.</w:t>
      </w:r>
    </w:p>
    <w:p w:rsidR="00000000" w:rsidDel="00000000" w:rsidP="00000000" w:rsidRDefault="00000000" w:rsidRPr="00000000" w14:paraId="000004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10, 1997, counsels for petitioners sent a letter to the DENR secretary, demanding that the Department stop the implementation of RA 7942 and DAO No. 96-40. Subsequently, they filed before the Supreme Court a Petition for prohibition and mandamus, with a prayer for a temporary restraining order. They alleged that RA 7942 was unconstitutional, because it allowed fully foreign-owned corporations to explore, develop and exploit mineral resources in a manner contrary to Section 2 (paragraph 4) of Article XII of the Constitution. DENR DAO 96-40 allegedly allowed the taking of private property without a determination of public use and just compensation; the enjoyment of the nation’s wealth by foreign citizens and fully foreign-owned corporations, contrary to the Constitution; priority to fully foreign-owned corporations in the exploration, development and utilization of mineral resources; and the inequitable sharing of wealth, contrary to Section 1 (paragraph 1) and Section 2 (paragraph 4) of Article XII of the Constitution. Petitioners also claimed that the FTAA between the President of the Republic of the Philippines and WMCP was illegal and unconstitutional.</w:t>
      </w:r>
    </w:p>
    <w:p w:rsidR="00000000" w:rsidDel="00000000" w:rsidP="00000000" w:rsidRDefault="00000000" w:rsidRPr="00000000" w14:paraId="000004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WMCP subsequently filed before the Supreme Court a Manifestation, alleging that on January 23, 2001, WMC Resources International Pty., Ltd. (WMC), had sold all its shares in </w:t>
      </w:r>
      <w:r w:rsidDel="00000000" w:rsidR="00000000" w:rsidRPr="00000000">
        <w:rPr>
          <w:rFonts w:ascii="Georgia" w:cs="Georgia" w:eastAsia="Georgia" w:hAnsi="Georgia"/>
          <w:color w:val="000000"/>
          <w:sz w:val="22"/>
          <w:szCs w:val="22"/>
          <w:rtl w:val="0"/>
        </w:rPr>
        <w:t xml:space="preserve">WMCP to Sagittarius Mines, Inc. (“Sagittarius”), a corporation organized under Philippine</w:t>
      </w:r>
      <w:r w:rsidDel="00000000" w:rsidR="00000000" w:rsidRPr="00000000">
        <w:rPr>
          <w:rFonts w:ascii="Georgia" w:cs="Georgia" w:eastAsia="Georgia" w:hAnsi="Georgia"/>
          <w:sz w:val="22"/>
          <w:szCs w:val="22"/>
          <w:rtl w:val="0"/>
        </w:rPr>
        <w:t xml:space="preserve"> laws, at least 60 percent of the capital of which was owned by Filipinos and/or Filipino-owned corporations; and about 40 percent, by Indophil Resources NL, an Australian company. WMCP further claimed that, by the sale and transfer of shares, it had “ceased to be connected in any way with WMC.” Consequently, in an Order dated December 18, 2001, the DENR secretary approved the transfer -- from WMCP to Sagittarius -- as well as the registration, of the subject FTAA.</w:t>
      </w:r>
    </w:p>
    <w:p w:rsidR="00000000" w:rsidDel="00000000" w:rsidP="00000000" w:rsidRDefault="00000000" w:rsidRPr="00000000" w14:paraId="000004B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Original Decision</w:t>
      </w:r>
    </w:p>
    <w:p w:rsidR="00000000" w:rsidDel="00000000" w:rsidP="00000000" w:rsidRDefault="00000000" w:rsidRPr="00000000" w14:paraId="000004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several grounds raised by petitioners, only the first and the last were delved into by the Supreme Court in its original Decision[4] promulgated on January 27, 2004.[5]</w:t>
      </w:r>
    </w:p>
    <w:p w:rsidR="00000000" w:rsidDel="00000000" w:rsidP="00000000" w:rsidRDefault="00000000" w:rsidRPr="00000000" w14:paraId="000004B7">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Constitutional Provision Crucial to the Case</w:t>
      </w:r>
    </w:p>
    <w:p w:rsidR="00000000" w:rsidDel="00000000" w:rsidP="00000000" w:rsidRDefault="00000000" w:rsidRPr="00000000" w14:paraId="000004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core of the case is the proper interpretation of Section 2 of Article XII of the Constitution, which reads as follows:</w:t>
      </w:r>
    </w:p>
    <w:p w:rsidR="00000000" w:rsidDel="00000000" w:rsidP="00000000" w:rsidRDefault="00000000" w:rsidRPr="00000000" w14:paraId="000004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 All lands of the public domain, waters, minerals, coal, petroleum, and other mineral oils, all forces of potential energy, fisheries, forests or timber, wildlife, flora and fauna, and other natural resources are owned by the State. With the exception of agricultural lands, all other natural resources shall not be alienated. The exploration, development, and utilization of natural resources shall be under the full control and supervision of the State. The State may directly undertake such activities or it may enter into co-production, joint venture, or production-sharing agreements with Filipino citizens, or corporations or associations at least sixty per centum of whose capital is owned by such citizens. Such agreements may be for a period not exceeding twenty-five years, renewable for not more than twenty-five years, and under such terms and conditions as may be provided by law. In cases of water rights for irrigation, water supply, fisheries, or industrial uses other than the development of water power, beneficial use may be the measure and limit of the grant.</w:t>
      </w:r>
    </w:p>
    <w:p w:rsidR="00000000" w:rsidDel="00000000" w:rsidP="00000000" w:rsidRDefault="00000000" w:rsidRPr="00000000" w14:paraId="000004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 shall protect the nation’s marine wealth in its archipelagic waters, territorial sea, and exclusive economic zone, and reserve its use and enjoyment exclusively to Filipino citizens.</w:t>
      </w:r>
    </w:p>
    <w:p w:rsidR="00000000" w:rsidDel="00000000" w:rsidP="00000000" w:rsidRDefault="00000000" w:rsidRPr="00000000" w14:paraId="000004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Congress may, by law, allow small-scale utilization of natural resources by Filipino citizens, as well as cooperative fish farming, with priority to subsistence fishermen and fish-workers in rivers, lakes, bays, and lagoons.</w:t>
      </w:r>
    </w:p>
    <w:p w:rsidR="00000000" w:rsidDel="00000000" w:rsidP="00000000" w:rsidRDefault="00000000" w:rsidRPr="00000000" w14:paraId="000004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President may enter into agreements with foreign-owned corporations involving either technical or financial assistance for large-scale exploration, development, and utilization of minerals, petroleum, and other mineral oils according to the general terms and conditions provided by law, based on real contributions to the economic growth and ggeneral welfare of the country. In such agreements, the State shall promote the development and use of local scientific and technical resources.</w:t>
      </w:r>
    </w:p>
    <w:p w:rsidR="00000000" w:rsidDel="00000000" w:rsidP="00000000" w:rsidRDefault="00000000" w:rsidRPr="00000000" w14:paraId="000004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President shall notify the Congress of every contract entered into in accordance with this provision, within thirty days from its execution.”</w:t>
      </w:r>
    </w:p>
    <w:p w:rsidR="00000000" w:rsidDel="00000000" w:rsidP="00000000" w:rsidRDefault="00000000" w:rsidRPr="00000000" w14:paraId="000004B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Substantive Issues</w:t>
      </w:r>
    </w:p>
    <w:p w:rsidR="00000000" w:rsidDel="00000000" w:rsidP="00000000" w:rsidRDefault="00000000" w:rsidRPr="00000000" w14:paraId="000004B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RA 7942 Provisions on Service Contracts Unconstitutional</w:t>
      </w:r>
    </w:p>
    <w:p w:rsidR="00000000" w:rsidDel="00000000" w:rsidP="00000000" w:rsidRDefault="00000000" w:rsidRPr="00000000" w14:paraId="000004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tackling the substantive issues, the original Decision initially traced the historical evolution of the above provision -- from the Spanish regime, which espoused the Regalian doctrine; to the American Occupation, which featured the concession system; to the 1935 Constitution, which saw the nationalization of natural resources; to the Petroleum Act of 1949, which reverted to the concession system; and, finally, to Presidential Decree (PD) No. 87 and the 1973 Constitution, which allowed the service contract system. While insightful and informative, this historical presentation shall no longer be summarized here, for brevity’s sake.</w:t>
      </w:r>
    </w:p>
    <w:p w:rsidR="00000000" w:rsidDel="00000000" w:rsidP="00000000" w:rsidRDefault="00000000" w:rsidRPr="00000000" w14:paraId="000004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original Decision dissected the earlier-quoted constitutional provision as follows:</w:t>
      </w:r>
    </w:p>
    <w:p w:rsidR="00000000" w:rsidDel="00000000" w:rsidP="00000000" w:rsidRDefault="00000000" w:rsidRPr="00000000" w14:paraId="000004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1987 Constitution retained the Regalian doctrine, under which all lands of the public domain and all natural resources were deemed owned by the State.</w:t>
      </w:r>
    </w:p>
    <w:p w:rsidR="00000000" w:rsidDel="00000000" w:rsidP="00000000" w:rsidRDefault="00000000" w:rsidRPr="00000000" w14:paraId="000004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Like the 1935 and the 1973 Constitutions, the 1987 Constitution prohibited the alienation of natural resources, except agricultural lands.</w:t>
      </w:r>
    </w:p>
    <w:p w:rsidR="00000000" w:rsidDel="00000000" w:rsidP="00000000" w:rsidRDefault="00000000" w:rsidRPr="00000000" w14:paraId="000004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third sentence of the first paragraph was new: “The exploration, development and utilization of natural resources shall be under the full control and supervision of the State.” The constitutional policy of the State’s “full control and supervision” over natural resources proceeded from the concept of jura regalia, as well as a recognition of the importance of the country’s natural resources, not only for national economic development, but also for security and national defense. Under this provision, the State assumed “a more dynamic role” in the exploration, development and utilization of natural resources.</w:t>
      </w:r>
    </w:p>
    <w:p w:rsidR="00000000" w:rsidDel="00000000" w:rsidP="00000000" w:rsidRDefault="00000000" w:rsidRPr="00000000" w14:paraId="000004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Conspicuously absent in Section 2 was the proviso in the 1935 and the 1973 Constitutions authorizing the State to grant licenses, concessions, or leases for the exploration, development or utilization of natural resources. By that omission, the exploitation of inalienable lands of the public domain through those modes was no longer allowed under the 1987 Constitution.</w:t>
      </w:r>
    </w:p>
    <w:p w:rsidR="00000000" w:rsidDel="00000000" w:rsidP="00000000" w:rsidRDefault="00000000" w:rsidRPr="00000000" w14:paraId="000004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Consonant with the State’s “full supervision and control” over natural resources, Section 2 offered two options. One, the State may directly undertake those activities by itself; or, two, it may enter into co-production, joint venture, or production-sharing agreements with Filipino citizens or entities at least 60 percent of whose capital was owned by the citizens.</w:t>
      </w:r>
    </w:p>
    <w:p w:rsidR="00000000" w:rsidDel="00000000" w:rsidP="00000000" w:rsidRDefault="00000000" w:rsidRPr="00000000" w14:paraId="000004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third option was found in the third paragraph of the same section: “The Congress may, by law, allow small-scale utilization of natural resources by Filipino citizens, as well as cooperative fish farming, with priority to subsistence fishermen and fish-workers in rivers, lakes, bays, and lagoons.”</w:t>
      </w:r>
    </w:p>
    <w:p w:rsidR="00000000" w:rsidDel="00000000" w:rsidP="00000000" w:rsidRDefault="00000000" w:rsidRPr="00000000" w14:paraId="000004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A fourth option, under the fourth and the fifth paragraphs of Section 2, allowed the participation of foreign-owned corporations in the exploration, development, and utilization of natural resources, subject to certain limitations or conditions:</w:t>
      </w:r>
    </w:p>
    <w:p w:rsidR="00000000" w:rsidDel="00000000" w:rsidP="00000000" w:rsidRDefault="00000000" w:rsidRPr="00000000" w14:paraId="000004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only the President, on behalf of the State, may enter into these agreements, and only with corporations. By contrast, under the 1973 Constitution, a Filipino citizen, corporation or association may enter into a service contract with a “foreign person or entity.” </w:t>
      </w:r>
    </w:p>
    <w:p w:rsidR="00000000" w:rsidDel="00000000" w:rsidP="00000000" w:rsidRDefault="00000000" w:rsidRPr="00000000" w14:paraId="000004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only large-scale exploration, development, and utilization was allowed. The term “large-scale usually referred to very capital-intensive activities.”</w:t>
      </w:r>
    </w:p>
    <w:p w:rsidR="00000000" w:rsidDel="00000000" w:rsidP="00000000" w:rsidRDefault="00000000" w:rsidRPr="00000000" w14:paraId="000004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natural resources subject of the activities were restricted to minerals, petroleum and other mineral oils, the intent being to limit contracts to those areas where Filipino capital may not be sufficient. </w:t>
      </w:r>
    </w:p>
    <w:p w:rsidR="00000000" w:rsidDel="00000000" w:rsidP="00000000" w:rsidRDefault="00000000" w:rsidRPr="00000000" w14:paraId="000004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they must be in accordance with the terms and conditions provided by law.</w:t>
      </w:r>
    </w:p>
    <w:p w:rsidR="00000000" w:rsidDel="00000000" w:rsidP="00000000" w:rsidRDefault="00000000" w:rsidRPr="00000000" w14:paraId="000004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they must be based on real contributions to the economic growth and general welfare of the country. </w:t>
      </w:r>
    </w:p>
    <w:p w:rsidR="00000000" w:rsidDel="00000000" w:rsidP="00000000" w:rsidRDefault="00000000" w:rsidRPr="00000000" w14:paraId="000004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agreements must contain rudimentary stipulations for the promotion, development and use of local scientific and technical resources.</w:t>
      </w:r>
    </w:p>
    <w:p w:rsidR="00000000" w:rsidDel="00000000" w:rsidP="00000000" w:rsidRDefault="00000000" w:rsidRPr="00000000" w14:paraId="000004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the President shall notify Congress of every financial or technical assistance agreement entered into within thirty days from its execution. </w:t>
      </w:r>
    </w:p>
    <w:p w:rsidR="00000000" w:rsidDel="00000000" w:rsidP="00000000" w:rsidRDefault="00000000" w:rsidRPr="00000000" w14:paraId="000004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while the 1973 Constitution referred to “service contracts for financial, technical, management, or other forms of assistance,” the 1987 Constitution provided for “agreements... involving either financial or technical assistance.” The terms “service contracts” and “management or other forms of assistance,” found in the earlier Constitution, were omitted.</w:t>
      </w:r>
    </w:p>
    <w:p w:rsidR="00000000" w:rsidDel="00000000" w:rsidP="00000000" w:rsidRDefault="00000000" w:rsidRPr="00000000" w14:paraId="000004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original Decision, the Supreme Court held that, in accordance with the text of Section 2 of Article XII of the Constitution, FTAAs should be limited to technical or financial assistance only. They did not extend to the foreign-owned corporation’s management and operation of the mining activity. Quoting at length various exchanges between members of the 1987 Constitutional Commission and the working group behind a UP Law draft, the Court held that foreign contractors’ management or operation of mining activities -- the primary feature of service contracts under the 1973 Constitution -- was precisely the evil that the drafters of the 1987 Charter had sought to eradicate.</w:t>
      </w:r>
    </w:p>
    <w:p w:rsidR="00000000" w:rsidDel="00000000" w:rsidP="00000000" w:rsidRDefault="00000000" w:rsidRPr="00000000" w14:paraId="000004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 provision allowing the President to enter into FTAAs with foreign-owned corporations is an exception to the rule that participation in the nation’s natural resources is exclusive to Filipinos. Accordingly, such provision must be construed strictly.</w:t>
      </w:r>
    </w:p>
    <w:p w:rsidR="00000000" w:rsidDel="00000000" w:rsidP="00000000" w:rsidRDefault="00000000" w:rsidRPr="00000000" w14:paraId="000004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assumed “that the foreign contractor manages the mineral resources, just like the foreign contractor in a service contract,” based on the definitions of exploration, development, utilization, mineral processing, and mining operation; as well as the provision that an FTAA contractor warrants that it “has or has access to all the financing, managerial, and technical expertise...” provided under RA 7942. According to the original Decision, the latter proviso “suggests that an FTAA contractor is bound to provide some management assistance -- a form of assistance that has been eliminated and, therefore, proscribed by the present Charter.”</w:t>
      </w:r>
    </w:p>
    <w:p w:rsidR="00000000" w:rsidDel="00000000" w:rsidP="00000000" w:rsidRDefault="00000000" w:rsidRPr="00000000" w14:paraId="000004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ponencia concluded that “[b]y allowing foreign contractors to manage or operate all the aspects of the mining operation, the above-cited provisions of RA 7942 have in effect conveyed beneficial ownership over the nation’s mineral resources to these contractors, leaving the State with nothing but bare title thereto.” The Decision thus struck down the following provisions of the law:</w:t>
      </w:r>
    </w:p>
    <w:p w:rsidR="00000000" w:rsidDel="00000000" w:rsidP="00000000" w:rsidRDefault="00000000" w:rsidRPr="00000000" w14:paraId="000004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proviso in Section 3(aq), which defines ‘qualified person,’ to wit:</w:t>
      </w:r>
    </w:p>
    <w:p w:rsidR="00000000" w:rsidDel="00000000" w:rsidP="00000000" w:rsidRDefault="00000000" w:rsidRPr="00000000" w14:paraId="000004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‘Provided, That a legally organized foreign-owned corporation shall be deemed a qualified person for purposes of granting an exploration permit, financial or technical assistance agreement or mineral processing permit.’</w:t>
      </w:r>
    </w:p>
    <w:p w:rsidR="00000000" w:rsidDel="00000000" w:rsidP="00000000" w:rsidRDefault="00000000" w:rsidRPr="00000000" w14:paraId="000004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Section 23, which specifies the rights and obligations of an exploration permittee, insofar as said section applies to a financial or technical assistance agreement,</w:t>
      </w:r>
    </w:p>
    <w:p w:rsidR="00000000" w:rsidDel="00000000" w:rsidP="00000000" w:rsidRDefault="00000000" w:rsidRPr="00000000" w14:paraId="000004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Section 33, which prescribes the eligibility of a contractor in a financial or technical assistance agreement;</w:t>
      </w:r>
    </w:p>
    <w:p w:rsidR="00000000" w:rsidDel="00000000" w:rsidP="00000000" w:rsidRDefault="00000000" w:rsidRPr="00000000" w14:paraId="000004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Section 35, which enumerates the terms and conditions for every financial or technical assistance agreement;</w:t>
      </w:r>
    </w:p>
    <w:p w:rsidR="00000000" w:rsidDel="00000000" w:rsidP="00000000" w:rsidRDefault="00000000" w:rsidRPr="00000000" w14:paraId="000004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Section 39, which allows the contractor in a financial and technical assistance agreement to convert the same into a mineral production-sharing agreement;</w:t>
      </w:r>
    </w:p>
    <w:p w:rsidR="00000000" w:rsidDel="00000000" w:rsidP="00000000" w:rsidRDefault="00000000" w:rsidRPr="00000000" w14:paraId="000004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Section 56, which authorizes the issuance of a mineral processing permit to a contractor in a financial and technical assistance agreement;</w:t>
      </w:r>
    </w:p>
    <w:p w:rsidR="00000000" w:rsidDel="00000000" w:rsidP="00000000" w:rsidRDefault="00000000" w:rsidRPr="00000000" w14:paraId="000004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provisions of the same Act are likewise void as they are dependent on the foregoing provisions and cannot stand on their own:</w:t>
      </w:r>
    </w:p>
    <w:p w:rsidR="00000000" w:rsidDel="00000000" w:rsidP="00000000" w:rsidRDefault="00000000" w:rsidRPr="00000000" w14:paraId="000004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Section 3(g), which defines the term ‘contractor,’ insofar as it applies to a financial or technical assistance agreement.</w:t>
      </w:r>
    </w:p>
    <w:p w:rsidR="00000000" w:rsidDel="00000000" w:rsidP="00000000" w:rsidRDefault="00000000" w:rsidRPr="00000000" w14:paraId="000004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34, which prescribes the maximum contract area in a financial or technical assistance agreements;</w:t>
      </w:r>
    </w:p>
    <w:p w:rsidR="00000000" w:rsidDel="00000000" w:rsidP="00000000" w:rsidRDefault="00000000" w:rsidRPr="00000000" w14:paraId="000004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36, which allows negotiations for financial or technical assistance agreements;</w:t>
      </w:r>
    </w:p>
    <w:p w:rsidR="00000000" w:rsidDel="00000000" w:rsidP="00000000" w:rsidRDefault="00000000" w:rsidRPr="00000000" w14:paraId="000004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37, which prescribes the procedure for filing and evaluation of financial or technical assistance agreement proposals;</w:t>
      </w:r>
    </w:p>
    <w:p w:rsidR="00000000" w:rsidDel="00000000" w:rsidP="00000000" w:rsidRDefault="00000000" w:rsidRPr="00000000" w14:paraId="000004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38, which limits the term of financial or technical assistance agreements;</w:t>
      </w:r>
    </w:p>
    <w:p w:rsidR="00000000" w:rsidDel="00000000" w:rsidP="00000000" w:rsidRDefault="00000000" w:rsidRPr="00000000" w14:paraId="000004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40, which allows the assignment or transfer of financial or technical assistance agreements;</w:t>
      </w:r>
    </w:p>
    <w:p w:rsidR="00000000" w:rsidDel="00000000" w:rsidP="00000000" w:rsidRDefault="00000000" w:rsidRPr="00000000" w14:paraId="000004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41, which allows the withdrawal of the contractor in an FTAA;</w:t>
      </w:r>
    </w:p>
    <w:p w:rsidR="00000000" w:rsidDel="00000000" w:rsidP="00000000" w:rsidRDefault="00000000" w:rsidRPr="00000000" w14:paraId="000004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and third paragraphs of Section 81, which provide for the Government’s share in a financial and technical assistance agreement; and</w:t>
      </w:r>
    </w:p>
    <w:p w:rsidR="00000000" w:rsidDel="00000000" w:rsidP="00000000" w:rsidRDefault="00000000" w:rsidRPr="00000000" w14:paraId="000004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90, which provides for incentives to contractors in FTAAs insofar as it applies to said contractors.” [Quoted provisions of the law omitted.]</w:t>
      </w:r>
    </w:p>
    <w:p w:rsidR="00000000" w:rsidDel="00000000" w:rsidP="00000000" w:rsidRDefault="00000000" w:rsidRPr="00000000" w14:paraId="000004E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WMCP FTAA Unconstitutional</w:t>
      </w:r>
    </w:p>
    <w:p w:rsidR="00000000" w:rsidDel="00000000" w:rsidP="00000000" w:rsidRDefault="00000000" w:rsidRPr="00000000" w14:paraId="000004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being a constitutionally prohibited service contract, the WMCP FTAA was also nullified by the Court. The following stipulations supposedly granted WMCP beneficial ownership of natural resources that properly belonged to the State and were intended for the benefit of its citizens:</w:t>
      </w:r>
    </w:p>
    <w:p w:rsidR="00000000" w:rsidDel="00000000" w:rsidP="00000000" w:rsidRDefault="00000000" w:rsidRPr="00000000" w14:paraId="000004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Section 1.3, granting WMCP “the exclusive right to explore, exploit, utilise[,] process and dispose of all Minerals products and by-products thereof that may be produced from the Contract Area”</w:t>
      </w:r>
    </w:p>
    <w:p w:rsidR="00000000" w:rsidDel="00000000" w:rsidP="00000000" w:rsidRDefault="00000000" w:rsidRPr="00000000" w14:paraId="000004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Provisions giving WMCP the following rights:</w:t>
      </w:r>
    </w:p>
    <w:p w:rsidR="00000000" w:rsidDel="00000000" w:rsidP="00000000" w:rsidRDefault="00000000" w:rsidRPr="00000000" w14:paraId="000004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to extract and carry away any mineral samples from the Contract area for the purpose of conducting tests and studies in respect thereof; </w:t>
      </w:r>
    </w:p>
    <w:p w:rsidR="00000000" w:rsidDel="00000000" w:rsidP="00000000" w:rsidRDefault="00000000" w:rsidRPr="00000000" w14:paraId="000004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to determine the mining and treatment processes to be utilised during the Development/Operating Period and the project facilities to be constructed during the Development and Construction Period; </w:t>
      </w:r>
    </w:p>
    <w:p w:rsidR="00000000" w:rsidDel="00000000" w:rsidP="00000000" w:rsidRDefault="00000000" w:rsidRPr="00000000" w14:paraId="000004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have the right of possession of the Contract Area, with full right of ingress and egress and the right to occupy the same, subject to the provisions of Presidential Decree No. 512 (if applicable) and not be prevented from entry into private lands by surface owners and/or occupants thereof when prospecting, exploring and exploiting for minerals therein; </w:t>
      </w:r>
    </w:p>
    <w:p w:rsidR="00000000" w:rsidDel="00000000" w:rsidP="00000000" w:rsidRDefault="00000000" w:rsidRPr="00000000" w14:paraId="000004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 </w:t>
      </w:r>
    </w:p>
    <w:p w:rsidR="00000000" w:rsidDel="00000000" w:rsidP="00000000" w:rsidRDefault="00000000" w:rsidRPr="00000000" w14:paraId="000004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 to construct roadways, mining, drainage, power generation and transmission facilities and all other types of works on the Contract Area; </w:t>
      </w:r>
    </w:p>
    <w:p w:rsidR="00000000" w:rsidDel="00000000" w:rsidP="00000000" w:rsidRDefault="00000000" w:rsidRPr="00000000" w14:paraId="000004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 to erect, install or place any type of improvements, supplies, machinery and other equipment relating to the Mining Operations and to use, sell or otherwise dispose of, modify, remove or diminish any and all parts thereof; </w:t>
      </w:r>
    </w:p>
    <w:p w:rsidR="00000000" w:rsidDel="00000000" w:rsidP="00000000" w:rsidRDefault="00000000" w:rsidRPr="00000000" w14:paraId="000004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 enjoy, subject to pertinent laws, rules and regulations and the rights of third Parties, easement rights and the use of timber, sand, clay, stone, water and other natural resources in the Contract Area without cost for the purposes of the Mining Operations; </w:t>
      </w:r>
    </w:p>
    <w:p w:rsidR="00000000" w:rsidDel="00000000" w:rsidP="00000000" w:rsidRDefault="00000000" w:rsidRPr="00000000" w14:paraId="000004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 </w:t>
      </w:r>
    </w:p>
    <w:p w:rsidR="00000000" w:rsidDel="00000000" w:rsidP="00000000" w:rsidRDefault="00000000" w:rsidRPr="00000000" w14:paraId="000004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 have the right to mortgage, charge or encumber all or part of its interest and obligations under this Agreement, the plant, equipment and infrastructure and the Minerals produced from the Mining Operations; x x x.”</w:t>
      </w:r>
    </w:p>
    <w:p w:rsidR="00000000" w:rsidDel="00000000" w:rsidP="00000000" w:rsidRDefault="00000000" w:rsidRPr="00000000" w14:paraId="000004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Section 11, stating that the materials, equipment, plant and other installations placed in</w:t>
      </w:r>
    </w:p>
    <w:p w:rsidR="00000000" w:rsidDel="00000000" w:rsidP="00000000" w:rsidRDefault="00000000" w:rsidRPr="00000000" w14:paraId="000004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Contract Area would remain the property of WMCP, which may remove those items within twelve months from the termination of the FTAA</w:t>
      </w:r>
    </w:p>
    <w:p w:rsidR="00000000" w:rsidDel="00000000" w:rsidP="00000000" w:rsidRDefault="00000000" w:rsidRPr="00000000" w14:paraId="000004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Section 1.2, charging WMCP with the provision of “[all] financing, technology, management and personnel necessary for the Mining Operations”; and “all materials, labour, equipment and other installations that may be required for carrying on all Mining Operations”; and, in turn, allowing WMCP to make expansions, improvements and replacements of the mining facilities, as well as to add any new facilities it would consider necessary for the mining operations</w:t>
      </w:r>
    </w:p>
    <w:p w:rsidR="00000000" w:rsidDel="00000000" w:rsidP="00000000" w:rsidRDefault="00000000" w:rsidRPr="00000000" w14:paraId="000004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however, held that the President may enter into an agreement involving both technical and financial assistance with just one foreign corporation. It would supposedly be absurd to force the government to contract with two foreign corporations over the same mining area -- one corporation for financial assistance and the other for technical assistance -- even if one had the capability to provide both technical and financial assistance.</w:t>
      </w:r>
    </w:p>
    <w:p w:rsidR="00000000" w:rsidDel="00000000" w:rsidP="00000000" w:rsidRDefault="00000000" w:rsidRPr="00000000" w14:paraId="000004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original Decision disposed as follows:</w:t>
      </w:r>
    </w:p>
    <w:p w:rsidR="00000000" w:rsidDel="00000000" w:rsidP="00000000" w:rsidRDefault="00000000" w:rsidRPr="00000000" w14:paraId="000004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“WHEREFORE, the petition is GRANTED. The Court hereby declares unconstitutional and void:</w:t>
      </w:r>
    </w:p>
    <w:p w:rsidR="00000000" w:rsidDel="00000000" w:rsidP="00000000" w:rsidRDefault="00000000" w:rsidRPr="00000000" w14:paraId="000004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following provisions of Republic Act No. 7942:</w:t>
        <w:br w:type="textWrapping"/>
        <w:t xml:space="preserve">(a) The proviso in Section 3(aq),</w:t>
        <w:br w:type="textWrapping"/>
        <w:t xml:space="preserve">(b) Section 23,</w:t>
        <w:br w:type="textWrapping"/>
        <w:t xml:space="preserve">(c) Section 33 to 41,</w:t>
        <w:br w:type="textWrapping"/>
        <w:t xml:space="preserve">(d) Section 56,</w:t>
        <w:br w:type="textWrapping"/>
        <w:t xml:space="preserve">(e) The second and third paragraphs of Section 81, and</w:t>
        <w:br w:type="textWrapping"/>
        <w:t xml:space="preserve">(f) Section 90.</w:t>
      </w:r>
    </w:p>
    <w:p w:rsidR="00000000" w:rsidDel="00000000" w:rsidP="00000000" w:rsidRDefault="00000000" w:rsidRPr="00000000" w14:paraId="000004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All provisions of Department of Environment and Natural Resources Administrative Order 96-40, s. 1996 which are not in conformity with this Decision, and</w:t>
      </w:r>
    </w:p>
    <w:p w:rsidR="00000000" w:rsidDel="00000000" w:rsidP="00000000" w:rsidRDefault="00000000" w:rsidRPr="00000000" w14:paraId="000004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Financial and Technical Assistance Agreement between the Government of the Republic of the Philippines and WMC Philippines, Inc.”</w:t>
      </w:r>
    </w:p>
    <w:p w:rsidR="00000000" w:rsidDel="00000000" w:rsidP="00000000" w:rsidRDefault="00000000" w:rsidRPr="00000000" w14:paraId="000004F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Separate Opinions</w:t>
      </w:r>
    </w:p>
    <w:p w:rsidR="00000000" w:rsidDel="00000000" w:rsidP="00000000" w:rsidRDefault="00000000" w:rsidRPr="00000000" w14:paraId="000004FD">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Vitug Separate Opinion</w:t>
      </w:r>
    </w:p>
    <w:p w:rsidR="00000000" w:rsidDel="00000000" w:rsidP="00000000" w:rsidRDefault="00000000" w:rsidRPr="00000000" w14:paraId="000004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Jose C. Vitug joined the majority in invalidating the following portions of RA 7942: (a) Section 3(aq), which considered a foreign-owned corporation qualified not only to enter into financial or technical assistance agreements, but also to obtain an exploration or mineral processing permit; b) Section 35(g), (l), (m), which stated the rights and obligations of a foreign-owned corporation pursuant to its “mining operations”; and c) Section 56, which provided that foreign-owned or controlled corporations were eligible to be granted a mineral processing permit.</w:t>
      </w:r>
    </w:p>
    <w:p w:rsidR="00000000" w:rsidDel="00000000" w:rsidP="00000000" w:rsidRDefault="00000000" w:rsidRPr="00000000" w14:paraId="000004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dissented, however, insofar as the original Decision nullified the WMCP FTAA and held that the use of the terms “agreements x x x involving either technical or financial assistance” in the 1987 Constitution -- in lieu of “service contracts” found in the 1973 Charter - - reflected the intention of the framers to disallow service contracts with foreign entities for the exploration and exploitation of the country’s natural resources.</w:t>
      </w:r>
    </w:p>
    <w:p w:rsidR="00000000" w:rsidDel="00000000" w:rsidP="00000000" w:rsidRDefault="00000000" w:rsidRPr="00000000" w14:paraId="000005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Quoting exchanges among the constitutional commissioners, he concluded that the framers of the Charter had not intended to limit the contracts that the President may enter into to mere “agreements for financial and technical assistance.” Instead, in order to uphold and strengthen the national policy of preserving and developing the country’s natural resources exclusively for the Filipino people, they provided for safeguards to prevent the execution of service contracts of the old regime, but not of service contracts per se.</w:t>
      </w:r>
    </w:p>
    <w:p w:rsidR="00000000" w:rsidDel="00000000" w:rsidP="00000000" w:rsidRDefault="00000000" w:rsidRPr="00000000" w14:paraId="0000050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My Dissenting Opinion</w:t>
      </w:r>
    </w:p>
    <w:p w:rsidR="00000000" w:rsidDel="00000000" w:rsidP="00000000" w:rsidRDefault="00000000" w:rsidRPr="00000000" w14:paraId="000005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initially urged the Court to dismiss the Petition on the ground of mootness; a decision on the constitutionality issue should await a live case before the Court.</w:t>
      </w:r>
    </w:p>
    <w:p w:rsidR="00000000" w:rsidDel="00000000" w:rsidP="00000000" w:rsidRDefault="00000000" w:rsidRPr="00000000" w14:paraId="000005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nullity of the assailed FTAA was unarguably premised upon the contractor being a foreign corporation. All the shares of WMC in WMCP, however, had been sold to Sagittarius Mines, Inc., in which 60 percent of the equity was Filipino-owned. The assailed FTAA had likewise been transferred from WMCP to Sagittarius. The conveyance of the FTAA to a Filipino corporation was like the sale of land to a foreigner who subsequently acquires Filipino citizenship, or who later resells the property to a Filipino citizen. The conveyance would be validated, as the property in question would no longer be owned by a disqualified vendee.</w:t>
      </w:r>
    </w:p>
    <w:p w:rsidR="00000000" w:rsidDel="00000000" w:rsidP="00000000" w:rsidRDefault="00000000" w:rsidRPr="00000000" w14:paraId="000005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being no more justiciable controversy, the plea to nullify the Mining Law became a virtual petition for declaratory relief, over which the Supreme Court had no original jurisdiction.</w:t>
      </w:r>
    </w:p>
    <w:p w:rsidR="00000000" w:rsidDel="00000000" w:rsidP="00000000" w:rsidRDefault="00000000" w:rsidRPr="00000000" w14:paraId="000005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merits, I also urged dismissal of the Petition. The drafters’ choice and use of the phrase “agreements x x x involving x x x technical or financial assistance” did not absolutely indicate the intent to exclude other modes of assistance. Rather, the phrase signified the possibility of the inclusion of other activities, provided they bore some reasonable relationship to and compatibility with financial or technical assistance.</w:t>
      </w:r>
    </w:p>
    <w:p w:rsidR="00000000" w:rsidDel="00000000" w:rsidP="00000000" w:rsidRDefault="00000000" w:rsidRPr="00000000" w14:paraId="000005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Constitution still recognizes and allows service contracts, albeit subject to several restrictions and modifications aimed at avoiding the pitfalls of the past, as shown by excerpts from the deliberations of the Constitutional Commission (ConCom), in which the members discussed “technical or financial agreements” in the same breath as “service contracts” and used the terms interchangeably. It would appear from their lengthy discussions when they were crafting and polishing the provisions dealing with financial and/or technical assistance agreements that they actually had in mind the Marcos-era service contracts that they were familiar with, but which they duly modified and restricted so as to prevent abuses. These provisions ultimately became the fourth and the fifth paragraphs of Section 2 of Article XII of the 1987 Constitution.</w:t>
      </w:r>
    </w:p>
    <w:p w:rsidR="00000000" w:rsidDel="00000000" w:rsidP="00000000" w:rsidRDefault="00000000" w:rsidRPr="00000000" w14:paraId="000005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Tantamount to closing one’s eyes to reality is the insistence that the term “agreements involving technical or financial assistance” refers only to purely technical or financial assistance to be rendered to the State by a foreign corporation (and must perforce exclude management and other forms of assistance). Nowadays, securing the kind of financial assistance required by large-scale explorations, which involve hundreds of millions of dollars, is not just a matter of signing a simple promissory note in favor of a lender. Prudent lending practices necessitate a certain degree of involvement in the borrower’s management process.</w:t>
      </w:r>
    </w:p>
    <w:p w:rsidR="00000000" w:rsidDel="00000000" w:rsidP="00000000" w:rsidRDefault="00000000" w:rsidRPr="00000000" w14:paraId="000005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 proposed the holding of an oral argument to include the subject of international lending practices and how they would impact on our constitutional restrictions, so that the Court would find out what kinds of FTAA provisions were realistic vis-à-vis international standards and our constitutional protection. If this Court closed its doors to those international realities and unilaterally set up its own concept of strict technical and financial assistance, then it might unwittingly make the country a virtual hermit -- an economic isolationist -- in the real world of finance.</w:t>
      </w:r>
    </w:p>
    <w:p w:rsidR="00000000" w:rsidDel="00000000" w:rsidP="00000000" w:rsidRDefault="00000000" w:rsidRPr="00000000" w14:paraId="000005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believed that the ConCom did not mean to tie the hands of the President and restrict the latter only to agreements on rigid financial and technical assistance and nothing else. The commissioners fully realized that their work would have to withstand the test of time; that the Charter, though crafted with the wisdom born of past experiences and lessons painfully learned, would have to be a living document that would answer the needs of the nation well into the future. Thus, their unerring emphasis on flexibility and adaptability.</w:t>
      </w:r>
    </w:p>
    <w:p w:rsidR="00000000" w:rsidDel="00000000" w:rsidP="00000000" w:rsidRDefault="00000000" w:rsidRPr="00000000" w14:paraId="0000050A">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Subsequent Resolution Reversing the Original Decision</w:t>
      </w:r>
    </w:p>
    <w:p w:rsidR="00000000" w:rsidDel="00000000" w:rsidP="00000000" w:rsidRDefault="00000000" w:rsidRPr="00000000" w14:paraId="000005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filed separate Motions for Reconsideration, after which the Court en banc called the case for Oral Argument on the following issues:</w:t>
      </w:r>
    </w:p>
    <w:p w:rsidR="00000000" w:rsidDel="00000000" w:rsidP="00000000" w:rsidRDefault="00000000" w:rsidRPr="00000000" w14:paraId="000005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Had the case been rendered moot by the sale of the WMC shares in WMCP to Sagittarius; and by the subsequent transfer from WMCP to Sagittarius, as well as the registration, of the FTAA?</w:t>
      </w:r>
    </w:p>
    <w:p w:rsidR="00000000" w:rsidDel="00000000" w:rsidP="00000000" w:rsidRDefault="00000000" w:rsidRPr="00000000" w14:paraId="000005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Assuming that the case had been rendered moot, would it still be proper to resolve the constitutionality of the assailed provisions of the Mining Law, DAO 96-40 and the WMCP FTAA?</w:t>
      </w:r>
    </w:p>
    <w:p w:rsidR="00000000" w:rsidDel="00000000" w:rsidP="00000000" w:rsidRDefault="00000000" w:rsidRPr="00000000" w14:paraId="000005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What was the proper interpretation of the phrase “Agreements Involving Either</w:t>
      </w:r>
    </w:p>
    <w:p w:rsidR="00000000" w:rsidDel="00000000" w:rsidP="00000000" w:rsidRDefault="00000000" w:rsidRPr="00000000" w14:paraId="000005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Technical or Financial Assistance” contained in Section 2 (paragraph 4) of Article XII of the Constitution?</w:t>
      </w:r>
    </w:p>
    <w:p w:rsidR="00000000" w:rsidDel="00000000" w:rsidP="00000000" w:rsidRDefault="00000000" w:rsidRPr="00000000" w14:paraId="0000051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Non-Interference Policy</w:t>
      </w:r>
    </w:p>
    <w:p w:rsidR="00000000" w:rsidDel="00000000" w:rsidP="00000000" w:rsidRDefault="00000000" w:rsidRPr="00000000" w14:paraId="00000511">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In reversing its original Decision, the Court[25] emphasized the doctrine that the judiciary should not inordinately interfere in the exercise of the presidential power of control granted by the Constitution. Specifically, Article XII authorized the Chief Executive to “enter into agreements with foreign owned corporations” over the exploration, development and utilization of our natural resources. Congress may review the action of the President, once it is notified of “every contract entered into in accordance with this [constitutional] provision within thirty days from its execution.” Only if grave abuse of discretion was committed in this regard by the President and/or Congress may the courts, in a proper case, exercise their residual duty </w:t>
      </w:r>
      <w:r w:rsidDel="00000000" w:rsidR="00000000" w:rsidRPr="00000000">
        <w:rPr>
          <w:rFonts w:ascii="Georgia" w:cs="Georgia" w:eastAsia="Georgia" w:hAnsi="Georgia"/>
          <w:color w:val="000000"/>
          <w:sz w:val="22"/>
          <w:szCs w:val="22"/>
          <w:rtl w:val="0"/>
        </w:rPr>
        <w:t xml:space="preserve">under Article VIII.[26]</w:t>
      </w:r>
    </w:p>
    <w:p w:rsidR="00000000" w:rsidDel="00000000" w:rsidP="00000000" w:rsidRDefault="00000000" w:rsidRPr="00000000" w14:paraId="000005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Resolution I penned on behalf of the Court enunciated this all-embracing judicial policy:</w:t>
      </w:r>
    </w:p>
    <w:p w:rsidR="00000000" w:rsidDel="00000000" w:rsidP="00000000" w:rsidRDefault="00000000" w:rsidRPr="00000000" w14:paraId="000005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should be read in broad, life-giving strokes. It should not be used to strangulate economic growth or to serve narrow, parochial interests. Rather, it should be construed to grant the President and Congress sufficient discretion and reasonable leeway to enable them to attract foreign investments and expertise, as well as to secure for our people and our posterity the blessings of prosperity and peace.”</w:t>
      </w:r>
    </w:p>
    <w:p w:rsidR="00000000" w:rsidDel="00000000" w:rsidP="00000000" w:rsidRDefault="00000000" w:rsidRPr="00000000" w14:paraId="000005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recall, the original Decision declared certain provisions of RA 7942 and its implementing regulations unconstitutional. It also nullified the entire FTAA executed between the government and WMCP, mainly on the finding that FTAAs were similar to service contracts that were allegedly prohibited by the 1987 Constitution.</w:t>
      </w:r>
    </w:p>
    <w:p w:rsidR="00000000" w:rsidDel="00000000" w:rsidP="00000000" w:rsidRDefault="00000000" w:rsidRPr="00000000" w14:paraId="000005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Case Rendered Moot by the Transfer of the FTAA to a Filipino Corporation</w:t>
      </w:r>
    </w:p>
    <w:p w:rsidR="00000000" w:rsidDel="00000000" w:rsidP="00000000" w:rsidRDefault="00000000" w:rsidRPr="00000000" w14:paraId="000005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stated in my Dissenting Opinion on the original Decision, the crux of the issue of mootness was the fact that WMCP, at the time it entered into the FTAA, was wholly foreignowned. It was no longer possible for the Court to declare the Agreement unconstitutional, inasmuch as 60 percent of the shares of WMCP (now Sagittarius) had been transferred to a Filipino-owned corporation, and the FTAA would henceforth be implemented by a Filipino entity. The objective of the Constitution -- to keep the exploration, development and utilization of our natural resources in Filipino hands -- had been served. Nevertheless, petitioners asserted that a Filipino corporation was not allowed by the Constitution to enter into an FTAA with the government. Hence, the matter had to be ruled on.</w:t>
      </w:r>
    </w:p>
    <w:p w:rsidR="00000000" w:rsidDel="00000000" w:rsidP="00000000" w:rsidRDefault="00000000" w:rsidRPr="00000000" w14:paraId="000005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textual analysis of the first paragraph of Section 2[28] of Article XII did not support petitioners’ argument. Nowhere in the provision was there any express limitation or restriction barring Filipino corporations from entering into FTAAs with the government.</w:t>
      </w:r>
    </w:p>
    <w:p w:rsidR="00000000" w:rsidDel="00000000" w:rsidP="00000000" w:rsidRDefault="00000000" w:rsidRPr="00000000" w14:paraId="000005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Immediate Resolution of Constitutionality Issue Dictated by Public Interest</w:t>
      </w:r>
    </w:p>
    <w:p w:rsidR="00000000" w:rsidDel="00000000" w:rsidP="00000000" w:rsidRDefault="00000000" w:rsidRPr="00000000" w14:paraId="000005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the mootness of the case, the Petition should have been dismissed. The Supreme Court, however, recognized “the exceptional character of the situation and the paramount public interest involved, as well as the necessity to put an end to the uncertainties plaguing the mining industry and the affected communities as a result of doubts cast upon the constitutionality of the Mining Act, the subject and future FTAAs, and the need to avert a multiplicity of suits.” Paraphrasing Gonzales v. Commission on Elections, it was evident that strong reasons of public policy demanded that the constitutionality issue be resolved then.</w:t>
      </w:r>
    </w:p>
    <w:p w:rsidR="00000000" w:rsidDel="00000000" w:rsidP="00000000" w:rsidRDefault="00000000" w:rsidRPr="00000000" w14:paraId="000005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Proper Interpretation of Section 2 (Paragraph 4) of Article XII of the Constitution</w:t>
      </w:r>
    </w:p>
    <w:p w:rsidR="00000000" w:rsidDel="00000000" w:rsidP="00000000" w:rsidRDefault="00000000" w:rsidRPr="00000000" w14:paraId="000005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main issue in this case was whether paragraph 4 of Section 2 of Article XII of the Constitution was contravened by RA 7942 and DAO 96-40, not whether it was violated by specific acts implementing the last two mentioned. For ease of reference and in consonance with verba legis, the Resolution stratified the entire provision as follows:</w:t>
      </w:r>
    </w:p>
    <w:p w:rsidR="00000000" w:rsidDel="00000000" w:rsidP="00000000" w:rsidRDefault="00000000" w:rsidRPr="00000000" w14:paraId="000005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All natural resources are owned by the State and, except for agricultural lands, they cannot be alienated. </w:t>
      </w:r>
    </w:p>
    <w:p w:rsidR="00000000" w:rsidDel="00000000" w:rsidP="00000000" w:rsidRDefault="00000000" w:rsidRPr="00000000" w14:paraId="000005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exploration, development and utilization (EDU) of natural resources shall be under the full control and supervision of the State. </w:t>
      </w:r>
    </w:p>
    <w:p w:rsidR="00000000" w:rsidDel="00000000" w:rsidP="00000000" w:rsidRDefault="00000000" w:rsidRPr="00000000" w14:paraId="000005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State may undertake these EDU activities through either of the following: </w:t>
      </w:r>
    </w:p>
    <w:p w:rsidR="00000000" w:rsidDel="00000000" w:rsidP="00000000" w:rsidRDefault="00000000" w:rsidRPr="00000000" w14:paraId="000005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By itself directly and solely</w:t>
      </w:r>
    </w:p>
    <w:p w:rsidR="00000000" w:rsidDel="00000000" w:rsidP="00000000" w:rsidRDefault="00000000" w:rsidRPr="00000000" w14:paraId="000005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By (i) co-production; (ii) joint venture; or (iii) production-sharing agreements with Filipino citizens or corporations, at least 60 percent of the capital of which was owned by them. </w:t>
      </w:r>
    </w:p>
    <w:p w:rsidR="00000000" w:rsidDel="00000000" w:rsidP="00000000" w:rsidRDefault="00000000" w:rsidRPr="00000000" w14:paraId="000005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Small-scale utilization of natural resources may be allowed by law in favor of Filipino citizens.</w:t>
      </w:r>
    </w:p>
    <w:p w:rsidR="00000000" w:rsidDel="00000000" w:rsidP="00000000" w:rsidRDefault="00000000" w:rsidRPr="00000000" w14:paraId="000005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For the large-scale EDU of minerals, petroleum and other mineral oils, the President may enter into “agreements with foreign-owned corporations involving either technical or financial assistance according to the general terms and conditions provided by law x x x.”</w:t>
      </w:r>
    </w:p>
    <w:p w:rsidR="00000000" w:rsidDel="00000000" w:rsidP="00000000" w:rsidRDefault="00000000" w:rsidRPr="00000000" w14:paraId="000005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drafters’ use of the phrase “agreements x x x involving either technical or financial assistance” does not indicate the intent to exclude other modes of assistance from foreign corporations. The use of the word “involving” signifies the possibility of the inclusion of other forms of assistance or activities having to do with, related to, or compatible with financial or technical assistance.</w:t>
      </w:r>
    </w:p>
    <w:p w:rsidR="00000000" w:rsidDel="00000000" w:rsidP="00000000" w:rsidRDefault="00000000" w:rsidRPr="00000000" w14:paraId="000005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Restricting foreign companies to the government only financial or technical assistance necessarily implies that the State itself is the one directly and solely undertaking the large-scale EDU of a mineral resource. After a reality check, however, one will have to admit the implausibility of the State’s direct undertaking of a large-scale EDU of minerals, petroleum and other mineral oils. This endeavor entails not only humongous capital requirements -- which the government does not have -- but also the attendant risk of never finding and developing economically viable quantities of minerals, petroleum and other mineral oils.</w:t>
      </w:r>
    </w:p>
    <w:p w:rsidR="00000000" w:rsidDel="00000000" w:rsidP="00000000" w:rsidRDefault="00000000" w:rsidRPr="00000000" w14:paraId="000005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drafters’ inclusion of the clause “technical or financial assistance” recognized the fact that foreign business entities and multinational corporations were the ones with the resources and know-how to provide the technical and/or financial assistance required for a large-scale EDU of these resources. They necessarily gave implied assent to everything that the Agreements necessarily entailed, or that could reasonably be deemed necessary to make them tenable and effective. Among these conditions were management of the day-to-day operations of the enterprise and measures for the protection of the interests of the foreign corporation, PROVIDED THAT Philippine sovereignty over natural resources and full control over the undertaking would remain firmly in the State.</w:t>
      </w:r>
    </w:p>
    <w:p w:rsidR="00000000" w:rsidDel="00000000" w:rsidP="00000000" w:rsidRDefault="00000000" w:rsidRPr="00000000" w14:paraId="000005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there was not even any transitory provision that would confirm the theory that the omission of the term “service contract” from the 1987 Constitution signaled the demise of service contracts, many of which were then still in force and effect. On the contrary, pertinent portions of the deliberations of the members of the Constitutional Commission conclusively showed that they had discussed “service contracts” in the same breath as “agreements involving either technical or financial assistance” and had used the terms interchangeably. </w:t>
      </w:r>
    </w:p>
    <w:p w:rsidR="00000000" w:rsidDel="00000000" w:rsidP="00000000" w:rsidRDefault="00000000" w:rsidRPr="00000000" w14:paraId="000005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final version is that the service contracts may be entered into only with respect to minerals, petroleum and other mineral oils, subject to several safeguards.</w:t>
      </w:r>
    </w:p>
    <w:p w:rsidR="00000000" w:rsidDel="00000000" w:rsidP="00000000" w:rsidRDefault="00000000" w:rsidRPr="00000000" w14:paraId="000005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C">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Concept of “Control”</w:t>
      </w:r>
    </w:p>
    <w:p w:rsidR="00000000" w:rsidDel="00000000" w:rsidP="00000000" w:rsidRDefault="00000000" w:rsidRPr="00000000" w14:paraId="000005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reversing its Decision of January 27, 2004, the Court nonetheless pointed out that “full control and supervision” could not be taken literally to mean that the State controlled and supervised everything involved -- down to the minutest details -- and made all decisions required, in the mining operations. This strained concept of control and supervision would render impossible the legitimate exercise by the contractors of a reasonable degree of management prerogative and authority necessary and indispensable to their proper functioning.</w:t>
      </w:r>
    </w:p>
    <w:p w:rsidR="00000000" w:rsidDel="00000000" w:rsidP="00000000" w:rsidRDefault="00000000" w:rsidRPr="00000000" w14:paraId="000005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concept of control under Section 2 of Article XII must be taken to mean less than dictatorial and all-encompassing control, but nevertheless sufficient for the State to direct, restrain, regulate and govern the affairs of the extractive enterprises. Control by the State may be on a macro level, through the establishment of policies, guidelines, regulations, industry standards, and similar measures that would enable the government to control the conduct of affairs of the enterprises and restrain activities deemed not desirable or beneficial.</w:t>
      </w:r>
    </w:p>
    <w:p w:rsidR="00000000" w:rsidDel="00000000" w:rsidP="00000000" w:rsidRDefault="00000000" w:rsidRPr="00000000" w14:paraId="000005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provided by RA 7942, certain government agencies are empowered to approve or disapprove the various work programs and the corresponding minimum expenditure commitments for each of the exploration, development and utilization phases of the mining enterprise. The State may compel the contractor’s compliance with mandatory requirements on mine safety, health and environmental protection; and the use of anti-pollution technology and facilities. Moreover, the contractor is obligated to assist in the development of the mining community and to pay royalties to the indigenous peoples concerned. Cancellation of the FTAA may be the penalty for violation of any of its terms and conditions and/or noncompliance with statutes or regulations.</w:t>
      </w:r>
    </w:p>
    <w:p w:rsidR="00000000" w:rsidDel="00000000" w:rsidP="00000000" w:rsidRDefault="00000000" w:rsidRPr="00000000" w14:paraId="0000053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Foreigners Allowed to Hold Exploration Permits</w:t>
      </w:r>
    </w:p>
    <w:p w:rsidR="00000000" w:rsidDel="00000000" w:rsidP="00000000" w:rsidRDefault="00000000" w:rsidRPr="00000000" w14:paraId="000005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upheld the constitutionality of Section 3(aq) of RA 7942, which would allow a foreign contractor to apply for and hold an exploration permit. The permit would merely grant to a qualified person the right to conduct exploration of all minerals in specified areas. It would not amount to an authorization to extract and carry off the mineral resources discovered.</w:t>
      </w:r>
    </w:p>
    <w:p w:rsidR="00000000" w:rsidDel="00000000" w:rsidP="00000000" w:rsidRDefault="00000000" w:rsidRPr="00000000" w14:paraId="000005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permit grantee may apply for a mineral production sharing agreement (MPSA), a joint venture agreement (JVA), a co-production agreement (CPA), or an FTAA over the permit area, if the grantee meets the necessary qualifications and the terms and conditions of the agreement. The contractor will be in a position to extract minerals and earn revenues only when the mineral agreement or FTAA is granted.</w:t>
      </w:r>
    </w:p>
    <w:p w:rsidR="00000000" w:rsidDel="00000000" w:rsidP="00000000" w:rsidRDefault="00000000" w:rsidRPr="00000000" w14:paraId="000005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perusal of the WMCP FTAA also reveals a slew of stipulations[35] providing for State control and supervision. For instance, concerned government officials are informed beforehand of the contractor’s proposed exploration activities and expenditures for each succeeding two-year period, with the right to approve or disapprove those activities and expenditures or to require changes or adjustments if deemed necessary. The power of the government, exercised through the DENR secretary, should not be taken lightly, considering that it has absolutely no contribution to the exploration expenditures or work activities.</w:t>
      </w:r>
    </w:p>
    <w:p w:rsidR="00000000" w:rsidDel="00000000" w:rsidP="00000000" w:rsidRDefault="00000000" w:rsidRPr="00000000" w14:paraId="000005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provisions of the WMCP FTAA taken together, far from constituting a surrender of control and a grant of beneficial ownership of mineral resources to the contractor in question, bestow upon the State more than adequate control and supervision over the activities of the contractor and the enterprise.</w:t>
      </w:r>
    </w:p>
    <w:p w:rsidR="00000000" w:rsidDel="00000000" w:rsidP="00000000" w:rsidRDefault="00000000" w:rsidRPr="00000000" w14:paraId="0000053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Beneficial Ownership of Mineral Resources</w:t>
      </w:r>
    </w:p>
    <w:p w:rsidR="00000000" w:rsidDel="00000000" w:rsidP="00000000" w:rsidRDefault="00000000" w:rsidRPr="00000000" w14:paraId="000005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main reasons certain provisions of RA 7942 were previously struck down was the finding, mentioned in the Decision, that beneficial ownership of the mineral resources had been conveyed to the contractor.</w:t>
      </w:r>
    </w:p>
    <w:p w:rsidR="00000000" w:rsidDel="00000000" w:rsidP="00000000" w:rsidRDefault="00000000" w:rsidRPr="00000000" w14:paraId="000005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assiduous examination of the WMCP FTAA, however, uncovers no indication that it confers upon WMCP the ownership -- beneficial or otherwise -- of the mining property to be developed, the minerals to be produced, or the proceeds of their sale. Similarly, neither RA 7942 nor DAO 99-56 can be said to convey beneficial ownership of any mineral resource or product to any foreign FTAA contractor.</w:t>
      </w:r>
    </w:p>
    <w:p w:rsidR="00000000" w:rsidDel="00000000" w:rsidP="00000000" w:rsidRDefault="00000000" w:rsidRPr="00000000" w14:paraId="000005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contrary, DAO 99-56 aims to ensure an equitable sharing of benefits derived from mineral resources. These benefits are to be equitably shared among the government (national and local), the FTAA contractor, and the affected communities. Specifically, the government’s expectation is, inter alia, the taxes and fees normally paid by a mining enterprise. On the other hand, the government grants the FTAA contractor certain fiscal and non-fiscal incentives to help support the latter’s cash flow during the most critical phase (cost recovery) and to make the Philippines competitive with other mineral-producing countries. After the contractor shall have recovered its initial investment, it will pay the basic share of the government, plus an additional share based on the options and formulas set forth in DAO 99-56.</w:t>
      </w:r>
    </w:p>
    <w:p w:rsidR="00000000" w:rsidDel="00000000" w:rsidP="00000000" w:rsidRDefault="00000000" w:rsidRPr="00000000" w14:paraId="000005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basic government share is comprised of direct taxes, fees and royalties, as well as other payments made by the contractor during the term of the FTAA.</w:t>
      </w:r>
    </w:p>
    <w:p w:rsidR="00000000" w:rsidDel="00000000" w:rsidP="00000000" w:rsidRDefault="00000000" w:rsidRPr="00000000" w14:paraId="000005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additional government share may be an amount that will (a) result in a 50-50 sharing of the cumulative present value of the cash flows of the enterprise; (b) be equivalent to 25 percent of the additional or excess profits of the enterprise, reckoned against a benchmark return on investments; or (c) result in a 50-50 sharing of the cumulative net mining revenue, from the end of the recovery period up to the taxable year in question. In computing the additional share, the contractor is required to select one of three options it will apply to all of its mining operations.</w:t>
      </w:r>
    </w:p>
    <w:p w:rsidR="00000000" w:rsidDel="00000000" w:rsidP="00000000" w:rsidRDefault="00000000" w:rsidRPr="00000000" w14:paraId="0000053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Unconstitutional Provisions of the WMCP FTAA</w:t>
      </w:r>
    </w:p>
    <w:p w:rsidR="00000000" w:rsidDel="00000000" w:rsidP="00000000" w:rsidRDefault="00000000" w:rsidRPr="00000000" w14:paraId="000005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7.7 apparently gives the government a 60 percent share in the net mining revenues of WMCP from the commencement of commercial production. Section 7.9, however, deprives the government of a part or all of that share, should the WMCP’s foreign shareholders who originally owned 100 percent of the equity sell 60 percent or more of the corporation’s outstanding capital stock to a Filipino citizen or corporation.</w:t>
      </w:r>
    </w:p>
    <w:p w:rsidR="00000000" w:rsidDel="00000000" w:rsidP="00000000" w:rsidRDefault="00000000" w:rsidRPr="00000000" w14:paraId="000005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Evidently, what Section 7.7 grants to the State is taken away in the next breath by Section 7.9 without any offsetting compensation. Thus, for the exploitation of its mineral resources, the State has in reality no vested right to receive any income from the FTAA. Such an outcome is completely unacceptable.</w:t>
      </w:r>
    </w:p>
    <w:p w:rsidR="00000000" w:rsidDel="00000000" w:rsidP="00000000" w:rsidRDefault="00000000" w:rsidRPr="00000000" w14:paraId="000005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it was very much separable[38] from Section 7.7 and the rest of the WMCP FTAA, Section 7.9 was deleted (or nullified) without requiring the invalidation of the Agreement. The deletion preserved for the government its due share of the benefits.</w:t>
      </w:r>
    </w:p>
    <w:p w:rsidR="00000000" w:rsidDel="00000000" w:rsidP="00000000" w:rsidRDefault="00000000" w:rsidRPr="00000000" w14:paraId="000005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7.8(e) of the FTAA was likewise declared invalid and without effect for being grossly disadvantageous and prejudicial to the government and contrary to public policy. The offending provision constituted unjust enrichment on the part of the contractor at the expense of the government, which was effectively being made to pay twice for the same item.</w:t>
      </w:r>
    </w:p>
    <w:p w:rsidR="00000000" w:rsidDel="00000000" w:rsidP="00000000" w:rsidRDefault="00000000" w:rsidRPr="00000000" w14:paraId="0000054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FTAA More Advantageous Than Other Agreements</w:t>
      </w:r>
    </w:p>
    <w:p w:rsidR="00000000" w:rsidDel="00000000" w:rsidP="00000000" w:rsidRDefault="00000000" w:rsidRPr="00000000" w14:paraId="000005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subject of beneficial interest, the Court additionally remarked that the FTAA was a more advantageous proposition for the government as compared with other agreements permitted by the Constitution. In a CPA, the government shall provide inputs to the mining</w:t>
      </w:r>
    </w:p>
    <w:p w:rsidR="00000000" w:rsidDel="00000000" w:rsidP="00000000" w:rsidRDefault="00000000" w:rsidRPr="00000000" w14:paraId="000005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operations other than the mineral resource itself. In a JVA, a JV company is organized by the government and the contractor, with both parties having equity shares; yet, the contractor is granted the exclusive right to conduct mining operations and to extract minerals found in the area. In an MPSA, the government grants the contractor the exclusive right to conduct mining operations within the contract area and shares in the gross output; the contractor provides the necessary financing, technology, management and manpower.</w:t>
      </w:r>
    </w:p>
    <w:p w:rsidR="00000000" w:rsidDel="00000000" w:rsidP="00000000" w:rsidRDefault="00000000" w:rsidRPr="00000000" w14:paraId="000005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in two of the three types of agreement under consideration, the government has to ante up some risk capital for the enterprise. This fact notwithstanding, management and control of the mining operations in all three arrangements are in the hands of the contractor, with the government being mainly a silent partner. These three types of agreement apply to any natural resource, without limitation and regardless of the size or magnitude of the project or operations.</w:t>
      </w:r>
    </w:p>
    <w:p w:rsidR="00000000" w:rsidDel="00000000" w:rsidP="00000000" w:rsidRDefault="00000000" w:rsidRPr="00000000" w14:paraId="000005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and pursuant to paragraph 4 of Section 2 of Article XII, the FTAA is limited to large-scale projects and only those for minerals, petroleum and other mineral oils. Here, the Constitution removes the 40 percent cap on foreign ownership and allows the foreign corporation to own up to 100 percent of the equity. Correlatively, the foreign stakeholder bears up to 100 percent of the risk of loss if the project fails.</w:t>
      </w:r>
    </w:p>
    <w:p w:rsidR="00000000" w:rsidDel="00000000" w:rsidP="00000000" w:rsidRDefault="00000000" w:rsidRPr="00000000" w14:paraId="000005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in response to the urging of the petitioners that the Court should consider whether mining as an industry and economic activity deserved to be accorded priority, preference and government support -- as against agriculture and other activities in which Filipinos and the Philippines might have an “economic advantage” -- the Court said:</w:t>
      </w:r>
    </w:p>
    <w:p w:rsidR="00000000" w:rsidDel="00000000" w:rsidP="00000000" w:rsidRDefault="00000000" w:rsidRPr="00000000" w14:paraId="000005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“Whatever priority or preference may be given to mining vis-à-vis other economic or non-economic activities is a question of policy that the President and Congress will have to address; it is not for this Court to decide. This Court declares what the Constitution and the laws say, interprets only when necessary, and refrains from delving into matters of policy.”</w:t>
      </w:r>
    </w:p>
    <w:p w:rsidR="00000000" w:rsidDel="00000000" w:rsidP="00000000" w:rsidRDefault="00000000" w:rsidRPr="00000000" w14:paraId="0000054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Refutation of the Morales Dissent</w:t>
      </w:r>
    </w:p>
    <w:p w:rsidR="00000000" w:rsidDel="00000000" w:rsidP="00000000" w:rsidRDefault="00000000" w:rsidRPr="00000000" w14:paraId="000005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her Dissent, Justice Morales explained that the use of the disjunctive either-or in the phrase “agreements involving either technical or financial assistance” denoted restriction and limitation. As Justice Antonio T. Carpio himself pointed out during the Oral Argument, however, a restrictive and literal construction would mean that if both technical and financial assistance were required for a project, the government would have to deal with at least two different foreign contractors. Though very much qualified to provide both kinds of assistance, a foreign contractor would be prohibited from providing one kind as soon as it shall have agreed to provide the other. But what laudable objective or purpose could possibly be served by this strict and restrictive literal interpretation?</w:t>
      </w:r>
    </w:p>
    <w:p w:rsidR="00000000" w:rsidDel="00000000" w:rsidP="00000000" w:rsidRDefault="00000000" w:rsidRPr="00000000" w14:paraId="000005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Oposa v. Factoran Jr., Justice Morales further claimed that a service contract was not a contract or property right that would merit protection by the due process clause of the Constitution, but merely a license or privilege that may be validly revoked, rescinded or withdrawn by executive action whenever dictated by public interest or public welfare.</w:t>
      </w:r>
    </w:p>
    <w:p w:rsidR="00000000" w:rsidDel="00000000" w:rsidP="00000000" w:rsidRDefault="00000000" w:rsidRPr="00000000" w14:paraId="000005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replied that Oposa had cited Tan v. Director of Forestry and Ysmael v. Deputy Executive Secretary, even if both dealt specifically with timber licenses only. A grantee of a timber license, permit or license agreement would get to cut the timber already growing on the surface. In a logging concession, the investment of the licensee was not as substantial as that of a large-scale mining contractor. In contrast, the latter would have sunk a great deal of money (tens of millions of dollars) into the ground, so to speak, for exploration activities; the development of the mine site and infrastructure; and the actual excavation and extraction of minerals, including the extensive tunneling work to reach the ore body. Cancellation of the mining contract would utterly deprive the contractor of its investments.</w:t>
      </w:r>
    </w:p>
    <w:p w:rsidR="00000000" w:rsidDel="00000000" w:rsidP="00000000" w:rsidRDefault="00000000" w:rsidRPr="00000000" w14:paraId="000005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would be adopting a well-nigh confiscatory stance if one were to say that an FTAA is like a mere timber license or permit, which involves no contract or property right that would merit protection by the due process clause of the Constitution and may therefore be revoked or cancelled. At the very least, to say so would be downright dismissive of the property rights of business persons and corporate entities that have investments, operations and expenditures contributing to the general welfare of the people, the coffers of government, and the strength of the economy.</w:t>
      </w:r>
    </w:p>
    <w:p w:rsidR="00000000" w:rsidDel="00000000" w:rsidP="00000000" w:rsidRDefault="00000000" w:rsidRPr="00000000" w14:paraId="0000054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Refutation of the Carpio Dissent</w:t>
      </w:r>
    </w:p>
    <w:p w:rsidR="00000000" w:rsidDel="00000000" w:rsidP="00000000" w:rsidRDefault="00000000" w:rsidRPr="00000000" w14:paraId="000005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Antonio T. Carpio, on the other hand, assails the authority of the DENR secretary to issue DAO 99-56 and to prescribe the formulas for the State’s share from the mining operations. But, undoubtedly, it is the President who is constitutionally mandated to enter into FTAAs with foreign corporations. It is within the President’s prerogative to specify certain terms and conditions of the FTAAs, such as the apportionment of the net mining revenues between the contractor and the State.</w:t>
      </w:r>
    </w:p>
    <w:p w:rsidR="00000000" w:rsidDel="00000000" w:rsidP="00000000" w:rsidRDefault="00000000" w:rsidRPr="00000000" w14:paraId="000005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Being the Chief Executive’s alter ego with respect to the control and supervision of the mining industry, the DENR secretary is necessarily clothed with the requisite authority and power to draw up guidelines applicable to FTAAs in general, as well as to specify therein the terms of the sharing of benefits from mining.</w:t>
      </w:r>
    </w:p>
    <w:p w:rsidR="00000000" w:rsidDel="00000000" w:rsidP="00000000" w:rsidRDefault="00000000" w:rsidRPr="00000000" w14:paraId="0000055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Epilogue</w:t>
      </w:r>
    </w:p>
    <w:p w:rsidR="00000000" w:rsidDel="00000000" w:rsidP="00000000" w:rsidRDefault="00000000" w:rsidRPr="00000000" w14:paraId="000005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let me quote significant parts of the Epilogue of the Resolution:</w:t>
      </w:r>
    </w:p>
    <w:p w:rsidR="00000000" w:rsidDel="00000000" w:rsidP="00000000" w:rsidRDefault="00000000" w:rsidRPr="00000000" w14:paraId="000005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ALL IS SAID AND DONE, it is clear that there is unanimous agreement in the Court upon the key principle that the State must exercise full control and supervision over the exploration, development and utilization of mineral resources.</w:t>
      </w:r>
    </w:p>
    <w:p w:rsidR="00000000" w:rsidDel="00000000" w:rsidP="00000000" w:rsidRDefault="00000000" w:rsidRPr="00000000" w14:paraId="000005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crux of the controversy is the amount of discretion to be accorded the Executive Department, particularly the President of the Republic, in respect of negotiations over the terms of FTAAs, particularly when it comes to the government share of financial benefits from FTAAs. The Court believes that it is not unconstitutional to allow a wide degree of discretion to the Chief Executive, given the nature and complexity of such agreements, the humongous amounts of capital and financing required for largescale mining operations, the complicated technology needed, and the intricacies of international trade, coupled with the State’s need to maintain flexibility in its dealings, in order to preserve and enhance our country’s competitiveness in world markets.</w:t>
      </w:r>
    </w:p>
    <w:p w:rsidR="00000000" w:rsidDel="00000000" w:rsidP="00000000" w:rsidRDefault="00000000" w:rsidRPr="00000000" w14:paraId="000005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5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under the doctrine of separation of powers and due respect for co-equal and coordinate branches of government, this Court must restrain itself from intruding into policy matters and must allow the President and Congress maximum discretion in using the resources of our country and in securing the assistance of foreign groups to eradicate the grinding poverty of our people and answer their cry for viable employment opportunities in the country.</w:t>
      </w:r>
    </w:p>
    <w:p w:rsidR="00000000" w:rsidDel="00000000" w:rsidP="00000000" w:rsidRDefault="00000000" w:rsidRPr="00000000" w14:paraId="000005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xxx xxx xxx</w:t>
      </w:r>
    </w:p>
    <w:p w:rsidR="00000000" w:rsidDel="00000000" w:rsidP="00000000" w:rsidRDefault="00000000" w:rsidRPr="00000000" w14:paraId="000005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cannot but be mindful that any decision rendered in this case will ultimately impact not only the cultural communities which lodged the instant Petition, and not only the larger community of the Filipino people now struggling to survive amidst a fiscal/budgetary deficit, ever increasing prices of fuel, food, and essential commodities and services, the shrinking value of the local currency, and a government hamstrung in its delivery of basic services by a severe lack of resources, but also countless future generations of Filipinos.</w:t>
      </w:r>
    </w:p>
    <w:p w:rsidR="00000000" w:rsidDel="00000000" w:rsidP="00000000" w:rsidRDefault="00000000" w:rsidRPr="00000000" w14:paraId="000005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latter group of Filipinos yet to be born, their eventual access to education, health care and basic services, their overall level of well-being, the very shape of their lives are even now being determined and affected partly by the policies and directions being adopted and implemented by government today. And in part by the Resolution rendered by this Court today.</w:t>
      </w:r>
    </w:p>
    <w:p w:rsidR="00000000" w:rsidDel="00000000" w:rsidP="00000000" w:rsidRDefault="00000000" w:rsidRPr="00000000" w14:paraId="000005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the mineral wealth and natural resources of this country are meant to benefit not merely a select group of people living in the areas locally affected by mining activities, but the entire Filipino nation, present and future, to whom the mineral wealth really belong. This Court has therefore weighed carefully the rights and interests of all concerned, and decided for the greater good of the greatest number. JUSTICE FOR ALL, not just for some; JUSTICE FOR THE PRESENT AND THE FUTURE, not just for the here and now.”</w:t>
      </w:r>
    </w:p>
    <w:p w:rsidR="00000000" w:rsidDel="00000000" w:rsidP="00000000" w:rsidRDefault="00000000" w:rsidRPr="00000000" w14:paraId="0000055A">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Dissenting Opinions</w:t>
      </w:r>
    </w:p>
    <w:p w:rsidR="00000000" w:rsidDel="00000000" w:rsidP="00000000" w:rsidRDefault="00000000" w:rsidRPr="00000000" w14:paraId="0000055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Carpio Dissent</w:t>
      </w:r>
    </w:p>
    <w:p w:rsidR="00000000" w:rsidDel="00000000" w:rsidP="00000000" w:rsidRDefault="00000000" w:rsidRPr="00000000" w14:paraId="000005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Antonio T. Carpio argued that Sections 3(aq), 39, 80, 81 (second paragraph), 84 (proviso) and 112 (first proviso) of RA 7942 had violated Section 2 of Article XII of the 1987 Constitution. In his view, these provisions of the law waived the constitutional ownership rights of the State over mineral resources and also abdicated its constitutional duty to fully control and supervise the exploitation of mineral resources.</w:t>
      </w:r>
    </w:p>
    <w:p w:rsidR="00000000" w:rsidDel="00000000" w:rsidP="00000000" w:rsidRDefault="00000000" w:rsidRPr="00000000" w14:paraId="000005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framers of the 1987 Constitution sought to avoid the adverse effects of the “license, concession or lease” system of exploitation under the 1935 and the 1973 Constitutions by using a different phraseology -- “co-production, joint venture or production-sharing agreements,” with “full control and supervision” by the State. The change in language was a clear rejection of the old system of “license, concession or lease.”</w:t>
      </w:r>
    </w:p>
    <w:p w:rsidR="00000000" w:rsidDel="00000000" w:rsidP="00000000" w:rsidRDefault="00000000" w:rsidRPr="00000000" w14:paraId="000005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 as owner of the natural resources must receive income from their exploitation. The payment of taxes, fees and charges derived from its taxing or police power is not a substitute. The State is duty-bound to secure for the Filipino people a fair share of the income from any exploitation of the nation’s precious and exhaustible natural resources. Even if it enters into an FTAA with foreign-owned corporations for the large-scale exploitation of minerals, petroleum and other mineral oils, it must retain its fair share of the income from the exploitation. To ensure this outcome, it must exercise full control and supervision over the activity.</w:t>
      </w:r>
    </w:p>
    <w:p w:rsidR="00000000" w:rsidDel="00000000" w:rsidP="00000000" w:rsidRDefault="00000000" w:rsidRPr="00000000" w14:paraId="000005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all exploration permits and similar authorizations are in the name of the Philippine government, which then authorizes the contractor to act on its behalf. By entering into an FTAA, the foreign contractor, through its board of directors, agrees to manage the contracted work or operations to the extent of its financial or technical contribution, but subject to the State’s control and supervision.</w:t>
      </w:r>
    </w:p>
    <w:p w:rsidR="00000000" w:rsidDel="00000000" w:rsidP="00000000" w:rsidRDefault="00000000" w:rsidRPr="00000000" w14:paraId="000005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WMCP FTAA, however, the contractor has the exclusive right to exploit, utilize and process the mineral resources to the exclusion of third parties and even the Philippine government. The contractor also has the exclusive right to dispose of the minerals recovered through the mining operations.</w:t>
      </w:r>
    </w:p>
    <w:p w:rsidR="00000000" w:rsidDel="00000000" w:rsidP="00000000" w:rsidRDefault="00000000" w:rsidRPr="00000000" w14:paraId="000005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DENR secretary has actually no authority to disapprove the foreign contractor’s work program. The Philippine government is in fact compelled to agree to any request by the foreign contractor to amend the FTAA to satisfy the conditions of WMCP’s creditors. </w:t>
      </w:r>
    </w:p>
    <w:p w:rsidR="00000000" w:rsidDel="00000000" w:rsidP="00000000" w:rsidRDefault="00000000" w:rsidRPr="00000000" w14:paraId="000005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WMCP FTAA also violates its constitutional term limits, which should be “a period not exceeding twenty-five years, renewable for not more than twenty-five years, and under such terms and conditions as may be provided by law.” An FTAA binds the Philippine government to an ironclad 50-year term at the sole option of the contractor.</w:t>
      </w:r>
    </w:p>
    <w:p w:rsidR="00000000" w:rsidDel="00000000" w:rsidP="00000000" w:rsidRDefault="00000000" w:rsidRPr="00000000" w14:paraId="0000056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Morales Dissent</w:t>
      </w:r>
    </w:p>
    <w:p w:rsidR="00000000" w:rsidDel="00000000" w:rsidP="00000000" w:rsidRDefault="00000000" w:rsidRPr="00000000" w14:paraId="000005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Madame Justice Conchita Carpio Morales, who penned the original Decision in this case, maintains that (1) the “agreements... involving either technical or financial assistance” contemplated by the fourth paragraph of Section 2 of Article XII of the 1987 Constitution are distinct and dissimilar from the “service contracts” under the 1973 Constitution; and (2) certain provisions of the Mining Act, its implementing rules and the WMCP FTAA unconstitutionally convey to foreign contractors beneficial ownership and control over Philippine mineral and petroleum resources.</w:t>
      </w:r>
    </w:p>
    <w:p w:rsidR="00000000" w:rsidDel="00000000" w:rsidP="00000000" w:rsidRDefault="00000000" w:rsidRPr="00000000" w14:paraId="000005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She submits further that in the exploration, development and utilization of the nation’s natural resources, the government is in a position analogous to that of a trustee holding title to and managing those resources for the benefit of the Filipino people, including future generations. As the trustee of the sovereign, the government has a fiduciary duty to ensure that the gains, rewards and advantages generated by the natural resources of the Philippines accrue to the benefit of the Filipino people.</w:t>
      </w:r>
    </w:p>
    <w:p w:rsidR="00000000" w:rsidDel="00000000" w:rsidP="00000000" w:rsidRDefault="00000000" w:rsidRPr="00000000" w14:paraId="000005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State must ensure that FTAAs are “based on real contributions to the economic growth and general welfare of the country.” These contributions must be sufficient to offset the corresponding loss of resources to future generations. Real benefits are intergenerational, because the motherland’s natural resources are the birthright of both present and future Filipino generations.</w:t>
      </w:r>
    </w:p>
    <w:p w:rsidR="00000000" w:rsidDel="00000000" w:rsidP="00000000" w:rsidRDefault="00000000" w:rsidRPr="00000000" w14:paraId="000005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opting to exercise the prerogative to enter into FTAAs, the President must ensure that the agreements conform to the restrictions laid down by Section 2, including the scope of the assistance that must be limited to financial or technical forms. The use of the term “involving” in the fourth paragraph of Section 2 indicates exclusivity. In addition, “either” in the same paragraph is clearly used as a conjunction joining only two concepts -- financial and technical. The use of the word “either” clearly limits the President to only two possibilities: financial and technical assistance. Other forms of assistance are plainly not allowed. Moreover, the 1987 Constitution deleted not only the term “management” from the 1973 Constitution, but also the catch-all phrase “or other forms of assistance,” thus reinforcing the exclusivity of “either technical or financial assistance.”</w:t>
      </w:r>
    </w:p>
    <w:p w:rsidR="00000000" w:rsidDel="00000000" w:rsidP="00000000" w:rsidRDefault="00000000" w:rsidRPr="00000000" w14:paraId="000005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 consequences of the deletion or omission from the 1987 Constitution of the term “service contracts,” which was in the 1973 Constitution, Justice Morales invokes the following Latin guides on statutory construction: first, casus omisus pro omisso habendus est; second, expressio unius est exclusion alterius; and third, expressium facit cessare tacitum.</w:t>
      </w:r>
    </w:p>
    <w:p w:rsidR="00000000" w:rsidDel="00000000" w:rsidP="00000000" w:rsidRDefault="00000000" w:rsidRPr="00000000" w14:paraId="000005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foreign-owned corporations are not precluded from a limited participation in the management of the exploration, development and utilization of natural resources, so long as their participation is incidental to the financial or technical assistance they are rendering. The scope of an FTAA should not be broadened to include “managerial assistance.” Adequate protection is not provided by the mere fact that the Act requires the submission of work programs and minimum expenditure commitments to the government. These requirements were also in the old concession and service contract systems, but did not serve to place full control and supervision of the country’s natural resources in the hands of the government. </w:t>
      </w:r>
    </w:p>
    <w:p w:rsidR="00000000" w:rsidDel="00000000" w:rsidP="00000000" w:rsidRDefault="00000000" w:rsidRPr="00000000" w14:paraId="000005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foreign contractor’s limited participation in management should not effectively grant foreign-owned corporations beneficial ownership of the natural resources. Conspicuously absent from the Mining Act, however, are effective means by which the government can protect the beneficial interest of the Filipino people in the exploration, development and utilization of their resources.</w:t>
      </w:r>
    </w:p>
    <w:p w:rsidR="00000000" w:rsidDel="00000000" w:rsidP="00000000" w:rsidRDefault="00000000" w:rsidRPr="00000000" w14:paraId="000005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the law grants the lion’s share of the proceeds from the mining operation to the foreign corporation. Under Section 81, the government does not receive any share in those proceeds. Even more galling is the provision that its share (composed of taxes and fees only) shall not be collected until after the foreign corporation will have “fully recovered its preoperating expenses, exploration, and development expenditures, inclusive.”</w:t>
      </w:r>
    </w:p>
    <w:p w:rsidR="00000000" w:rsidDel="00000000" w:rsidP="00000000" w:rsidRDefault="00000000" w:rsidRPr="00000000" w14:paraId="000005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taxes and fees that make up the government’s “basic share” cannot be considered as a return on the resources mined corresponding to the beneficial ownership of the Filipino people. More important, “the provisions of the Mining Act effectively allow the foreign contractor to circumvent all the provisions of DAO 99-56, including its intended ‘50-50 sharing’ of the net benefits from mining, and reduce government’s total share to as low as two percent (2%) of the value of the minerals mined.”</w:t>
      </w:r>
    </w:p>
    <w:p w:rsidR="00000000" w:rsidDel="00000000" w:rsidP="00000000" w:rsidRDefault="00000000" w:rsidRPr="00000000" w14:paraId="000005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selling 60 percent of its equity to a Filipino corporation, a foreign contractor can easily reduce the total government’s share (held in trust for the benefit of the Filipino people) in the minerals mined to a paltry 2 percent, while maintaining a 40 percent beneficial interest in them. Worse, if the Filipino corporation acquiring the foreign contractor’s stake is 60 percent Filipino-owned and 40 percent foreign-owned, then the total beneficial interest of foreigners in the mineral output of the mining concern would constitute a majority of 64 percent, while that of Filipinos would at most amount to 36 percent -- 34 percent for the Filipino stockholders of the 60-40 Filipino corporation and 2 percent for the government (in trust for the Filipino people).</w:t>
      </w:r>
    </w:p>
    <w:p w:rsidR="00000000" w:rsidDel="00000000" w:rsidP="00000000" w:rsidRDefault="00000000" w:rsidRPr="00000000" w14:paraId="000005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if the grant of an exploration permit does not contemplate the entry into an agreement between the State and the applicant foreign corporation, as the majority admits, then the grant is not sanctioned by Section 2 (paragraph 4) of Article XII of the Constitution. This provision mentions only “agreements... involving either financial or technical assistance.” Because it does not fall within the exception embodied here, “the grant of such a permit to a foreign corporation is prohibited and the proviso providing for such grant in Section 3(aq) of the Mining Act is void for being unconstitutional.”</w:t>
      </w:r>
    </w:p>
    <w:p w:rsidR="00000000" w:rsidDel="00000000" w:rsidP="00000000" w:rsidRDefault="00000000" w:rsidRPr="00000000" w14:paraId="000005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“whether the legal title to the corporate vehicle holding the FTAA has been transferred from a foreigner to a Filipino is irrelevant. What is relevant is whether a foreigner has improperly and illegally obtained an FTAA and has therefore benefited from the exploration, development or utilization of Philippine natural resources in a manner contrary to the provisions of the Constitution.” The doctrine enunciated in Halili is based on the premise that the purpose of the Constitution in prohibiting alien ownership of agricultural land is to retain ownership or legal title of the land in the hands of Filipinos. This purpose is not identical or even analogous to that of Section 2 of Article XII of the Constitution, which is to reserve to the Filipino people the beneficial ownership of their natural resources -- the right to the gains, rewards and advantages generated by their natural resources.</w:t>
      </w:r>
    </w:p>
    <w:p w:rsidR="00000000" w:rsidDel="00000000" w:rsidP="00000000" w:rsidRDefault="00000000" w:rsidRPr="00000000" w14:paraId="000005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very fact that WMC sold its 100 percent interest in WMCP to a Filipino company for US$10 million leads to very serious questions concerning the validity of the WMCP FTAA:</w:t>
      </w:r>
    </w:p>
    <w:p w:rsidR="00000000" w:rsidDel="00000000" w:rsidP="00000000" w:rsidRDefault="00000000" w:rsidRPr="00000000" w14:paraId="000005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if a Filipino corporation is capable of undertaking the terms of the FTAA, why was an agreement with a foreign owned corporation been entered into in the first place? Second, does not the fact that, as alleged by petitioners and admitted by respondent WMCP, Sagittarius, WMCP’s putative new owner, is capitalized at less than half the purchase price of WMC’s shares in WMCP, a strong indication that Sagittarius is merely acting as the dummy of WMC? Third, if indeed WMCP has, to date, spent US$40,000,000.00 in the implementation of the FTAA, as it claims, why did WMC sell 100% of its shares in WMCP for only US$10,000,000.00? Finally, considering that, as emphasized by WMCP, ‘payment of the purchase price by Sagittarius to WMC will come only after the commencement of commercial production,’ hasn’t WMC effectively acquired a beneficial interest in any minerals mined in the FTAA area to the extent of US$10,000,000.00?” (citations omitted)</w:t>
      </w:r>
    </w:p>
    <w:p w:rsidR="00000000" w:rsidDel="00000000" w:rsidP="00000000" w:rsidRDefault="00000000" w:rsidRPr="00000000" w14:paraId="00000572">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Tinga Concurrence</w:t>
      </w:r>
    </w:p>
    <w:p w:rsidR="00000000" w:rsidDel="00000000" w:rsidP="00000000" w:rsidRDefault="00000000" w:rsidRPr="00000000" w14:paraId="000005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main, Justice Dante O. Tinga concurred in the majority Resolution. The points he raised can be summed up as follows.</w:t>
      </w:r>
    </w:p>
    <w:p w:rsidR="00000000" w:rsidDel="00000000" w:rsidP="00000000" w:rsidRDefault="00000000" w:rsidRPr="00000000" w14:paraId="000005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two fundamental restrictions on the power of the Executive to contract with foreign corporations regarding the exploration, development and utilization of our natural resources. One, the State shall retain legal ownership of all natural resources; and, two, it shall have full control and supervision over the exploitation of natural resources. These key postulates predicate the following constitutional restrictions on the power of the President to enter into agreements with foreign corporations.</w:t>
      </w:r>
    </w:p>
    <w:p w:rsidR="00000000" w:rsidDel="00000000" w:rsidP="00000000" w:rsidRDefault="00000000" w:rsidRPr="00000000" w14:paraId="000005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natural resources that may be the subject of the agreement are limited to minerals, petroleum, and other mineral oils. Second, agreements with foreign-owned corporations may be entered into only for the large-scale EDU of minerals, petroleum, and other mineral oils. Third, only the President may enter into these agreements. Fourth, the agreements must be in accord with the general terms and conditions provided by law. Fifth, the decision to enter into the agreements must be based on their “real contributions to the economic growth and general welfare of the country.”</w:t>
      </w:r>
    </w:p>
    <w:p w:rsidR="00000000" w:rsidDel="00000000" w:rsidP="00000000" w:rsidRDefault="00000000" w:rsidRPr="00000000" w14:paraId="000005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authority of the executive branch to contract, which is a right emanating from its traditional functions, is connected with its power to determine economic policy. Hence, the proper approach to the interpretation of Section 2 of Article XII is to tilt it in favor of asserting a right rather than limiting a privilege.</w:t>
      </w:r>
    </w:p>
    <w:p w:rsidR="00000000" w:rsidDel="00000000" w:rsidP="00000000" w:rsidRDefault="00000000" w:rsidRPr="00000000" w14:paraId="000005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1987 Constitution does not use the term “service contracts,” it contemplates a broader expanse of agreements. The test should be whether the law and the contract take away the State’s full control and supervision over the EDU, and thus negate or defeat the State’s ownership, of the country’s mineral resources.</w:t>
      </w:r>
    </w:p>
    <w:p w:rsidR="00000000" w:rsidDel="00000000" w:rsidP="00000000" w:rsidRDefault="00000000" w:rsidRPr="00000000" w14:paraId="000005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 should be accorded a liberal interpretation, so as to recognize this fundamental prerogative of the President. The word “full” should not be construed as implying that the control or supervision may not at all be yielded or delegated. Instead, “full” should be interpreted to mean the encompassing scope of the concerns of the State relating to the extractive enterprises in which it may interfere or over which it may impose its will.</w:t>
      </w:r>
    </w:p>
    <w:p w:rsidR="00000000" w:rsidDel="00000000" w:rsidP="00000000" w:rsidRDefault="00000000" w:rsidRPr="00000000" w14:paraId="000005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as to who should exercise management is best left to the parties to the agreement: the President and the foreign corporation. Even if the State cedes management to a different entity, such as the foreign corporation, it has the duty to ensure that the actual exercise of managerial power does not contravene our laws and public policy.</w:t>
      </w:r>
    </w:p>
    <w:p w:rsidR="00000000" w:rsidDel="00000000" w:rsidP="00000000" w:rsidRDefault="00000000" w:rsidRPr="00000000" w14:paraId="000005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WMCP FTAA is replete with judicially enforceable stipulations, delineating the State’s control. State control and supervision is exercised not only through the FTAA, but also through statutes and executive or administrative issuances. The Mining Act itself is an expression of State control and supervision.</w:t>
      </w:r>
    </w:p>
    <w:p w:rsidR="00000000" w:rsidDel="00000000" w:rsidP="00000000" w:rsidRDefault="00000000" w:rsidRPr="00000000" w14:paraId="0000057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Nazario Concurrence</w:t>
      </w:r>
    </w:p>
    <w:p w:rsidR="00000000" w:rsidDel="00000000" w:rsidP="00000000" w:rsidRDefault="00000000" w:rsidRPr="00000000" w14:paraId="000005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Concurring with the Resolution, Justice Minita Chico-Nazario further reinforced the notion that “full control and supervision” does not mean that foreign stockholders cannot be legally elected as members of the board of a corporation, 40 percent of whose capital is foreignowned. Disapproved in fact was the amendment proposed by then Commissioner Davide, now Chief Justice, providing that the governing and managing bodies of those corporations shall be vested exclusively in citizens of the Philippines.</w:t>
      </w:r>
    </w:p>
    <w:p w:rsidR="00000000" w:rsidDel="00000000" w:rsidP="00000000" w:rsidRDefault="00000000" w:rsidRPr="00000000" w14:paraId="000005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a provision in regard to educational institutions and substantially similar to the proposed Davide amendment was approved. It was NOT the intention of the framers of the Constitution for the governing boards of domestic corporations with non-Filipino members to be deprived of the right to control and administer the corporation when it engages in the exploration, development and utilization of natural resources through co-production, joint venture or production-sharing with the State.</w:t>
      </w:r>
    </w:p>
    <w:p w:rsidR="00000000" w:rsidDel="00000000" w:rsidP="00000000" w:rsidRDefault="00000000" w:rsidRPr="00000000" w14:paraId="000005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there is no justification for holding that foreign corporations who invest considerably large amounts of money -- under agreements involving either technical or financial assistance for the large-scale EDU of minerals, petroleum and other mineral oils --</w:t>
      </w:r>
    </w:p>
    <w:p w:rsidR="00000000" w:rsidDel="00000000" w:rsidP="00000000" w:rsidRDefault="00000000" w:rsidRPr="00000000" w14:paraId="000005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should be prohibited from managing the business. Indeed, to say that the Constitution requires the State to have full and total control and supervision of the activities, when undertaken on a large scale under agreements with foreign corporations investing huge amounts of money, is to divorce oneself from reality. As long as the foreign assistance results in real contributions to the economic growth of our country and enhances the ggeneral welfare of our people, the development of our mineral resources by and through foreign corporations who have FTAAs with the government is not unconstitutional.</w:t>
      </w:r>
    </w:p>
    <w:p w:rsidR="00000000" w:rsidDel="00000000" w:rsidP="00000000" w:rsidRDefault="00000000" w:rsidRPr="00000000" w14:paraId="000005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of whether the FTAA will, in fact, redound to the ggeneral welfare of the public involves a judgment call by our policymakers, who are answerable to our people during the appropriate electoral exercises and are not subject to judicial pronouncements based on grave abuse of discretion.</w:t>
      </w:r>
    </w:p>
    <w:p w:rsidR="00000000" w:rsidDel="00000000" w:rsidP="00000000" w:rsidRDefault="00000000" w:rsidRPr="00000000" w14:paraId="00000581">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Resolution of the Second Motion for Reconsideration</w:t>
      </w:r>
    </w:p>
    <w:p w:rsidR="00000000" w:rsidDel="00000000" w:rsidP="00000000" w:rsidRDefault="00000000" w:rsidRPr="00000000" w14:paraId="000005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filed a Motion for Reconsideration, praying for the reversal of the Court’s December 1, 2004 Resolution. The Court denied the Motion with finality, because the issues raised were a mere rehash of the arguments and positions already raised and discussed extensively in the assailed Resolution; as well as in the Dissenting, Separate and Concurring Opinions -- consisting altogether of several hundred pages.</w:t>
      </w:r>
    </w:p>
    <w:p w:rsidR="00000000" w:rsidDel="00000000" w:rsidP="00000000" w:rsidRDefault="00000000" w:rsidRPr="00000000" w14:paraId="0000058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Carpio Dissent</w:t>
      </w:r>
    </w:p>
    <w:p w:rsidR="00000000" w:rsidDel="00000000" w:rsidP="00000000" w:rsidRDefault="00000000" w:rsidRPr="00000000" w14:paraId="000005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to the views enunciated in his earlier Dissenting Opinion, Justice Carpio wrote a new Dissent pointing out alleged flaws in DAO 99-56.</w:t>
      </w:r>
    </w:p>
    <w:p w:rsidR="00000000" w:rsidDel="00000000" w:rsidP="00000000" w:rsidRDefault="00000000" w:rsidRPr="00000000" w14:paraId="000005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contended that DAO 99-56 provided three formulas for determining the State's share in the mining revenues of foreign contractors. They will have the sole option to choose which formula to use. Under Option B, four conditions must concur before the State can receive any share from the mining revenues of the foreign contractor:</w:t>
      </w:r>
    </w:p>
    <w:p w:rsidR="00000000" w:rsidDel="00000000" w:rsidP="00000000" w:rsidRDefault="00000000" w:rsidRPr="00000000" w14:paraId="000005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foreign contractor's net income after tax must exceed 40% of its gross output or sales. Second, this extraordinary high-income ratio must average more than 40% of gross output over two consecutive years. Third, the State's share shall come only from the excess of such 40% of gross output. Fourth, the State's share is only 25% of the excess of such 40% of gross output.” [Emphasis in the original.]</w:t>
      </w:r>
    </w:p>
    <w:p w:rsidR="00000000" w:rsidDel="00000000" w:rsidP="00000000" w:rsidRDefault="00000000" w:rsidRPr="00000000" w14:paraId="000005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two conditions are impossible to achieve, while the last two are grossly unfair to the State. A 40 percent after-tax net income on gross sales in two consecutive years is highly extraordinary in the business world and is unheard of in the mining industry. Over the last nine years, the highest ratio resulting from the application of Option B was 0.27 in 1997; and the second highest, 0.23 in 1995.</w:t>
      </w:r>
    </w:p>
    <w:p w:rsidR="00000000" w:rsidDel="00000000" w:rsidP="00000000" w:rsidRDefault="00000000" w:rsidRPr="00000000" w14:paraId="000005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profit-sharing formula in Option B is applied to mining companies operating in the Philippines in the last nine years, the State will receive no share whatsoever in the mining profits of the foreign contractor. Similarly, no mining company operating in other countries has achieved the trigger level in Option B. The average ratio over the nine-year period of WMC Resources Ltd., the Australian mining company that used to own Respondent WMCP, was only 0.10; and its highest two-year average ratio, only 0.19 in 1999 and 2000.</w:t>
      </w:r>
    </w:p>
    <w:p w:rsidR="00000000" w:rsidDel="00000000" w:rsidP="00000000" w:rsidRDefault="00000000" w:rsidRPr="00000000" w14:paraId="000005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official publication, A Response to the Issues Raised against Mining,[66] the Mines and Geosciences Bureau (MGB) of the DENR publicly admitted that the State was entitled to a share, only if the foreign contractor's profits were extraordinarily high. The extraordinarily high trigger level of 0.40 was impossible to achieve, however, based on the historical performance of mining companies in the Philippines and abroad. The raison d'être of DAO 99- 56 betrayed a callous intent to deprive the State and the Filipino people of their fair and rightful share in the mineral wealth of the nation.</w:t>
      </w:r>
    </w:p>
    <w:p w:rsidR="00000000" w:rsidDel="00000000" w:rsidP="00000000" w:rsidRDefault="00000000" w:rsidRPr="00000000" w14:paraId="000005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requirement of two consecutive years of extraordinary profitability makes it even harder for the State to receive any share, given the historical volatility of metal prices. Gold and copper prices swing up and down, often preventing metal prices from remaining extraordinarily high for two consecutive years.</w:t>
      </w:r>
    </w:p>
    <w:p w:rsidR="00000000" w:rsidDel="00000000" w:rsidP="00000000" w:rsidRDefault="00000000" w:rsidRPr="00000000" w14:paraId="000005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assuming arguendo that the first two conditions happen, the third and the fourth conditions still limit the State's share to 25 percent of the profits in excess of the 0.40 trigger level. In other words, for every 4 percent additional profits in excess of that trigger level, the State receives only a 1 percent share of the contractor's excess mining profits.</w:t>
      </w:r>
    </w:p>
    <w:p w:rsidR="00000000" w:rsidDel="00000000" w:rsidP="00000000" w:rsidRDefault="00000000" w:rsidRPr="00000000" w14:paraId="000005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imposing impossible conditions, DAO 99-56 gives all the mining revenues to the foreign contractor. This imposition is grossly and manifestly disadvantageous to the State and the Filipino people. DAO 99-56 implements the intent of the Mining Act: to limit the State’s share in mining operations to taxes, duties and fees only. It actually reverts our mining system to the old system of “license, concession or lease” under the 1935 and the 1973 Constitutions, which have been abolished by the 1987 Constitution.</w:t>
      </w:r>
    </w:p>
    <w:p w:rsidR="00000000" w:rsidDel="00000000" w:rsidP="00000000" w:rsidRDefault="00000000" w:rsidRPr="00000000" w14:paraId="000005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Section 81 grants the foreign contractor the right to recover fully all its preoperating, exploration and development expenses -- with no time limit. During the recovery period, it does not pay any tax, duty or fee to the government. It is also exempt from corporate income tax and even withholding tax on dividend or interest payments to its stockholders.</w:t>
      </w:r>
    </w:p>
    <w:p w:rsidR="00000000" w:rsidDel="00000000" w:rsidP="00000000" w:rsidRDefault="00000000" w:rsidRPr="00000000" w14:paraId="000005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will take the foreign contractor some six years[68] to recover fully all its pre-operating, exploration and development expenses. If the usual three-year pre-operating period is counted, the government cannot collect any tax, duty or fee from the foreign contractor and its stockholders for a total period of nine years from the signing of the FTAA.</w:t>
      </w:r>
    </w:p>
    <w:p w:rsidR="00000000" w:rsidDel="00000000" w:rsidP="00000000" w:rsidRDefault="00000000" w:rsidRPr="00000000" w14:paraId="000005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1987 Constitution vests in Congress the power to prescribe the “general terms and conditions” of FTAAs. The most important term or condition is their fiscal regime, which must clearly lay down the share of the State in the mining revenues of the foreign contractor. In the Mining Act, Congress prescribed a fiscal regime that was constitutionally deficient for both the FTAAs and the MPSAs, because it limited the share of the State to the usual taxes, duties and fees. The Act did not require FTAA or MPSA contractors to pay the State any share from their mining revenues.</w:t>
      </w:r>
    </w:p>
    <w:p w:rsidR="00000000" w:rsidDel="00000000" w:rsidP="00000000" w:rsidRDefault="00000000" w:rsidRPr="00000000" w14:paraId="000005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issuing DAO 99-56, the DENR secretary usurped the power of Congress to prescribe the terms and conditions of FTAAs. DAO 99-56 purports to “establish the fiscal regime of FTAAs” despite the absence of guidelines or standards from Congress. It is void because the DENR secretary has clearly no power to prescribe the fiscal regime of FTAAs, particularly the government's non-tax share from mining revenues.</w:t>
      </w:r>
    </w:p>
    <w:p w:rsidR="00000000" w:rsidDel="00000000" w:rsidP="00000000" w:rsidRDefault="00000000" w:rsidRPr="00000000" w14:paraId="000005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President cannot save the Mining Act from constitutional infirmity by requiring FTAA contractors to pay the State a share from their mining revenues. Neither can this Court elevate DAO 99-56 to the status of a law to plug a fatal constitutional hole in the Mining Act.</w:t>
      </w:r>
    </w:p>
    <w:p w:rsidR="00000000" w:rsidDel="00000000" w:rsidP="00000000" w:rsidRDefault="00000000" w:rsidRPr="00000000" w14:paraId="00000592">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Morales Dissent</w:t>
      </w:r>
    </w:p>
    <w:p w:rsidR="00000000" w:rsidDel="00000000" w:rsidP="00000000" w:rsidRDefault="00000000" w:rsidRPr="00000000" w14:paraId="000005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to the points set forth by Justice Morales in her previous Dissenting Opinion, the following were underscored in the new one she filed.</w:t>
      </w:r>
    </w:p>
    <w:p w:rsidR="00000000" w:rsidDel="00000000" w:rsidP="00000000" w:rsidRDefault="00000000" w:rsidRPr="00000000" w14:paraId="000005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Economic considerations “are inappropriate and inapplicable to the determination of the constitutionality of the Mining Act. x x x [J]udicial decision making should not be influenced by a desired economic outcome, but should be the product of the application of established neutral legal principles to the facts and the law of the case. If, in deciding a question of constitutionality, a judicial decision should reflect a particular economic perspective, it should only be that adopted by the Constitution itself.”</w:t>
      </w:r>
    </w:p>
    <w:p w:rsidR="00000000" w:rsidDel="00000000" w:rsidP="00000000" w:rsidRDefault="00000000" w:rsidRPr="00000000" w14:paraId="000005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Certainty, predictability and stability in the law are the major objectives of the legal system, and judicial decisions serve the important purpose of providing stability to the law and to the society governed by that law. These desired objectives can be achieved only if courts render decisions based on legal principles.</w:t>
      </w:r>
    </w:p>
    <w:p w:rsidR="00000000" w:rsidDel="00000000" w:rsidP="00000000" w:rsidRDefault="00000000" w:rsidRPr="00000000" w14:paraId="000005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should not heed the apprehension of some foreign businessmen that the original Decision in this case might hamper the government’s efforts to resuscitate the mining industry and ultimately result in “the possible loss of billions of dollars of investments and exports and tens of thousands of jobs....”[69] It should not be unwittingly swayed by peripheral and irrelevant economic arguments, in its well-intentioned desire to encourage economic recovery and prop up the floundering mining industry. Otherwise, the stability of our jurisprudence would be undermined; and the administration of justice, constantly subjected to speculation.</w:t>
      </w:r>
    </w:p>
    <w:p w:rsidR="00000000" w:rsidDel="00000000" w:rsidP="00000000" w:rsidRDefault="00000000" w:rsidRPr="00000000" w14:paraId="0000059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C">
      <w:pPr>
        <w:pStyle w:val="Heading1"/>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F">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16</w:t>
      </w:r>
    </w:p>
    <w:p w:rsidR="00000000" w:rsidDel="00000000" w:rsidP="00000000" w:rsidRDefault="00000000" w:rsidRPr="00000000" w14:paraId="000005A0">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A1">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Abakada Guro Partylist v. Ermita: The Constitutionality of the E-Vat Law</w:t>
      </w:r>
    </w:p>
    <w:p w:rsidR="00000000" w:rsidDel="00000000" w:rsidP="00000000" w:rsidRDefault="00000000" w:rsidRPr="00000000" w14:paraId="000005A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Republic Act (RA) 9337 -- the controversial Expanded Value-Added Tax (E-VAT) Law -- is constitutional in its entirety. In a Decision penned by Justice Ma. Alicia Austria-Martinez, the Supreme Court, by a majority vote, dismissed all the five Petitions challenging the constitutionality of the statute. A minority of the justices, however, voted to declare some specific provisions of the E-VAT Law unconstitutional.</w:t>
      </w:r>
    </w:p>
    <w:p w:rsidR="00000000" w:rsidDel="00000000" w:rsidP="00000000" w:rsidRDefault="00000000" w:rsidRPr="00000000" w14:paraId="000005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Alongside its Decision, the Court also issued a unanimous Resolution holding former Finance Secretary Cesar V. Purisima guilty of indirect contempt of court and imposing on him a fine of P20,000 for statements released to the media. Those statements had placed the Court and its members “into dishonor, disrepute and discredit, and degrades the administration of justice.”</w:t>
      </w:r>
    </w:p>
    <w:p w:rsidR="00000000" w:rsidDel="00000000" w:rsidP="00000000" w:rsidRDefault="00000000" w:rsidRPr="00000000" w14:paraId="000005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set the Decision in the proper perspective, let me narrate the facts.</w:t>
      </w:r>
    </w:p>
    <w:p w:rsidR="00000000" w:rsidDel="00000000" w:rsidP="00000000" w:rsidRDefault="00000000" w:rsidRPr="00000000" w14:paraId="000005A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5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legislative bills -- two in the House and one in the Senate -- were approved to restructure the value-added tax by amending the National Internal Revenue Code (NIRC) of 1997. Because of disagreeing provisions between the House and the Senate bills, a Bicameral Conference Committee (BCC) was created. Before long, the BCC came up with its Report, which was submitted and approved by both houses of Congress. The enrolled copy of the consolidated bills was then transmitted to the President, who signed it into law on May 24, 2005. The E-VAT Law, RA 9337, was to become effective on July 1, 2005.</w:t>
      </w:r>
    </w:p>
    <w:p w:rsidR="00000000" w:rsidDel="00000000" w:rsidP="00000000" w:rsidRDefault="00000000" w:rsidRPr="00000000" w14:paraId="000005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that same day, however, the Supreme Court issued a TRO, effective immediately and to continue until further orders. Five Petitions, all alleging the unconstitutionality of certain sections of the law, and seeking to enjoin respondents from enforcing and implementing it, prompted the TRO.</w:t>
      </w:r>
    </w:p>
    <w:p w:rsidR="00000000" w:rsidDel="00000000" w:rsidP="00000000" w:rsidRDefault="00000000" w:rsidRPr="00000000" w14:paraId="000005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Abakada Guro Party List et al. (AGPL) and Senator Aquilino Q. Pimentel Jr. et al. questioned the constitutionality of Sections 4, 5 and 6 of RA 9337. Those provisions, which amended the NIRC’s Sections 106, 107 and 108, contained a uniform proviso (the so-called “standby authority”) authorizing the President, upon the recommendation of the finance secretary, to raise the VAT rate from 10 percent to 12 percent, effective January 1, 2006, after any of the following conditions would have been satisfied:</w:t>
      </w:r>
    </w:p>
    <w:p w:rsidR="00000000" w:rsidDel="00000000" w:rsidP="00000000" w:rsidRDefault="00000000" w:rsidRPr="00000000" w14:paraId="000005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VAT collection as a percentage of Gross Domestic Product (GDP) of the previous year (meaning 2005) exceeds two and four-fifth percent (2 4/5%); or</w:t>
      </w:r>
    </w:p>
    <w:p w:rsidR="00000000" w:rsidDel="00000000" w:rsidP="00000000" w:rsidRDefault="00000000" w:rsidRPr="00000000" w14:paraId="000005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National government deficit as a percentage of GDP of the previous year (2005) exceeds one and one-half percent (1 ½ %).”</w:t>
      </w:r>
    </w:p>
    <w:p w:rsidR="00000000" w:rsidDel="00000000" w:rsidP="00000000" w:rsidRDefault="00000000" w:rsidRPr="00000000" w14:paraId="000005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argued that the E-VAT law was unconstitutional, because it (1) constituted an abdication by Congress of its exclusive authority to fix the rate of taxes under Section 28(2) of Article VI of the Constitution; (2) amounted to an undue delegation of legislative power; and (3) imposed an unfair and additional tax burden on the people, in violation of the due process clause and the “no-amendment” rule of the Constitution.</w:t>
      </w:r>
    </w:p>
    <w:p w:rsidR="00000000" w:rsidDel="00000000" w:rsidP="00000000" w:rsidRDefault="00000000" w:rsidRPr="00000000" w14:paraId="000005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its part, Petitioner Association of Pilipinas Shell Dealers, Inc., et al. (APSDI) submitted that Section 8 -- which had amended Sections 110(A)(2) and 110(B) of the NIRC) -- and Section 12 of the E-VAT Law were arbitrary, oppressive, excessive and confiscatory. The amendments allegedly transgressed the constitutional guarantees of due process and equal protection of the law. In particular, petitioners charged that the 70 percent limit on the amount of input tax that could be credited against the output tax (Section 12) was regressive and, hence, contrary to Section 28(1) of Article VI of the Constitution.</w:t>
      </w:r>
    </w:p>
    <w:p w:rsidR="00000000" w:rsidDel="00000000" w:rsidP="00000000" w:rsidRDefault="00000000" w:rsidRPr="00000000" w14:paraId="000005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challenging Sections 4, 5 and 6 of RA 9337, another group of petitioners – led by Representative Francis Joseph G. Escudero[21] -- assailed the deletion by the BCC of the “no-pass-on” provisions that were present in Senate Bill (SB) 1950 and House Bill (HB) 3705. The group added that the BCC’s insertion of 13 Sections that were extant only in the Senate bill had run counter to Section 24(1) of Article VI of the Constitution. According to that provision, all appropriation, revenue or tariff bills shall originate exclusively from the House of Representatives.</w:t>
      </w:r>
    </w:p>
    <w:p w:rsidR="00000000" w:rsidDel="00000000" w:rsidP="00000000" w:rsidRDefault="00000000" w:rsidRPr="00000000" w14:paraId="000005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Petitioner Enrique T. Garcia,[22] the governor of Bataan, contended that the law was unconstitutional, because the limitation on the creditable input tax would in effect allow VAT-registered entities to retain a portion of the taxes they would collect and thus violate the “public purpose” principle in allocating tax collection and revenue.</w:t>
      </w:r>
    </w:p>
    <w:p w:rsidR="00000000" w:rsidDel="00000000" w:rsidP="00000000" w:rsidRDefault="00000000" w:rsidRPr="00000000" w14:paraId="000005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Appearing for the respondents, the Office of the Solicitor General (OSG) contended that (1) RA 9337 enjoyed the presumption of constitutionality; (2) the procedural issues on the legality of the bicameral proceedings, the exclusive origination of revenue measures, and the power of the Senate in relation to those issues had already been settled in Tolentino v. Secretary of Finance; and (3) the law was complete and left no discretion to the President. Also refuted was the alleged arbitrary, oppressive and confiscatory character of the increase to 12 percent, the 70 percent limitation on the creditable input tax, the 60-month amortization of purchases or importation of capital goods amounting to more than P1 million, and the 5 percent final withholding tax by government agencies. Finally, it was stressed that the E-VAT Law was the anchor of the government’s fiscal reform agenda.</w:t>
      </w:r>
    </w:p>
    <w:p w:rsidR="00000000" w:rsidDel="00000000" w:rsidP="00000000" w:rsidRDefault="00000000" w:rsidRPr="00000000" w14:paraId="000005B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Issues</w:t>
      </w:r>
    </w:p>
    <w:p w:rsidR="00000000" w:rsidDel="00000000" w:rsidP="00000000" w:rsidRDefault="00000000" w:rsidRPr="00000000" w14:paraId="000005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procedural issue was whether RA 9337 violated Sections 24 and 26(2) of Article VI of the Constitution.</w:t>
      </w:r>
    </w:p>
    <w:p w:rsidR="00000000" w:rsidDel="00000000" w:rsidP="00000000" w:rsidRDefault="00000000" w:rsidRPr="00000000" w14:paraId="000005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substantive issues were as follows:</w:t>
      </w:r>
    </w:p>
    <w:p w:rsidR="00000000" w:rsidDel="00000000" w:rsidP="00000000" w:rsidRDefault="00000000" w:rsidRPr="00000000" w14:paraId="000005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Sections 4, 5 and 6 of RA 9337 violated Sections 28(1) and 28(2) of Article VI of the Constitution</w:t>
      </w:r>
    </w:p>
    <w:p w:rsidR="00000000" w:rsidDel="00000000" w:rsidP="00000000" w:rsidRDefault="00000000" w:rsidRPr="00000000" w14:paraId="000005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Sections 8 and 12 of RA No. 9337 violated Section 28 (1) of Article VI and Section 1 of Article III of the Constitution</w:t>
      </w:r>
    </w:p>
    <w:p w:rsidR="00000000" w:rsidDel="00000000" w:rsidP="00000000" w:rsidRDefault="00000000" w:rsidRPr="00000000" w14:paraId="000005B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5B7">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Procedural Issue</w:t>
      </w:r>
    </w:p>
    <w:p w:rsidR="00000000" w:rsidDel="00000000" w:rsidP="00000000" w:rsidRDefault="00000000" w:rsidRPr="00000000" w14:paraId="000005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procedural issue, the Court ruled in the negative.</w:t>
      </w:r>
    </w:p>
    <w:p w:rsidR="00000000" w:rsidDel="00000000" w:rsidP="00000000" w:rsidRDefault="00000000" w:rsidRPr="00000000" w14:paraId="000005B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No Irregularity in the BCC Proceedings</w:t>
      </w:r>
    </w:p>
    <w:p w:rsidR="00000000" w:rsidDel="00000000" w:rsidP="00000000" w:rsidRDefault="00000000" w:rsidRPr="00000000" w14:paraId="000005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(SC) stressed that the powers of the BCC had been laid down in the internal rules of the House and the Senate. At the outset, the SC held that even its expanded jurisdiction did not allow it to go behind the enrolled copy[24] of the bill in order to probe alleged irregularities in the BCC. That kind of question pertained to the compliance of Congress with its own internal rules. As early as 1994, Tolentino v. Secretary of Finance had already declared that “if a change is desired in the practice of the [BCC], it must be sought in Congress since this question is not covered by any constitutional provision but is only an internal rule of each House.”</w:t>
      </w:r>
    </w:p>
    <w:p w:rsidR="00000000" w:rsidDel="00000000" w:rsidP="00000000" w:rsidRDefault="00000000" w:rsidRPr="00000000" w14:paraId="000005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the Court dwelt on the proceedings of the BCC. It was held that to “reconcile” or “harmonize” the provisions, the Committee may “(a) adopt specific provisions of either the House bill or the Senate bill; (b) decide that the provisions in neither the House bill nor the Senate bill would be carried into the final form; and/or (c) try to arrive at a compromise between the disagreeing provisions.”</w:t>
      </w:r>
    </w:p>
    <w:p w:rsidR="00000000" w:rsidDel="00000000" w:rsidP="00000000" w:rsidRDefault="00000000" w:rsidRPr="00000000" w14:paraId="000005B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No Violation of the “No-Amendment” Rule</w:t>
      </w:r>
    </w:p>
    <w:p w:rsidR="00000000" w:rsidDel="00000000" w:rsidP="00000000" w:rsidRDefault="00000000" w:rsidRPr="00000000" w14:paraId="000005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Reiterating Tolentino, the Court pointed out that the “no-amendment” rule “refers only to the procedure to be followed by each house of Congress with regard to bills initiated in each of said respective houses, before said bill is transmitted to the other house for its concurrence or amendment.”</w:t>
      </w:r>
    </w:p>
    <w:p w:rsidR="00000000" w:rsidDel="00000000" w:rsidP="00000000" w:rsidRDefault="00000000" w:rsidRPr="00000000" w14:paraId="000005B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No Violation of the “Exclusive Origination” Rule</w:t>
      </w:r>
    </w:p>
    <w:p w:rsidR="00000000" w:rsidDel="00000000" w:rsidP="00000000" w:rsidRDefault="00000000" w:rsidRPr="00000000" w14:paraId="000005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amendments regarding corporate income, percentage and excise taxes,[26] it was recalled that the initiative to amend provisions of the NIRC (dealing mainly with the VAT) had come from House Bills (HBs) 3555 and 3705. Under its constitutional power to introduce amendments to the House bill, the Senate then came out with SB 1950, proposing amendments to NIRC provisions not only on the VAT, but also on the other kinds of tax.</w:t>
      </w:r>
    </w:p>
    <w:p w:rsidR="00000000" w:rsidDel="00000000" w:rsidP="00000000" w:rsidRDefault="00000000" w:rsidRPr="00000000" w14:paraId="000005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Iterating Tolentino, the Court stressed that “it is not the law -- but the revenue bill -- which is required by the Constitution to ‘originate exclusively’ in the House of Representatives”; and that “[g]iven, then, the power of the Senate to propose amendments, the Senate can propose its own version even with respect to bills which are required by the Constitution to originate in the House x x x.”</w:t>
      </w:r>
    </w:p>
    <w:p w:rsidR="00000000" w:rsidDel="00000000" w:rsidP="00000000" w:rsidRDefault="00000000" w:rsidRPr="00000000" w14:paraId="000005C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Substantive Issues</w:t>
      </w:r>
    </w:p>
    <w:p w:rsidR="00000000" w:rsidDel="00000000" w:rsidP="00000000" w:rsidRDefault="00000000" w:rsidRPr="00000000" w14:paraId="000005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first substantive issue, the Court ruled that there was no undue delegation of legislative power, and that the 12 percent increase in the VAT rate did not impose any unfair and unnecessary additional tax burden.</w:t>
      </w:r>
    </w:p>
    <w:p w:rsidR="00000000" w:rsidDel="00000000" w:rsidP="00000000" w:rsidRDefault="00000000" w:rsidRPr="00000000" w14:paraId="000005C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No Undue Delegation of Legislative Power</w:t>
      </w:r>
    </w:p>
    <w:p w:rsidR="00000000" w:rsidDel="00000000" w:rsidP="00000000" w:rsidRDefault="00000000" w:rsidRPr="00000000" w14:paraId="000005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argued that that the grant to the President of a standby authority to increase the VAT rate was a virtual abdication by Congress of its exclusive power to tax, because the VAT was not within the purview of tariffs. They further contended that the delegation to the Chief Executive of the legislative power to tax was contrary to the principle of republicanism; and that “the President has ample powers to cause, influence or create the conditions provided by the law to bring about either or both conditions precedent.” Petitioners Escudero et al. added that to subject the imposition of the 12 percent VAT rate to the whim of the finance secretary, an unelected bureaucrat, was contrary to the principle of “no taxation without representation.”</w:t>
      </w:r>
    </w:p>
    <w:p w:rsidR="00000000" w:rsidDel="00000000" w:rsidP="00000000" w:rsidRDefault="00000000" w:rsidRPr="00000000" w14:paraId="000005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brief discourse on the principle of non-delegation of powers, the Supreme Court pointed out that the general rule barring the delegation of legislative powers was subject to certain recognized limitations or exceptions. In every case of permissible delegation, it said, “there must be a showing that the delegation itself [was] valid”; that is, (a) the law was complete in itself -- it spelled out the policy to be executed, carried out, or implemented by the delegate; and (b) the law fixed a standard to which the performance of a delegate’s functions must conform – a standard whose limits were sufficiently determinate and determinable.</w:t>
      </w:r>
    </w:p>
    <w:p w:rsidR="00000000" w:rsidDel="00000000" w:rsidP="00000000" w:rsidRDefault="00000000" w:rsidRPr="00000000" w14:paraId="000005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People v. Vera and Edu v. Ericta, the Court then declared that “[w]hile the power to tax cannot be delegated to executive agencies, details as to the enforcement and administration of an exercise of such power may be left to them, including the power to determine the existence of facts on which its operation depends.”</w:t>
      </w:r>
    </w:p>
    <w:p w:rsidR="00000000" w:rsidDel="00000000" w:rsidP="00000000" w:rsidRDefault="00000000" w:rsidRPr="00000000" w14:paraId="000005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Here, the common proviso in Sections 4, 5 and 6 of RA 9337 involved simply a delegation of the ascertainment of facts upon which the operation of the 12 percent VAT rate effective January 1, 2006, would be made contingent. There was no discretion to be exercised by the President, as may be gleaned from the use of the word “shall.”</w:t>
      </w:r>
    </w:p>
    <w:p w:rsidR="00000000" w:rsidDel="00000000" w:rsidP="00000000" w:rsidRDefault="00000000" w:rsidRPr="00000000" w14:paraId="000005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in making recommendations to the President on the existence of either of the two specified conditions, the finance secretary was not acting as the Chief Executive’s alter ego or even subordinate. Rather, the finance chief was acting as the “agent of the legislative department, to determine and declare the event upon which its expressed will is to take effect.” This being so, the findings of the secretary could not be altered, modified, nullified or set aside by the President; much less could the judgment of the former be substituted for that of the latter.</w:t>
      </w:r>
    </w:p>
    <w:p w:rsidR="00000000" w:rsidDel="00000000" w:rsidP="00000000" w:rsidRDefault="00000000" w:rsidRPr="00000000" w14:paraId="000005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Increase of the VAT Rate to 12 Percent Not Unfair or Unnecessary</w:t>
      </w:r>
    </w:p>
    <w:p w:rsidR="00000000" w:rsidDel="00000000" w:rsidP="00000000" w:rsidRDefault="00000000" w:rsidRPr="00000000" w14:paraId="000005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alleged ambiguity in the 12 percent increase was also brushed aside by the Court; the provisions of the law were clear and did not provide for a return of the 10 percent rate. Neither did they empower the President to revert to the old rate if either of the two conditions precedent no longer existed.</w:t>
      </w:r>
    </w:p>
    <w:p w:rsidR="00000000" w:rsidDel="00000000" w:rsidP="00000000" w:rsidRDefault="00000000" w:rsidRPr="00000000" w14:paraId="000005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second substantive issue, it was held there was no violation of either the due process or the equal protection clause. Neither were the constitutional provisions mandating the uniformity, equitability and progressivity of taxation transgressed by Sections 8 and 12 of RA 9337.</w:t>
      </w:r>
    </w:p>
    <w:p w:rsidR="00000000" w:rsidDel="00000000" w:rsidP="00000000" w:rsidRDefault="00000000" w:rsidRPr="00000000" w14:paraId="000005CD">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Due Process and Equal Protection Clauses</w:t>
      </w:r>
    </w:p>
    <w:p w:rsidR="00000000" w:rsidDel="00000000" w:rsidP="00000000" w:rsidRDefault="00000000" w:rsidRPr="00000000" w14:paraId="000005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Invoking the due process and equal protection clauses of the Constitution, Petitioners APSDI et al. argued that the 70 percent cap on the creditable input tax was arbitrary, oppressive, excessive and confiscatory.</w:t>
      </w:r>
    </w:p>
    <w:p w:rsidR="00000000" w:rsidDel="00000000" w:rsidP="00000000" w:rsidRDefault="00000000" w:rsidRPr="00000000" w14:paraId="000005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declared that the above contention was not absolute. First, the argument assumed that the input tax would exceed 70 percent of the output tax, but the assumption would not always hold. Second, the excess input tax, if any, was retained in the book of accounts of the taxpayer and remained creditable in the succeeding quarter/s. Third, the nonapplication of the unused input tax in a given quarter was not ad infinitum, because the tax could be credited in the subsequent periods, based on the carry-over provision of Section 110(B). Or the input tax could later on be refunded through a tax credit certificate under Section 112 (B).</w:t>
      </w:r>
    </w:p>
    <w:p w:rsidR="00000000" w:rsidDel="00000000" w:rsidP="00000000" w:rsidRDefault="00000000" w:rsidRPr="00000000" w14:paraId="000005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next discussed Petitioner Garcia’s contention that the limitation on the creditable input tax in effect allowed VAT-registered establishments to retain a portion of the taxes they would collect, in violation of the principle that tax collection and revenue should be for public purposes and expenditures. Debunking that claim, the Court declared that there was “no retention of any tax collection because the person/taxpayer has already previously paid the input tax to a seller, and the latter will subsequently remit such input tax to the BIR.” What only needed to be done, the Court stressed, was for the taxpayers to apply or credit those input taxes, as evidenced by receipts, against their output taxes.</w:t>
      </w:r>
    </w:p>
    <w:p w:rsidR="00000000" w:rsidDel="00000000" w:rsidP="00000000" w:rsidRDefault="00000000" w:rsidRPr="00000000" w14:paraId="000005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found no merit, either, in the argument that the input tax would partake of the nature of a property that may not be confiscated, appropriated, or limited without due process of law. Reminding APSDI et al. that a VAT-registered person’s entitlement to the creditable input tax was a mere statutory privilege over which no person had any vested rights, the Court emphasized that the privilege may be removed or limited by law, as in this case. For that matter, it explained that the 60-month period for amortizing the creditable input tax on the purchase or importation of capital goods worth more than P1 million “only poses a delay in the crediting of the input tax” to enable the government to raise an annual revenue of P22.6 billion. The taxpayers, however, would not be permanently deprived of their privilege to credit the input tax.</w:t>
      </w:r>
    </w:p>
    <w:p w:rsidR="00000000" w:rsidDel="00000000" w:rsidP="00000000" w:rsidRDefault="00000000" w:rsidRPr="00000000" w14:paraId="000005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5 percent creditable withholding tax imposed on payments made by the government for taxable transactions (Section 12 of RA 9337 amending Section 114 of the NIRC), the Court stressed that the amendatory Section merely provided a method of collection, in which the government was constituted as a withholding agent for payments for goods and services. As explained in Revenue Regulations 02-98,[34] this ruling meant that taxable transactions with the government would be subject to a 5 percent rate constituting “full payment of the tax payable on the transaction.”</w:t>
      </w:r>
    </w:p>
    <w:p w:rsidR="00000000" w:rsidDel="00000000" w:rsidP="00000000" w:rsidRDefault="00000000" w:rsidRPr="00000000" w14:paraId="000005D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Uniformity of Taxation</w:t>
      </w:r>
    </w:p>
    <w:p w:rsidR="00000000" w:rsidDel="00000000" w:rsidP="00000000" w:rsidRDefault="00000000" w:rsidRPr="00000000" w14:paraId="000005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matter of the uniformity of taxation under RA 9337, the Court held that the law provided a standard rate of 0 percent or 10 percent (or 12 percent) on all goods and services; the law did not distinguish between types of industry or trade that would bear the 70 percent limitation on the creditable input tax, the 5-year amortization of input tax paid on purchases of capital goods, or the 5 percent final withholding tax imposed by the government.</w:t>
      </w:r>
    </w:p>
    <w:p w:rsidR="00000000" w:rsidDel="00000000" w:rsidP="00000000" w:rsidRDefault="00000000" w:rsidRPr="00000000" w14:paraId="000005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added that the E-VAT Law was also equitable, because it was equipped with a threshold margin. It said that “[t]he VAT rate of 0 percent or 10 percent (or 12 percent) does not apply to sales of goods or services with gross annual sales or receipts not exceeding P1.5 million.” Furthermore, “basic marine and agricultural food products in their original state are still not subject to the tax, thus ensuring that prices at the grassroots level will remain accessible.” Mitigating measures were also provided to cushion the impact of the imposition of the tax on businesses with low profit margins and on those previously exempt under Section 116.</w:t>
      </w:r>
    </w:p>
    <w:p w:rsidR="00000000" w:rsidDel="00000000" w:rsidP="00000000" w:rsidRDefault="00000000" w:rsidRPr="00000000" w14:paraId="000005D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Progressivity of Taxation</w:t>
      </w:r>
    </w:p>
    <w:p w:rsidR="00000000" w:rsidDel="00000000" w:rsidP="00000000" w:rsidRDefault="00000000" w:rsidRPr="00000000" w14:paraId="000005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Decision explained that the principle of progressive taxation had no relation to the VAT system, inasmuch as the VAT paid by the consumer or business for every good bought or service enjoyed was the same regardless of income. The disparity lay in the income earned by a person or the profit margin marked by a business, such that the higher the income or profit margin, the smaller the portion of the income or profit that would be eaten by VAT.</w:t>
      </w:r>
    </w:p>
    <w:p w:rsidR="00000000" w:rsidDel="00000000" w:rsidP="00000000" w:rsidRDefault="00000000" w:rsidRPr="00000000" w14:paraId="000005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Likewise, it was underscored that the Constitution did not really prohibit the imposition of indirect taxes, like the VAT. What it simply provided was that Congress shall “evolve a progressive system of taxation.” </w:t>
      </w:r>
    </w:p>
    <w:p w:rsidR="00000000" w:rsidDel="00000000" w:rsidP="00000000" w:rsidRDefault="00000000" w:rsidRPr="00000000" w14:paraId="000005D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Separate Opinions</w:t>
      </w:r>
    </w:p>
    <w:p w:rsidR="00000000" w:rsidDel="00000000" w:rsidP="00000000" w:rsidRDefault="00000000" w:rsidRPr="00000000" w14:paraId="000005D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Chief Justice’s Opinion</w:t>
      </w:r>
    </w:p>
    <w:p w:rsidR="00000000" w:rsidDel="00000000" w:rsidP="00000000" w:rsidRDefault="00000000" w:rsidRPr="00000000" w14:paraId="000005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Chief Justice opined that the Senate’s inclusion of amendments to provisions that did not deal with the VAT was invalid. Those amendments dealt with subject matters that were not covered by the bills emanating from the House of Representatives, in violation of Section 24 of Article VI of the Constitution. Thus, he voted to declare Sections 1, 2, 3, 14, 15, 16, 17 and 18 unconstitutional.</w:t>
      </w:r>
    </w:p>
    <w:p w:rsidR="00000000" w:rsidDel="00000000" w:rsidP="00000000" w:rsidRDefault="00000000" w:rsidRPr="00000000" w14:paraId="000005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Chief Justice further opined that the provisions inserted by the BCC into percentage and excise taxes were germane only to SB 1950, but not to the House measures; hence, those provisions had no leg to stand on. He explained:</w:t>
      </w:r>
    </w:p>
    <w:p w:rsidR="00000000" w:rsidDel="00000000" w:rsidP="00000000" w:rsidRDefault="00000000" w:rsidRPr="00000000" w14:paraId="000005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cases, the provisions inserted by the BCC, namely, Sections 121 (Percentage Tax on Banks and Non-Bank Financial Intermediaries) and 151 (Excise Tax on Mineral Products) of the NIRC, as amended, are undoubtedly germane to SB No. 1950, which introduced amendments to the provisions on percentage and excise taxes - - but foreign to HB Nos. 3555 and 3705, which dealt with VAT only. Since the proposed amendments in the Senate bill relating to percentage and excise taxes cannot themselves be sustained because they did not take their root from, or are not related to the subject of, HB Nos. 3705 and 3555, in violation of Section 24, Article VI of the Constitution, the new provisions inserted by the BCC on percentage and excise taxes would have no leg to stand on.</w:t>
      </w:r>
    </w:p>
    <w:p w:rsidR="00000000" w:rsidDel="00000000" w:rsidP="00000000" w:rsidRDefault="00000000" w:rsidRPr="00000000" w14:paraId="000005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understand very well that the amendments of the Senate and the BCC relating to corporate income, percentage, franchise, and excise taxes were designed to ‘soften the impact of VAT measure on the consumer, i.e., by distributing the burden across all sectors instead of putting it entirely on the shoulders of the consumers’ and to alleviate the country’s financial problems by bringing more revenues for the government. However, these commendable intentions do not justify a deviation from the Constitution, which mandates that the initiative for filing revenue bills should come from the House of Representatives, not from the Senate. After all, these aims may still be realized by means of another bill that may later be initiated by the House of Representatives.”</w:t>
      </w:r>
    </w:p>
    <w:p w:rsidR="00000000" w:rsidDel="00000000" w:rsidP="00000000" w:rsidRDefault="00000000" w:rsidRPr="00000000" w14:paraId="000005E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Puno’s Opinion</w:t>
      </w:r>
    </w:p>
    <w:p w:rsidR="00000000" w:rsidDel="00000000" w:rsidP="00000000" w:rsidRDefault="00000000" w:rsidRPr="00000000" w14:paraId="000005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Reynato S. Puno raised the following points:</w:t>
      </w:r>
    </w:p>
    <w:p w:rsidR="00000000" w:rsidDel="00000000" w:rsidP="00000000" w:rsidRDefault="00000000" w:rsidRPr="00000000" w14:paraId="000005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constitutional challenge to Sections 4 to 6 of RA 9337 could not hurdle the requirement of ripeness for the Court to exercise its power of judicial review under Section 5(2) of Article VIII of the 1987 Constitution. Justice Puno said that the power given to the President to adjust the tax rate, upon satisfaction of certain fact-based conditions, was futuristic and may or may not be exercised.</w:t>
      </w:r>
    </w:p>
    <w:p w:rsidR="00000000" w:rsidDel="00000000" w:rsidP="00000000" w:rsidRDefault="00000000" w:rsidRPr="00000000" w14:paraId="000005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As he had argued in Tolentino, the powers of the BCC were limited, for which reason it “cannot be allowed to act as if it were a ‘third house’ of Congress.”</w:t>
      </w:r>
    </w:p>
    <w:p w:rsidR="00000000" w:rsidDel="00000000" w:rsidP="00000000" w:rsidRDefault="00000000" w:rsidRPr="00000000" w14:paraId="000005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Under the clear rules of both the Senate and the House, the BCC could “go no further than settling differences in their bills or joint resolutions.” Neither could the Committee, on its own, settle differences that were substantial in character. In the latter situation, it had to go back to the chamber that had created it “for the latter’s appropriate action.” Thus, it could not “create a new law, i.e., that which has never been discussed in either chamber of Congress.”</w:t>
      </w:r>
    </w:p>
    <w:p w:rsidR="00000000" w:rsidDel="00000000" w:rsidP="00000000" w:rsidRDefault="00000000" w:rsidRPr="00000000" w14:paraId="000005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Constituting grave abuse of discretion that amounted to lack or excess of jurisdiction, and that should be struck down as unconstitutional, were the following acts of the BCC:</w:t>
      </w:r>
    </w:p>
    <w:p w:rsidR="00000000" w:rsidDel="00000000" w:rsidP="00000000" w:rsidRDefault="00000000" w:rsidRPr="00000000" w14:paraId="000005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Its deletion of the pro poor ‘no pass on provision’ which is common in both Senate Bill No. 1950 and House Bill No. 3705. x x x”</w:t>
      </w:r>
    </w:p>
    <w:p w:rsidR="00000000" w:rsidDel="00000000" w:rsidP="00000000" w:rsidRDefault="00000000" w:rsidRPr="00000000" w14:paraId="000005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insertion of ‘added restrictions on local government’s use of incremental revenue from the VAT in Section 21 of R.A. No. 9337, which were not present in the Senate or House Bills,’ which did not harmonize conflicting provisions between the constituent bills of R.A. No. 9337 but are entirely new and extraneous concepts.”</w:t>
      </w:r>
    </w:p>
    <w:p w:rsidR="00000000" w:rsidDel="00000000" w:rsidP="00000000" w:rsidRDefault="00000000" w:rsidRPr="00000000" w14:paraId="000005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test of “germaneness” was overly broad. It allowed the BCC to change provisions in the bills of the House and the Senate, even when not in disagreement. “Worse still, it enables the Committee to introduce amendments which are entirely new and have not previously passed through the coils of scrutiny of the members of both Houses.”</w:t>
      </w:r>
    </w:p>
    <w:p w:rsidR="00000000" w:rsidDel="00000000" w:rsidP="00000000" w:rsidRDefault="00000000" w:rsidRPr="00000000" w14:paraId="000005E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My Separate Opinion</w:t>
      </w:r>
    </w:p>
    <w:p w:rsidR="00000000" w:rsidDel="00000000" w:rsidP="00000000" w:rsidRDefault="00000000" w:rsidRPr="00000000" w14:paraId="000005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voted to grant the Petitions partially; and to declare Sections 1, 2, and 3 of RA 9337 unconstitutional, insofar as they (a) amended the rates of income tax on domestic, resident foreign, and nonresident foreign corporations; (b) amended the tax credit against taxes due on intercorporate dividends from nonresident foreign corporations; and (c) reduced the allowable deduction for interest expense. As to the other provisions, I submitted that they were constitutional.</w:t>
      </w:r>
    </w:p>
    <w:p w:rsidR="00000000" w:rsidDel="00000000" w:rsidP="00000000" w:rsidRDefault="00000000" w:rsidRPr="00000000" w14:paraId="000005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I pointed out the non-absolute character of the enrolled bill doctrine, which held that an enrolled bill was conclusive not only as to the provisions of a law, but also as to its due enactment. I said that the doctrine applied mainly to the internal rules and processes followed by Congress in its principal duty of lawmaking. Such doctrine must yield to mandatory provisions of the 1987 Constitution. Thus, the Court had the power and duty to strike down any provision of a law that in its enactment would violate conditions, restrictions or limitations imposed by the Constitution.</w:t>
      </w:r>
    </w:p>
    <w:p w:rsidR="00000000" w:rsidDel="00000000" w:rsidP="00000000" w:rsidRDefault="00000000" w:rsidRPr="00000000" w14:paraId="000005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Being a mere creation of Congress, the BCC may resolve differences only in conflicting provisions of congressional bills referred to it; and only on the condition that the resolution would not violate the “origination,” the “three-reading,” and the “no-amendment” rules of the Constitution.</w:t>
      </w:r>
    </w:p>
    <w:p w:rsidR="00000000" w:rsidDel="00000000" w:rsidP="00000000" w:rsidRDefault="00000000" w:rsidRPr="00000000" w14:paraId="000005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it was my position that the origination or germaneness principles were not violated by the BCC when it crafted changes to reconcile the conflicting provisions of the Senate and the House bills. In particular, those changes were the 70 percent cap and the 5 percent final withholding VAT; percentage taxes on domestic carriers, keepers of garages and international carriers; franchise taxes; amusement taxes; excise taxes on manufactured oils and other fuels; registration requirements; the issuance of receipts, sales or commercial invoices; and the disposition of incremental revenues. All of those modifications were within the powers of the BCC.</w:t>
      </w:r>
    </w:p>
    <w:p w:rsidR="00000000" w:rsidDel="00000000" w:rsidP="00000000" w:rsidRDefault="00000000" w:rsidRPr="00000000" w14:paraId="000005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there was no undue delegation of legislative power in the standby authority given by Congress to the President, because the law was complete and the standards were fixed. Once either the factual or the mathematical events provided in the law took place, the President would have no choice but to implement the increase of the VAT rate to 12 percent. Thus, the Chief Executive was given merely the power to ascertain the facts to bring the law into operation -- clearly an administrative, not a legislative, function.</w:t>
      </w:r>
    </w:p>
    <w:p w:rsidR="00000000" w:rsidDel="00000000" w:rsidP="00000000" w:rsidRDefault="00000000" w:rsidRPr="00000000" w14:paraId="000005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disagreed with the majority, however, when it averred that the finance secretary would become an agent of Congress in determining and declaring the event upon which its expressed will was to take effect; and that the secretary’s personality was “in reality but a projection of that of Congress.” Maintaining that the finance secretary remained the Chief Executive’s alter ego, I argued thus:</w:t>
      </w:r>
    </w:p>
    <w:p w:rsidR="00000000" w:rsidDel="00000000" w:rsidP="00000000" w:rsidRDefault="00000000" w:rsidRPr="00000000" w14:paraId="000005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mandate given by RA 9337 to the secretary is not equipollent to an authority to make laws. In passing this law, Congress did not restrict or curtail the constitutional power of the President to retain control and supervision over the entire Executive Department. The law should be construed to be merely asking the President, with a recommendation from the President’s alter ego in finance matters, to determine the factual bases for making the increase in VAT rate operative. Indeed, as I have mentioned earlier, the fact-finding condition is a mere administrative, not legislative, function.”</w:t>
      </w:r>
    </w:p>
    <w:p w:rsidR="00000000" w:rsidDel="00000000" w:rsidP="00000000" w:rsidRDefault="00000000" w:rsidRPr="00000000" w14:paraId="000005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I opined that the BCC had exercised its prerogative to delete the no-pass-on provisions, which were in conflict. Its authority to make amendments implied the power to make not only insertions, but also deletions, in order to resolve conflicting provisions. But the BCC blatantly violated the origination and the germaneness principles when it inserted provisions not found in the House versions of the E-VAT Law: those (1) increasing the tax rates on domestic, resident foreign and nonresident foreign corporations; (2) raising the tax credit against taxes due on intercorporate dividends from nonresident foreign corporations; and (3) reducing the allowable deduction for interest expense. The amendments regarding income taxes were not legally germane to the subject matter of the House bills.</w:t>
      </w:r>
    </w:p>
    <w:p w:rsidR="00000000" w:rsidDel="00000000" w:rsidP="00000000" w:rsidRDefault="00000000" w:rsidRPr="00000000" w14:paraId="000005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I maintained that the advantages and the disadvantages of the E-VAT Law, as well as its long-term effects on the economy, were beyond the reach of judicial review.</w:t>
      </w:r>
    </w:p>
    <w:p w:rsidR="00000000" w:rsidDel="00000000" w:rsidP="00000000" w:rsidRDefault="00000000" w:rsidRPr="00000000" w14:paraId="000005F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Santiago’s Opinion</w:t>
      </w:r>
    </w:p>
    <w:p w:rsidR="00000000" w:rsidDel="00000000" w:rsidP="00000000" w:rsidRDefault="00000000" w:rsidRPr="00000000" w14:paraId="000005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Joining Justice Puno, Justice Consuelo Ynares-Santiago said that the BCC’s amendments, which were not found in either the House or the Senate version of the VAT reform bills, had been inserted merely by the Committee and then included in RA 9337. Thus, the law should be declared unconstitutional. Moreover, she held as follows:</w:t>
      </w:r>
    </w:p>
    <w:p w:rsidR="00000000" w:rsidDel="00000000" w:rsidP="00000000" w:rsidRDefault="00000000" w:rsidRPr="00000000" w14:paraId="000005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settling the disagreeing provisions of the House and Senate bills, the BCC may either: (a) adopt the specific provisions of either the House bill or Senate bill, or (b) decide that neither provisions in the House bill or the provisions in the Senate bill would be carried into the final form of the bill, but cannot arrive at a compromise as to introduce provisions not included in either the House or Senate bill. A mere ad hoc committee cannot substitute the will of the entire Congress.</w:t>
      </w:r>
    </w:p>
    <w:p w:rsidR="00000000" w:rsidDel="00000000" w:rsidP="00000000" w:rsidRDefault="00000000" w:rsidRPr="00000000" w14:paraId="000005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When the BCC goes beyond its limited function by substituting its own judgment for that of either of the two houses, it violates the internal rules of Congress and contravenes material restrictions imposed by the Constitution, particularly the threereading requirement[41] and the no-amendment rule.</w:t>
      </w:r>
    </w:p>
    <w:p w:rsidR="00000000" w:rsidDel="00000000" w:rsidP="00000000" w:rsidRDefault="00000000" w:rsidRPr="00000000" w14:paraId="000005F7">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Gutierrez’s Opinion</w:t>
      </w:r>
    </w:p>
    <w:p w:rsidR="00000000" w:rsidDel="00000000" w:rsidP="00000000" w:rsidRDefault="00000000" w:rsidRPr="00000000" w14:paraId="000005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Angelina Sandoval-Gutierrez said that it was “high time to re-examine the test of germaneness proffered in Tolentino”; that the BCC “cannot exercise its unbridled discretion” and “create a new law”; and that the deletion of the no-pass-on provision, common to both SB 1950 and HB 3705, was “unconstitutional.” She further explained:</w:t>
      </w:r>
    </w:p>
    <w:p w:rsidR="00000000" w:rsidDel="00000000" w:rsidP="00000000" w:rsidRDefault="00000000" w:rsidRPr="00000000" w14:paraId="000005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Sections 4 to 6 of RA 9337 were patently unconstitutional as they violated the principle of non-delegation of legislative power. The delegation did not fall under any of the excepted instances. Moreover, while the two conditions upon which the President may increase the VAT rate to 12% may appear to be definite standards sufficient to guide the President, they were ineffectual and malleable as they gave the President ample opportunity to exercise her authority in arbitrary and discretionary fashion.</w:t>
      </w:r>
    </w:p>
    <w:p w:rsidR="00000000" w:rsidDel="00000000" w:rsidP="00000000" w:rsidRDefault="00000000" w:rsidRPr="00000000" w14:paraId="000005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No doubt, RA 9337 was enacted pursuant to a valid governmental objective, which is to raise revenues for the government. However, the means employed to accomplish such objective -- particularly Sections 4, 5 and 6 of RA 9337 -- were arbitrary and unduly oppressive. For that matter, she questioned the grant of the standby authority to the President to increase the VAT rate on “the premise alone that she deserves an ‘incentive’ or ‘reward’” for satisfactory VAT collection. “Neither an excess nor a deficiency of revenue vis-à-vis the needs of government would be in keeping with the principle” of fiscal adequacy.</w:t>
      </w:r>
    </w:p>
    <w:p w:rsidR="00000000" w:rsidDel="00000000" w:rsidP="00000000" w:rsidRDefault="00000000" w:rsidRPr="00000000" w14:paraId="000005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 perusal of the legislative history of RA 9337 showed that it did not ‘exclusively originate’ from the House of Representatives primarily because SB 1950 was not based on any bill passed by the House of Representatives.</w:t>
      </w:r>
    </w:p>
    <w:p w:rsidR="00000000" w:rsidDel="00000000" w:rsidP="00000000" w:rsidRDefault="00000000" w:rsidRPr="00000000" w14:paraId="000005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rule on “germaneness” requires that the Senate bill must be related to the bill originally passed by the House of Representatives. As it was very apparent that HB 3555 and 3705 merely intended to amend Sections of the NIRC pertaining to the VAT provisions, the Senate could not, without violating the germaneness rule and the principle of “exclusive origination,” propose the tax matters in SB Bill 1950, which referred to matters outside of VAT, such as income tax, percentage tax, franchise tax, taxes on banks and other financial intermediaries and excise taxes.</w:t>
      </w:r>
    </w:p>
    <w:p w:rsidR="00000000" w:rsidDel="00000000" w:rsidP="00000000" w:rsidRDefault="00000000" w:rsidRPr="00000000" w14:paraId="000005FD">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Callejo’s Opinion</w:t>
      </w:r>
    </w:p>
    <w:p w:rsidR="00000000" w:rsidDel="00000000" w:rsidP="00000000" w:rsidRDefault="00000000" w:rsidRPr="00000000" w14:paraId="000005FE">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Justice Romeo C. Callejo Sr. voted to declare the deletion of the no-pass-on provision in SB 1950 and HB 3705 unconstitutional. Like Justice Puno, he said that it was high time the Court revisited its rulings in Tolentino -- a case that had relied mainly on the practice of the United States legislature -- with respect, in particular, to the scope of the powers of the BCC </w:t>
      </w:r>
      <w:r w:rsidDel="00000000" w:rsidR="00000000" w:rsidRPr="00000000">
        <w:rPr>
          <w:rFonts w:ascii="Georgia" w:cs="Georgia" w:eastAsia="Georgia" w:hAnsi="Georgia"/>
          <w:color w:val="000000"/>
          <w:sz w:val="22"/>
          <w:szCs w:val="22"/>
          <w:rtl w:val="0"/>
        </w:rPr>
        <w:t xml:space="preserve">vis-à-vis Section 26(2) of Article VI of the Constitution.</w:t>
      </w:r>
    </w:p>
    <w:p w:rsidR="00000000" w:rsidDel="00000000" w:rsidP="00000000" w:rsidRDefault="00000000" w:rsidRPr="00000000" w14:paraId="000005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refusal to apply Section 26(2) of Article VI of the Constitution to the BCC and the amendments introduced into RA 9337 by the Committee, the ponencia “effectively dismantled” the three-reading rule and no-amendment rule.</w:t>
      </w:r>
    </w:p>
    <w:p w:rsidR="00000000" w:rsidDel="00000000" w:rsidP="00000000" w:rsidRDefault="00000000" w:rsidRPr="00000000" w14:paraId="000006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also submitted that the BCC had acted beyond the scope of its authority in deleting the no-pass-on provision that both HB 3705 and SB 1950 had agreed upon with respect to the sale of electricity. Citing Chief Justice Davide’s Dissenting Opinion in Tolentino, he emphasized that “the duty of the Bicameral Conference Committee was limited to the reconciliation of disagreeing provisions or the resolution of differences or inconsistencies.”</w:t>
      </w:r>
    </w:p>
    <w:p w:rsidR="00000000" w:rsidDel="00000000" w:rsidP="00000000" w:rsidRDefault="00000000" w:rsidRPr="00000000" w14:paraId="0000060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Azcuna’s Opinion</w:t>
      </w:r>
    </w:p>
    <w:p w:rsidR="00000000" w:rsidDel="00000000" w:rsidP="00000000" w:rsidRDefault="00000000" w:rsidRPr="00000000" w14:paraId="000006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Adolfo S. Azcuna voted (1) to grant the Petitions to the extent of declaring that the provisions of RA 9337 that were not germane to the subject matter were unconstitutional; and (2) to deny the Petitions as to the rest of the law.</w:t>
      </w:r>
    </w:p>
    <w:p w:rsidR="00000000" w:rsidDel="00000000" w:rsidP="00000000" w:rsidRDefault="00000000" w:rsidRPr="00000000" w14:paraId="000006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considering the figures[48] provided during the Oral Arguments,[49] he noted that a scrutiny of the two conditions upon which the VAT may be increased showed that one of them was certain to happen on January 1, 2006.</w:t>
      </w:r>
    </w:p>
    <w:p w:rsidR="00000000" w:rsidDel="00000000" w:rsidP="00000000" w:rsidRDefault="00000000" w:rsidRPr="00000000" w14:paraId="000006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with regard to questions on the introduction of mitigating or cushioning measures through the Senate or the BCC,[50] he said that Congress must be given the necessary leeway, as long as the changes were germane to the bill originating from the House of Representatives. For that matter, he submitted that the mitigating measures would go hand-in-hand with the E-VAT and would, therefore, be essential -- and, he hoped, sufficient -- means to enable the people to bear the sacrifices they were being asked to make.</w:t>
      </w:r>
    </w:p>
    <w:p w:rsidR="00000000" w:rsidDel="00000000" w:rsidP="00000000" w:rsidRDefault="00000000" w:rsidRPr="00000000" w14:paraId="000006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pointed out, though, that the provisions on corporate income taxes -- provisions not found either in the Senate or in the House bills -- were not germane to the E-VAT Law. Agreeing with Chief Justice Davide’s Separate Opinion, he took exception to Sections 27,</w:t>
      </w:r>
    </w:p>
    <w:p w:rsidR="00000000" w:rsidDel="00000000" w:rsidP="00000000" w:rsidRDefault="00000000" w:rsidRPr="00000000" w14:paraId="000006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28(A)(1), 28(B)(1), 28(B)(5-b) and 34(B)(1). Similarly, he agreed with my Separate Opinion that Sections 1, 2, and 3 of Republic Act No. 9337 were not germane to the E-VAT Law.</w:t>
      </w:r>
    </w:p>
    <w:p w:rsidR="00000000" w:rsidDel="00000000" w:rsidP="00000000" w:rsidRDefault="00000000" w:rsidRPr="00000000" w14:paraId="00000607">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Tinga’s Opinion</w:t>
      </w:r>
    </w:p>
    <w:p w:rsidR="00000000" w:rsidDel="00000000" w:rsidP="00000000" w:rsidRDefault="00000000" w:rsidRPr="00000000" w14:paraId="000006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Dante O. Tinga voted to (1) deny for lack of merit the Petitions in GR Nos. 168056, 168207, 168463, and 168730; (2) partially grant the Petition in GR 168463 and declare Section 21of RA 9337 unconstitutional; and (2) grant the Petition in GR No. 168461, but declare Section 8 unconstitutional, insofar as that provision amended Section 110(A) and (B) of the NIRC; and Section 12 of RA 9337, with respect to this provision’s amendment of Section 114(C) of the NIRC.</w:t>
      </w:r>
    </w:p>
    <w:p w:rsidR="00000000" w:rsidDel="00000000" w:rsidP="00000000" w:rsidRDefault="00000000" w:rsidRPr="00000000" w14:paraId="000006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first set of Petitions -- GR Nos. 168056, 168207, 168463, and 168730 -- he opined that the common proviso in Sections 4, 5 and 6 of the E-VAT Law denoted a mandatory, rather than a discretionary, function of the President to raise the rate of VAT to 12 percent upon the existence of any of the two conditions provided in the law.</w:t>
      </w:r>
    </w:p>
    <w:p w:rsidR="00000000" w:rsidDel="00000000" w:rsidP="00000000" w:rsidRDefault="00000000" w:rsidRPr="00000000" w14:paraId="000006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said Justice Tinga, Congress may delegate to other components of the government the power to ascertain whether the facts or conditions would constitute a basis for a law to take effect. He noted the view of the majority that, in making a recommendation to the President as regards the existence of either of the two conditions precedent, the finance secretary would be acting as the agent of the legislative branch. He stressed that this recognition of agency must be qualified. “Congress can delegate to the Secretary of Finance administrative functions in the implementation of tax laws, as it does under Section 2 of the NIRC. Yet it would be impermissible for Congress to delegate to the Secretary of Finance the plenary function of enacting a tax law.” </w:t>
      </w:r>
    </w:p>
    <w:p w:rsidR="00000000" w:rsidDel="00000000" w:rsidP="00000000" w:rsidRDefault="00000000" w:rsidRPr="00000000" w14:paraId="000006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pointed out that “the vested power of the Senate to propose or concur in amendments necessarily implied the ability to adduce transformations from the original House bill into the final law” through the BCC. He added that the standard of “germaneness” that should guide Congress or the Committee should be appreciated in its normal but total sense.</w:t>
      </w:r>
    </w:p>
    <w:p w:rsidR="00000000" w:rsidDel="00000000" w:rsidP="00000000" w:rsidRDefault="00000000" w:rsidRPr="00000000" w14:paraId="000006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test of germaneness was violated, though, by Section 21 of the E-VAT Law. In that provision, the restrictions imposed on local government units’ use of their incremental revenue from the VAT, he said, were alien to the principal purpose of generating revenue or of restructuring the VAT system.</w:t>
      </w:r>
    </w:p>
    <w:p w:rsidR="00000000" w:rsidDel="00000000" w:rsidP="00000000" w:rsidRDefault="00000000" w:rsidRPr="00000000" w14:paraId="000006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deletion of the no-pass-on provisions, however, was a valid compromise that ultimately guided the approval of the final version by both chambers of Congress. An outright declaration that the deletion of the two elementally different provisions was unconstitutional could not have resulted, anyway, in the ipso facto restoration of either one of them. Uncertainty would also have arisen as to which version to reinstate.</w:t>
      </w:r>
    </w:p>
    <w:p w:rsidR="00000000" w:rsidDel="00000000" w:rsidP="00000000" w:rsidRDefault="00000000" w:rsidRPr="00000000" w14:paraId="000006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regard to GR 16846, Justice Tinga maintained that the E-VAT Law would “exterminate” the country’s small to medium enterprises, in violation of the due process clause of the Constitution. In the face of this clear and present danger -- to the life, liberty or property of the individual -- the Court must “step forth and cut the hangman’s noose” even before the implementation of the law.</w:t>
      </w:r>
    </w:p>
    <w:p w:rsidR="00000000" w:rsidDel="00000000" w:rsidP="00000000" w:rsidRDefault="00000000" w:rsidRPr="00000000" w14:paraId="000006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pointed out that the 70 percent cap on the creditable input tax, which had been introduced by the E-VAT Law, dashed all hope for entrepreneurial stability. Any business, regardless of financial capability, was obliged to remit to the government in every quarter at least 30 percent of the output VAT collected from customers, or roughly 3 percent of the amount of gross sales. He added that “with the 70 percent cap in place, the unutilized input taxes would continue to accumulate, but the enterprise is precluded from immediate recovery thereof.” And the longer the amount remained unutilized, the greater the depreciation in the time value of money.</w:t>
      </w:r>
    </w:p>
    <w:p w:rsidR="00000000" w:rsidDel="00000000" w:rsidP="00000000" w:rsidRDefault="00000000" w:rsidRPr="00000000" w14:paraId="000006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Likewise, he submitted that while the excess input tax would remain creditable in succeeding quarters, the actual application would always be limited by the amount of the output tax as a result of the 70 percent cap. And while it might be the subject of a tax credit certificate, Section 10 of the law (amending Section 112 of the NIRC) would not allow the credit or refund to be done while the enterprise was operational. At present, he said, the refund or tax credit certificate may be issued only upon two instances: upon the zero rating or effective zero rating of sales, and upon cancellation of the VAT registration due to retirement from or cessation of business.</w:t>
      </w:r>
    </w:p>
    <w:p w:rsidR="00000000" w:rsidDel="00000000" w:rsidP="00000000" w:rsidRDefault="00000000" w:rsidRPr="00000000" w14:paraId="000006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Arguing that the input tax was a property or property right within the purview of the due process clause, Justice Tinga also stressed that “the BIR itself has recognized that unutilized input VAT is one of those assets, corporate attributes or property rights that, in the event of a merger, are transferred to the surviving corporation by operation of law. Assets would fall under the purview of property under the due process clause x x x.”</w:t>
      </w:r>
    </w:p>
    <w:p w:rsidR="00000000" w:rsidDel="00000000" w:rsidP="00000000" w:rsidRDefault="00000000" w:rsidRPr="00000000" w14:paraId="000006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further pointed out that the 60-month amortization period in Section 8 of the E-VAT Law was also unconstitutional for the same reason that it “unreasonably and severely limits the ability of an enterprise to recover its prepaid input VAT.” This fact could prove fatal to businesses that would just be starting and other new enterprises that would need to buy capital goods. Even small-to-medium enterprises would be similarly imperiled by the 70 percent cap.</w:t>
      </w:r>
    </w:p>
    <w:p w:rsidR="00000000" w:rsidDel="00000000" w:rsidP="00000000" w:rsidRDefault="00000000" w:rsidRPr="00000000" w14:paraId="000006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5 percent withholding VAT on sales to the government or to any of its political subdivisions or agencies, he contended that the provision was “supremely unwise, oppressive and confiscatory in nature, and ruinous to private enterprise and even State development.” He recalled that under the NIRC, the government and its subsidiaries were already entitled to deduct and withhold a final VAT on the purchase of goods and services, but that it was likewise provided that the tax withheld would be creditable against the VAT liability of the seller or contractor. That mechanism was deleted by the E-VAT Law.</w:t>
      </w:r>
    </w:p>
    <w:p w:rsidR="00000000" w:rsidDel="00000000" w:rsidP="00000000" w:rsidRDefault="00000000" w:rsidRPr="00000000" w14:paraId="000006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this deletion, the private enterprises transacting with the government would now be effectively compelled “to shoulder the output VAT that should have been paid by the government in excess of 5 percent of the gross selling price, and at the same time unduly burden the private enterprise by precluding it from applying any creditable input VAT on the same transaction.” Justice Tinga explained that “[w]ithout such crediting mechanism, which allows the shifting of the VAT to only the final end user, the tax becomes a straightforward tax on business or income. The effect on the enterprise doing business with the government would be that two taxes would be imposed on the income by the business derived x x x [from the] transaction: the regular personal or corporate income tax on such income, and this final withholding tax of 5 percent.”</w:t>
      </w:r>
    </w:p>
    <w:p w:rsidR="00000000" w:rsidDel="00000000" w:rsidP="00000000" w:rsidRDefault="00000000" w:rsidRPr="00000000" w14:paraId="0000061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Justice Nazario’s Opinion</w:t>
      </w:r>
    </w:p>
    <w:p w:rsidR="00000000" w:rsidDel="00000000" w:rsidP="00000000" w:rsidRDefault="00000000" w:rsidRPr="00000000" w14:paraId="000006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Minita V. Chico-Nazario concurred in full with the ponencia. In addition, she expressed the following views:</w:t>
      </w:r>
    </w:p>
    <w:p w:rsidR="00000000" w:rsidDel="00000000" w:rsidP="00000000" w:rsidRDefault="00000000" w:rsidRPr="00000000" w14:paraId="000006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is more prudent for th[e] Court to remain conservative and to continue its adherence to the enrolled bill doctrine, for to abandon the said doctrine would be to open a Pandora’s Box, giving rise to a situation more fraught with evil and mischief.”[54]</w:t>
      </w:r>
    </w:p>
    <w:p w:rsidR="00000000" w:rsidDel="00000000" w:rsidP="00000000" w:rsidRDefault="00000000" w:rsidRPr="00000000" w14:paraId="000006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power of the Bicameral Conference Committee to reconcile or settle the differences in the two Houses’ respective bills is not limited to the conflicting provisions of the bills; but may include matters not found in the original bills but germane to the purpose thereof.”</w:t>
      </w:r>
    </w:p>
    <w:p w:rsidR="00000000" w:rsidDel="00000000" w:rsidP="00000000" w:rsidRDefault="00000000" w:rsidRPr="00000000" w14:paraId="000006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amendments introduced by the Bicameral Conference Committee to non-VAT provisions of the National Internal Revenue Code of 1997 are not unconstitutional for they are germane to the purpose of House Bills No. 3555 and 3705 and Senate Bill No. 1950, which is to raise national revenues.”</w:t>
      </w:r>
    </w:p>
    <w:p w:rsidR="00000000" w:rsidDel="00000000" w:rsidP="00000000" w:rsidRDefault="00000000" w:rsidRPr="00000000" w14:paraId="000006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Petition of the petroleum dealers in GR 168461, Justice Nazario opined that the 70 percent cap on creditable input taxes would not deprive them of their property without due process of law.</w:t>
      </w:r>
    </w:p>
    <w:p w:rsidR="00000000" w:rsidDel="00000000" w:rsidP="00000000" w:rsidRDefault="00000000" w:rsidRPr="00000000" w14:paraId="000006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She stated, as a final observation, that the opposition to RA 9337 was rooted, not in its constitutionality, but rather in the wisdom of its enactment -- an issue that the Court could not resolve.</w:t>
      </w:r>
    </w:p>
    <w:p w:rsidR="00000000" w:rsidDel="00000000" w:rsidP="00000000" w:rsidRDefault="00000000" w:rsidRPr="00000000" w14:paraId="0000061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17</w:t>
      </w:r>
    </w:p>
    <w:p w:rsidR="00000000" w:rsidDel="00000000" w:rsidP="00000000" w:rsidRDefault="00000000" w:rsidRPr="00000000" w14:paraId="0000061E">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Southern Cross Cement Corporation v. Philippine Cement Manufacturers Corporation: Executive Power to Protect Local Industries</w:t>
      </w:r>
    </w:p>
    <w:p w:rsidR="00000000" w:rsidDel="00000000" w:rsidP="00000000" w:rsidRDefault="00000000" w:rsidRPr="00000000" w14:paraId="000006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 power to impose safeguard measures to protect domestic industries and producers from increased imports that result in or threaten serious injury to the local industry was discussed in Southern Cross Cement Corporation v. Philippine Cement Manufacturers Corporation. More particularly, the case clarified certain provisions of Republic Act No. 8800 (RA 8800), also known as the Safeguard Measures Act (SMA).</w:t>
      </w:r>
    </w:p>
    <w:p w:rsidR="00000000" w:rsidDel="00000000" w:rsidP="00000000" w:rsidRDefault="00000000" w:rsidRPr="00000000" w14:paraId="0000062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6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2001, the Philippine Cement Manufacturers Corporation[3] (Philcemcor), an association of domestic cement manufacturers, filed with the Department of Trade and Industry (DTI) an application for the imposition of a definitive safeguard measure on the importation of gray Portland cement. Philcemcor alleged that gray Portland cement was being imported in increased quantities, thus causing declines in domestic production, capacity utilization, market share, sales and employment, as well as depressed local prices. The application was opposed by Southern Cross Cement Corporation, a domestic corporation engaged in the business of cement manufacturing, production, exportation, and importation.</w:t>
      </w:r>
    </w:p>
    <w:p w:rsidR="00000000" w:rsidDel="00000000" w:rsidP="00000000" w:rsidRDefault="00000000" w:rsidRPr="00000000" w14:paraId="000006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accordance with the procedure laid down in RA 8800, the Bureau of Import Services of the DTI conducted a preliminary investigation, after which it determined the existence of critical circumstances justifying the imposition of provisional measures. Thus, on November 7, 2001, the DTI issued an Order imposing a provisional measure in the form of a safeguard duty equivalent to twenty pesos and sixty centavos (P20.60) per forty- kilogram (40-kg) bag on all importations of gray Portland cement for a period not exceeding two hundred (200) days from the date of issuance by the Bureau of Customs (BOC) of the implementing Customs Memorandum Order, issued on December 10, 2001.</w:t>
      </w:r>
    </w:p>
    <w:p w:rsidR="00000000" w:rsidDel="00000000" w:rsidP="00000000" w:rsidRDefault="00000000" w:rsidRPr="00000000" w14:paraId="000006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pursuant to RA 8800, the DTI referred the application for a formal investigation to the Tariff Commission (TC). On March 13, 2002, the Commission issued its Formal Investigation Report, in which it made the following negative recommendation:</w:t>
      </w:r>
    </w:p>
    <w:p w:rsidR="00000000" w:rsidDel="00000000" w:rsidP="00000000" w:rsidRDefault="00000000" w:rsidRPr="00000000" w14:paraId="000006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elements of serious injury and imminent threat of serious injury not having been established, it is hereby recommended that no definitive general safeguard measure be imposed on the importation of gray Portland cement.”</w:t>
      </w:r>
    </w:p>
    <w:p w:rsidR="00000000" w:rsidDel="00000000" w:rsidP="00000000" w:rsidRDefault="00000000" w:rsidRPr="00000000" w14:paraId="000006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reviewing the report, then DTI Secretary Manuel Roxas II disagreed with the TC’s conclusion that no serious injury to the local cement industry had been caused by the surge of imports. In view of this disagreement, the DTI requested an opinion from the </w:t>
      </w:r>
      <w:r w:rsidDel="00000000" w:rsidR="00000000" w:rsidRPr="00000000">
        <w:rPr>
          <w:rFonts w:ascii="Georgia" w:cs="Georgia" w:eastAsia="Georgia" w:hAnsi="Georgia"/>
          <w:color w:val="000000"/>
          <w:sz w:val="22"/>
          <w:szCs w:val="22"/>
          <w:rtl w:val="0"/>
        </w:rPr>
        <w:t xml:space="preserve">Department of Justice (DOJ) on the DTI head’s options on the Commission’s</w:t>
      </w:r>
      <w:r w:rsidDel="00000000" w:rsidR="00000000" w:rsidRPr="00000000">
        <w:rPr>
          <w:rFonts w:ascii="Georgia" w:cs="Georgia" w:eastAsia="Georgia" w:hAnsi="Georgia"/>
          <w:sz w:val="22"/>
          <w:szCs w:val="22"/>
          <w:rtl w:val="0"/>
        </w:rPr>
        <w:t xml:space="preserve"> recommendations. In response, then DOJ Secretary Hernando Perez rendered an Opinion stating that Section 13 of the SMA had precluded a review by the DTI secretary of the TC’s finding that a definitive safeguard measure should not be imposed.</w:t>
      </w:r>
    </w:p>
    <w:p w:rsidR="00000000" w:rsidDel="00000000" w:rsidP="00000000" w:rsidRDefault="00000000" w:rsidRPr="00000000" w14:paraId="000006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April 5, 2002, the DTI secretary promulgated a Decision, in which he quoted the TC’s conclusions, but noted his disagreement. Citing, however, the DOJ Opinion advising the DTI that the latter was bound by the TC’s negative finding, he disposed thus:</w:t>
      </w:r>
    </w:p>
    <w:p w:rsidR="00000000" w:rsidDel="00000000" w:rsidP="00000000" w:rsidRDefault="00000000" w:rsidRPr="00000000" w14:paraId="000006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DTI has no alternative but to abide by the [Tariff] Commission’s recommendations.</w:t>
      </w:r>
    </w:p>
    <w:p w:rsidR="00000000" w:rsidDel="00000000" w:rsidP="00000000" w:rsidRDefault="00000000" w:rsidRPr="00000000" w14:paraId="000006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THE FOREGOING, and in accordance with Section 13 of RA 8800 which states:</w:t>
      </w:r>
    </w:p>
    <w:p w:rsidR="00000000" w:rsidDel="00000000" w:rsidP="00000000" w:rsidRDefault="00000000" w:rsidRPr="00000000" w14:paraId="000006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event of a negative final determination; or if the cash bond is in excess of the definitive safeguard duty assessed, the Secretary shall immediately issue, through the Secretary of Finance, a written instruction to the Commissioner of Customs, authorizing the return of the cash bond or the remainder thereof, as the case may be, previously collected as provisional general safeguard measure within ten (10) days from the date a final decision has been made; Provided, that the government shall not be liable for any interest on the amount to be returned. The Secretary shall not accept for consideration another petition from the same industry, with respect to the same imports of the product under consideration within one (1) year after the date of rendering such a decision.’</w:t>
      </w:r>
    </w:p>
    <w:p w:rsidR="00000000" w:rsidDel="00000000" w:rsidP="00000000" w:rsidRDefault="00000000" w:rsidRPr="00000000" w14:paraId="000006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DTI hereby issues the following:</w:t>
      </w:r>
    </w:p>
    <w:p w:rsidR="00000000" w:rsidDel="00000000" w:rsidP="00000000" w:rsidRDefault="00000000" w:rsidRPr="00000000" w14:paraId="000006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application for safeguard measures against the importation of gray Portland cement filed by PHILCEMCOR (Case No. 02-2001) is hereby denied.” (Emphasis in the original.)</w:t>
      </w:r>
    </w:p>
    <w:p w:rsidR="00000000" w:rsidDel="00000000" w:rsidP="00000000" w:rsidRDefault="00000000" w:rsidRPr="00000000" w14:paraId="0000062C">
      <w:pPr>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Consequently, Philcemcor filed with the Court of Appeals (CA) a Petition for</w:t>
      </w:r>
      <w:r w:rsidDel="00000000" w:rsidR="00000000" w:rsidRPr="00000000">
        <w:rPr>
          <w:rFonts w:ascii="Georgia" w:cs="Georgia" w:eastAsia="Georgia" w:hAnsi="Georgia"/>
          <w:sz w:val="22"/>
          <w:szCs w:val="22"/>
          <w:rtl w:val="0"/>
        </w:rPr>
        <w:t xml:space="preserve"> Certiorari, Prohibition and Mandamus, seeking to set aside the DTI Decision, as well as the TC’s Report.</w:t>
      </w:r>
    </w:p>
    <w:p w:rsidR="00000000" w:rsidDel="00000000" w:rsidP="00000000" w:rsidRDefault="00000000" w:rsidRPr="00000000" w14:paraId="000006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Decision promulgated on June 5, 2003, the CA granted Philcemcor’s Petition in part. The appellate court ruled that it had jurisdiction over the Petition, which had alleged grave abuse of discretion. But the CA refused to annul the TC’s findings, on the ground that factual findings of administrative agencies were binding upon the courts; and that courts should not interfere in matters addressed to the sound discretion of such agencies and embraced within the latter’s special technical knowledge and training. Nevertheless, it held that the DTI secretary was not bound by the TC’s factual findings, which were merely recommendatory and were within the ambit of his discretionary review. The dispositive portion of the CA Decision reads:</w:t>
      </w:r>
    </w:p>
    <w:p w:rsidR="00000000" w:rsidDel="00000000" w:rsidP="00000000" w:rsidRDefault="00000000" w:rsidRPr="00000000" w14:paraId="000006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“WHEREFORE, based on the foregoing premises, petitioner’s prayer to set aside the findings of the Tariff Commission in its assailed Report dated March 13, 2002 is DENIED. On the other hand, the assailed April 5, 2002 Decision of the Secretary of the Department of Trade and Industry is hereby SET ASIDE. Consequently, the case is REMANDED to the public respondent Secretary of Department of Trade and Industry for a final decision in accordance with RA 8800 and its Implementing Rules and Regulations.”</w:t>
      </w:r>
    </w:p>
    <w:p w:rsidR="00000000" w:rsidDel="00000000" w:rsidP="00000000" w:rsidRDefault="00000000" w:rsidRPr="00000000" w14:paraId="000006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23, 2003, Southern Cross filed a Petition before the Supreme Court, alleging that the CA had no jurisdiction over Philcemcor’s Petition, as the proper remedy conformable to RA 8800 was a petition for review at the Court of Tax Appeals (CTA). Southern Cross further alleged that the TC’s factual findings on the existence or the nonexistence of conditions warranting the imposition of general safeguard measures were binding upon the DTI secretary.</w:t>
      </w:r>
    </w:p>
    <w:p w:rsidR="00000000" w:rsidDel="00000000" w:rsidP="00000000" w:rsidRDefault="00000000" w:rsidRPr="00000000" w14:paraId="000006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the pendency of the Petition before the Supreme Court, the DTI secretary issued on June 25, 2003, a new Decision stating that -- in the light of the appellate court’s Decision -- there was no longer any legal impediment to his decision on Philcemcor’s application for definitive safeguard measures. He ruled that, contrary to the TC’s findings, the local cement industry had suffered serious injury as a result of the import surges. Accordingly, a definitive safeguard measure on the importation of gray Portland cement was imposed, in the form of a definitive safeguard duty in the amount of P20.60 for every 40-kg bag of the cement for three years.</w:t>
      </w:r>
    </w:p>
    <w:p w:rsidR="00000000" w:rsidDel="00000000" w:rsidP="00000000" w:rsidRDefault="00000000" w:rsidRPr="00000000" w14:paraId="000006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7, 2003, Southern Cross sought to enjoin the DTI secretary from enforcing his June 25, 2003 Decision by filing with the Supreme Court a Very Urgent Application for a Temporary Restraining Order and/or a Writ of Preliminary Injunction. On August 1, 2003, it likewise filed with the CTA a Petition for Review. Because of the double remedy resorted to by Southern Cross, Philcemcor filed with the Supreme Court (SC) a Manifestation and Motion to Dismiss the Petition, on the ground of deliberate and willful forum shopping.</w:t>
      </w:r>
    </w:p>
    <w:p w:rsidR="00000000" w:rsidDel="00000000" w:rsidP="00000000" w:rsidRDefault="00000000" w:rsidRPr="00000000" w14:paraId="00000632">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Issues</w:t>
      </w:r>
    </w:p>
    <w:p w:rsidR="00000000" w:rsidDel="00000000" w:rsidP="00000000" w:rsidRDefault="00000000" w:rsidRPr="00000000" w14:paraId="000006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raised were the following: (1) whether a Decision of the DTI secretary denying the imposition of a safeguard measure was appealable to the CTA; and (2) whether the DTI secretary could impose a general safeguard measure only upon a positive final determination by the Tariff Commission.</w:t>
      </w:r>
    </w:p>
    <w:p w:rsidR="00000000" w:rsidDel="00000000" w:rsidP="00000000" w:rsidRDefault="00000000" w:rsidRPr="00000000" w14:paraId="0000063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635">
      <w:pPr>
        <w:pStyle w:val="Heading2"/>
        <w:jc w:val="both"/>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On July 8, 2004, the Supreme Court (Second Division) promulgated its Decision. The Court held that forum shopping had not been duly proven, as no malicious intent to subvert procedural rules was evident.</w:t>
      </w:r>
    </w:p>
    <w:p w:rsidR="00000000" w:rsidDel="00000000" w:rsidP="00000000" w:rsidRDefault="00000000" w:rsidRPr="00000000" w14:paraId="000006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regards the jurisdictional issue, the Court said that while the CA had certiorari powers, the special civil action of certiorari was available only when there was no plain, speedy and adequate remedy in the ordinary course of law. A plain, speedy and adequate remedy in the ordinary course of law was, however, provided by Section 29 of the SMA, which reads:</w:t>
      </w:r>
    </w:p>
    <w:p w:rsidR="00000000" w:rsidDel="00000000" w:rsidP="00000000" w:rsidRDefault="00000000" w:rsidRPr="00000000" w14:paraId="000006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29. Judicial Review. – Any interested party who is adversely affected by the ruling of the Secretary in connection with the imposition of a safeguard measure may file with the CTA, a petition for review of such ruling within thirty (30) days from receipt thereof. Provided, however, that the filing of such petition for review shall not in any way stop, suspend or otherwise toll the imposition or collection of the appropriate tariff duties or the adoption of other appropriate safeguard measures, as the case may be.</w:t>
      </w:r>
    </w:p>
    <w:p w:rsidR="00000000" w:rsidDel="00000000" w:rsidP="00000000" w:rsidRDefault="00000000" w:rsidRPr="00000000" w14:paraId="000006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 for review shall comply with the same requirements and shall follow the same rules of procedure and shall be subject to the same disposition as in appeals in connection with adverse rulings on tax matters to the Court of Appeals.”</w:t>
      </w:r>
    </w:p>
    <w:p w:rsidR="00000000" w:rsidDel="00000000" w:rsidP="00000000" w:rsidRDefault="00000000" w:rsidRPr="00000000" w14:paraId="000006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SC Second Division emphasized that jurisprudence had long recognized the legislative determination to vest in a specialized court the sole and exclusive jurisdiction over matters involving internal revenue and customs duties.[9] The CTA was one such court. By the very nature of its function, it was dedicated exclusively to the study and consideration of tax and tariff matters. Necessarily, it had developed an expertise on the subject.</w:t>
      </w:r>
    </w:p>
    <w:p w:rsidR="00000000" w:rsidDel="00000000" w:rsidP="00000000" w:rsidRDefault="00000000" w:rsidRPr="00000000" w14:paraId="000006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significantly, the Supreme Court held that the CTA had the jurisdiction to review the DTI secretary’s Decision, even if that Decision did not impose any safeguard measure. The SC gave the following reasons.</w:t>
      </w:r>
    </w:p>
    <w:p w:rsidR="00000000" w:rsidDel="00000000" w:rsidP="00000000" w:rsidRDefault="00000000" w:rsidRPr="00000000" w14:paraId="000006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split jurisdiction is abhorred. The power of the DTI secretary to adopt or withhold a safeguard measure emanates from the same statutory source. In deciding whether or not to impose such measure, the DTI secretary evaluates only one body of facts and applies only one set of laws. Whether the determination is positive or negative, the reviewing tribunal will also be called upon to examine the same facts and the same laws.</w:t>
      </w:r>
    </w:p>
    <w:p w:rsidR="00000000" w:rsidDel="00000000" w:rsidP="00000000" w:rsidRDefault="00000000" w:rsidRPr="00000000" w14:paraId="000006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 law expressly confers the task of judicial review on the CTA, the tribunal with the specialized competence over tax and tariff matters. The law mentions no other court that may exercise corollary or ancillary jurisdiction over the SMA.</w:t>
      </w:r>
    </w:p>
    <w:p w:rsidR="00000000" w:rsidDel="00000000" w:rsidP="00000000" w:rsidRDefault="00000000" w:rsidRPr="00000000" w14:paraId="000006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 plain reading of Section 29 of the SMA reveals that Congress did not expressly bar the CTA from reviewing a negative determination by the DTI secretary or confer on the Court of Appeals such review authority. According to the clear text of the law, the CTA is vested with jurisdiction to review the DTI secretary’s rulings “in connection with the imposition of a safeguard measure.” Undoubtedly, the phrase “in connection with” not only qualifies, but clarifies, the succeeding one -- the “imposition of a safeguard measure.” The phrase also encompasses the opposite or converse ruling, which is the non-imposition of a safeguard measure. The scope and reach of the same phrase pertain to all rulings of the DTI or the Department of Agriculture secretary, arising from the time of the application of a safeguard measure or of the motu proprio initiation of its imposition.</w:t>
      </w:r>
    </w:p>
    <w:p w:rsidR="00000000" w:rsidDel="00000000" w:rsidP="00000000" w:rsidRDefault="00000000" w:rsidRPr="00000000" w14:paraId="000006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“[w]here there is ambiguity, such interpretation as will avoid inconvenience and absurdity is to be adopted.”[10] Even assuming arguendo that Section 29 does not expressly grant the CTA jurisdiction to review a negative ruling of the DTI secretary, the Court is precluded from favoring an interpretation that would cause inconvenience and absurdity.</w:t>
      </w:r>
    </w:p>
    <w:p w:rsidR="00000000" w:rsidDel="00000000" w:rsidP="00000000" w:rsidRDefault="00000000" w:rsidRPr="00000000" w14:paraId="000006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29 of the SMA is worded in such a way that it places under the CTA’s judicial review all of the DTI secretary’s rulings connected with the imposition of a safeguard measure. In the same way that a question of whether to tax or not to tax is properly a tax matter, so is the question of whether to impose or not to impose a definitive safeguard measure.</w:t>
      </w:r>
    </w:p>
    <w:p w:rsidR="00000000" w:rsidDel="00000000" w:rsidP="00000000" w:rsidRDefault="00000000" w:rsidRPr="00000000" w14:paraId="000006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regards the issue of the binding effect on the DTI secretary of the TC’s factual determination, the Decision held that the DTI head could not impose a safeguard measure without a positive final determination by the Commission. It said that Section 13 prescribed certain limitations and restrictions before general safeguard measures could be imposed. But the most fundamental restriction, contained in Section 5, provides as follows:</w:t>
      </w:r>
    </w:p>
    <w:p w:rsidR="00000000" w:rsidDel="00000000" w:rsidP="00000000" w:rsidRDefault="00000000" w:rsidRPr="00000000" w14:paraId="000006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5. Conditions for the Application of General Safeguard Measures. – The Secretary shall apply a general safeguard measure upon a positive final determination of the [Tariff] Commission that a product is being imported into the country in increased quantities, whether absolute or relative to the domestic production, as to be a substantial cause of serious injury or threat thereof to the domestic industry; however, in the case of non-agricultural products, the Secretary shall first establish that the application of such safeguard measures will be in the public interest.”</w:t>
      </w:r>
    </w:p>
    <w:p w:rsidR="00000000" w:rsidDel="00000000" w:rsidP="00000000" w:rsidRDefault="00000000" w:rsidRPr="00000000" w14:paraId="000006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conditions precedent that must be satisfied before the DTI secretary may impose a general safeguard measure are as follows: one, there must be a positive final determination by the Tariff Commission that a product is being imported into the country in such increased quantities (whether absolute or relative to domestic production) as to be a substantial cause of serious injury or threat to the domestic industry; and, two, in the case of non-agricultural products, the secretary must establish that the application of a safeguard measure is in the public interest.</w:t>
      </w:r>
    </w:p>
    <w:p w:rsidR="00000000" w:rsidDel="00000000" w:rsidP="00000000" w:rsidRDefault="00000000" w:rsidRPr="00000000" w14:paraId="000006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SC Second Division, the plain meaning of Section 5 was that only if the Tariff Commission rendered a positive determination could the DTI secretary impose a safeguard measure. The TC’s power to make a “positive final determination” must be distinguished from the power to impose general safeguard measures, a power that is vested in the DTI secretary. A “positive final determination” antecedes, as a condition precedent, the imposition of a general safeguard measure.</w:t>
      </w:r>
    </w:p>
    <w:p w:rsidR="00000000" w:rsidDel="00000000" w:rsidP="00000000" w:rsidRDefault="00000000" w:rsidRPr="00000000" w14:paraId="000006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same time, a positive final determination does not necessarily result in the imposition of a general safeguard measure. Under Section 5, notwithstanding the TC’s positive final determination, the DTI secretary may decide not to apply the safeguard measure in the interest of the public.</w:t>
      </w:r>
    </w:p>
    <w:p w:rsidR="00000000" w:rsidDel="00000000" w:rsidP="00000000" w:rsidRDefault="00000000" w:rsidRPr="00000000" w14:paraId="000006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legislative intent should be given full force and effect, as the executive power to impose definitive safeguard measures is but a delegated power -- the power of taxation which is, by nature and by command of the fundamental law, a preserve of the legislature.</w:t>
      </w:r>
    </w:p>
    <w:p w:rsidR="00000000" w:rsidDel="00000000" w:rsidP="00000000" w:rsidRDefault="00000000" w:rsidRPr="00000000" w14:paraId="000006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28(2), Article VI of the 1987 Constitution, authorizes the delegation of the legislative power to tax, yet ensures the prerogative of Congress to impose limitations and restrictions on the executive exercise of this power. This provision states thus:</w:t>
      </w:r>
    </w:p>
    <w:p w:rsidR="00000000" w:rsidDel="00000000" w:rsidP="00000000" w:rsidRDefault="00000000" w:rsidRPr="00000000" w14:paraId="000006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Congress may, by law, authorize the President to fix within specified limits, and subject to such limitations and restrictions as it may impose, tariff rates, import and export quotas, tonnage and wharfage dues, and other duties or imposts within the framework of the national development program of the Government.”</w:t>
      </w:r>
    </w:p>
    <w:p w:rsidR="00000000" w:rsidDel="00000000" w:rsidP="00000000" w:rsidRDefault="00000000" w:rsidRPr="00000000" w14:paraId="000006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SMA empowered the DTI secretary, as alter ego of the President, to impose definitive safeguard measures,[14] which were basically tariff imposts of the type spoken of in the Constitution. The law, however, did not grant the executive official full and uninhibited discretion to impose such measures.</w:t>
      </w:r>
    </w:p>
    <w:p w:rsidR="00000000" w:rsidDel="00000000" w:rsidP="00000000" w:rsidRDefault="00000000" w:rsidRPr="00000000" w14:paraId="000006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word “determination,” as used in the SMA, pertained to the factual findings on whether imports into the country of the product under consideration had increased, and on whether the increase substantially caused or threatened to substantially cause serious injury to the domestic industry.</w:t>
      </w:r>
    </w:p>
    <w:p w:rsidR="00000000" w:rsidDel="00000000" w:rsidP="00000000" w:rsidRDefault="00000000" w:rsidRPr="00000000" w14:paraId="000006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Decision, the law explicitly authorizes the DTI secretary to make a preliminary determination,[16] and the Tariff Commission to make the final one. These functions are not interchangeable. The Commission makes its determination only after a formal investigation process, which in turn is undertaken only if there is a positive preliminary determination by the DTI secretary.[18] On the other hand, the latter may impose a definitive safeguard measure only if there is a positive final determination by the Commission. In this respect, the DTI head is bound by the TC’s determination.</w:t>
      </w:r>
    </w:p>
    <w:p w:rsidR="00000000" w:rsidDel="00000000" w:rsidP="00000000" w:rsidRDefault="00000000" w:rsidRPr="00000000" w14:paraId="000006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a “recommendation” is a suggested remedial measure submitted by the Commission under Section 13, after making a positive final determination in accordance with Section 5. Under Section 13, the Commission is required to recommend to the DTI secretary an “appropriate definitive measure.” It “may also recommend other actions, including the initiation of international negotiations to address the underlying cause of the increased imports of a product, to alleviate the resulting injury or threat on the domestic industry, and to facilitate a positive adjustment to import competition.”</w:t>
      </w:r>
    </w:p>
    <w:p w:rsidR="00000000" w:rsidDel="00000000" w:rsidP="00000000" w:rsidRDefault="00000000" w:rsidRPr="00000000" w14:paraId="000006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Nothing in the SMA obliges the DTI secretary to adopt the recommendations made by the Tariff Commission. The SMA in fact requires the DTI head to determine if the application of safeguard measures is in the public interest, notwithstanding the TC’s positive final determination.</w:t>
      </w:r>
    </w:p>
    <w:p w:rsidR="00000000" w:rsidDel="00000000" w:rsidP="00000000" w:rsidRDefault="00000000" w:rsidRPr="00000000" w14:paraId="000006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non-binding force of the Commission’s recommendations is congruent with Section 28(2) of Article VI of the 1987 Constitution. According to the mandate of this provision, only the President may be empowered by Congress to impose appropriate tariff rates, import/export quotas and similar measures. It is the DTI secretary, as the President’s alter ego who, under the SMA and subject to its limitations, may impose the safeguard measures.</w:t>
      </w:r>
    </w:p>
    <w:p w:rsidR="00000000" w:rsidDel="00000000" w:rsidP="00000000" w:rsidRDefault="00000000" w:rsidRPr="00000000" w14:paraId="000006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contrary conclusion would in essence unduly arrogate to the Tariff Commission the executive power to impose the appropriate tariff measures. Thus, the SMA empowers the DTI secretary to adopt safeguard measures other than those recommended by the Commission.</w:t>
      </w:r>
    </w:p>
    <w:p w:rsidR="00000000" w:rsidDel="00000000" w:rsidP="00000000" w:rsidRDefault="00000000" w:rsidRPr="00000000" w14:paraId="000006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Yet, the Court held that the DTI head did not have the power to review the findings of the Tariff Commission, which was not a subordinate agency of the DTI. The TC fell under the supervision of the National Economic Development Authority (NEDA), an independent government planning agency that was coequal with the DTI. In general, the DTI secretary could not exercise review authority over actions of the Tariff Commission, as the former’s supervision and control were limited to subordinate bureaus, offices, and agencies. Neither did the SMA specifically authorize the DTI head to alter, amend or modify the TC’s determination. The most that the secretary could do to express displeasure over the actions of the Commission was to ignore its recommendation, but not its determination.</w:t>
      </w:r>
    </w:p>
    <w:p w:rsidR="00000000" w:rsidDel="00000000" w:rsidP="00000000" w:rsidRDefault="00000000" w:rsidRPr="00000000" w14:paraId="000006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Decision ruled that the mechanism established by Congress had put in place a measure of check and balance between two different governmental agencies with disparate specializations. The matter of safeguard measures was of such national importance that a decision either to impose or not to impose them could have had ruinous effects on companies doing business in the Philippines. Thus, it was ideal to put in place a system that would afford all due deliberation and call to the fore various governmental agencies exercising their particular specializations.</w:t>
      </w:r>
    </w:p>
    <w:p w:rsidR="00000000" w:rsidDel="00000000" w:rsidP="00000000" w:rsidRDefault="00000000" w:rsidRPr="00000000" w14:paraId="000006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SC (Second Division) held that the Court of Appeals had erred in remanding the case to the DTI secretary, with the instruction that the secretary could impose a general safeguard measure, even if there was no positive final determination from the Tariff Commission. More crucially, the CA did not acquire jurisdiction over Philcemcor’s Petition for Certiorari, as Section 29 of RA 8800 had vested jurisdiction in the CTA. Consequently, the assailed CA Decision was an absolute nullity.</w:t>
      </w:r>
    </w:p>
    <w:p w:rsidR="00000000" w:rsidDel="00000000" w:rsidP="00000000" w:rsidRDefault="00000000" w:rsidRPr="00000000" w14:paraId="000006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it was from the void CA Decision that the June 25, 2003 DTI Decision derived its legal basis, the latter former was consequently void. The spring cannot rise higher than its source.</w:t>
      </w:r>
    </w:p>
    <w:p w:rsidR="00000000" w:rsidDel="00000000" w:rsidP="00000000" w:rsidRDefault="00000000" w:rsidRPr="00000000" w14:paraId="000006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Supreme Court (Second Division) disposed as follows:</w:t>
      </w:r>
    </w:p>
    <w:p w:rsidR="00000000" w:rsidDel="00000000" w:rsidP="00000000" w:rsidRDefault="00000000" w:rsidRPr="00000000" w14:paraId="000006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“WHEREFORE, the petition is GRANTED. The assailed Decision of the Court of Appeals is DECLARED NULL AND VOID and SET ASIDE. The Decision of the DTI Secretary dated 25 June 2003 is also DECLARED NULL AND VOID and SET ASIDE. No Costs.”</w:t>
      </w:r>
    </w:p>
    <w:p w:rsidR="00000000" w:rsidDel="00000000" w:rsidP="00000000" w:rsidRDefault="00000000" w:rsidRPr="00000000" w14:paraId="000006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5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Motions for Reconsideration</w:t>
      </w:r>
    </w:p>
    <w:p w:rsidR="00000000" w:rsidDel="00000000" w:rsidP="00000000" w:rsidRDefault="00000000" w:rsidRPr="00000000" w14:paraId="000006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behalf of the public respondents, Philcemcor and the Office of the Solicitor General (OSG) filed Motions for Reconsideration and sought the referral of the case to the Court en banc. In a Resolution dated September 15, 2004, the Special Second Division referred the case to the Court en banc. On September 21, 2004, the full Court resolved to accept the referral. On March 1, 2005, the 15 members of the Court heard oral arguments</w:t>
      </w:r>
    </w:p>
    <w:p w:rsidR="00000000" w:rsidDel="00000000" w:rsidP="00000000" w:rsidRDefault="00000000" w:rsidRPr="00000000" w14:paraId="000006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Resolution dated August 2, 2005, written also by Justice Dante O. Tinga, the Court en banc -- by a vote of 8-5-2 -- upheld the assailed Decision in toto.</w:t>
      </w:r>
    </w:p>
    <w:p w:rsidR="00000000" w:rsidDel="00000000" w:rsidP="00000000" w:rsidRDefault="00000000" w:rsidRPr="00000000" w14:paraId="0000065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My Separate (Concurring and Dissenting) Opinion</w:t>
      </w:r>
    </w:p>
    <w:p w:rsidR="00000000" w:rsidDel="00000000" w:rsidP="00000000" w:rsidRDefault="00000000" w:rsidRPr="00000000" w14:paraId="000006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wrote a Separate Opinion concurring in the Court’s August 2, 2005 Resolution, insofar as it ruled that the CTA had jurisdiction to review the DTI secretary’s Decision either imposing or not imposing a safeguard measure.[23] Accordingly, the CA acted arbitrarily in giving due course to the private respondent’s Petition for Certiorari seeking to set aside the DTI secretary’s April 5, 2002 Decision. Therefore, its June 5, 2003 Decision was void and had no legal effect.</w:t>
      </w:r>
    </w:p>
    <w:p w:rsidR="00000000" w:rsidDel="00000000" w:rsidP="00000000" w:rsidRDefault="00000000" w:rsidRPr="00000000" w14:paraId="000006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ruled that the CA Decision was void, the Supreme Court would have normally dismissed the present Petition. But the remaining issue was purely legal and imbued with public interest, because it touched upon the economic security of our domestic industries. Hence, I opined that it was proper for the Supreme Court to resolve the question once and for all, as an exception to the general rule. The resolution of the legal issue at the time would avoid unnecessary delays and costs, consistent with the Court’s policy of prompt and proper administration of substantial justice.</w:t>
      </w:r>
    </w:p>
    <w:p w:rsidR="00000000" w:rsidDel="00000000" w:rsidP="00000000" w:rsidRDefault="00000000" w:rsidRPr="00000000" w14:paraId="000006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Separate Opinion, I dissented from the majority’s holding that the DTI secretary was bound by the negative recommendations of the Tariff Commission and could thus impose a safeguard measure only when the TC would so recommend. I said that the DTI secretary had the power to impose safeguard measures, even if the TC had not recommended the imposition.</w:t>
      </w:r>
    </w:p>
    <w:p w:rsidR="00000000" w:rsidDel="00000000" w:rsidP="00000000" w:rsidRDefault="00000000" w:rsidRPr="00000000" w14:paraId="000006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power to tax (which includes the imposition of tariffs, duties and other imposts), while inherent in the State, can be exercised only by Congress, unless the Constitution allows that power to be conferred upon another government instrumentality.</w:t>
      </w:r>
    </w:p>
    <w:p w:rsidR="00000000" w:rsidDel="00000000" w:rsidP="00000000" w:rsidRDefault="00000000" w:rsidRPr="00000000" w14:paraId="000006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primarily intended to protect domestic industries, the application of safeguard measures was essentially in the nature of a tariff imposition. The power to fix tariffs may, as an exception, be delegated by Congress to the President under Section 28 of Article VI of the</w:t>
      </w:r>
    </w:p>
    <w:p w:rsidR="00000000" w:rsidDel="00000000" w:rsidP="00000000" w:rsidRDefault="00000000" w:rsidRPr="00000000" w14:paraId="000006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Constitution, which reads:</w:t>
      </w:r>
    </w:p>
    <w:p w:rsidR="00000000" w:rsidDel="00000000" w:rsidP="00000000" w:rsidRDefault="00000000" w:rsidRPr="00000000" w14:paraId="0000066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“Sec. 28. x x x</w:t>
      </w:r>
    </w:p>
    <w:p w:rsidR="00000000" w:rsidDel="00000000" w:rsidP="00000000" w:rsidRDefault="00000000" w:rsidRPr="00000000" w14:paraId="000006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Congress may, by law, authorize the President to fix, within specified limits, and subject to such limitations and restrictions as it may impose, tariff rates, import and export quotas, tonnage and wharfage dues, and other duties or imposts within the framework of the national development program of the Government.”</w:t>
      </w:r>
    </w:p>
    <w:p w:rsidR="00000000" w:rsidDel="00000000" w:rsidP="00000000" w:rsidRDefault="00000000" w:rsidRPr="00000000" w14:paraId="000006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other government executive or agency is mentioned in the Constitution.</w:t>
      </w:r>
    </w:p>
    <w:p w:rsidR="00000000" w:rsidDel="00000000" w:rsidP="00000000" w:rsidRDefault="00000000" w:rsidRPr="00000000" w14:paraId="000006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Resolution theorized that such power to fix tariffs may nevertheless be delegated by Congress to both the Tariff Commission and the DTI secretary “as agents of Congress.” I opined that this theory plainly violated the constitutional provision cited above. Delegation by Congress of the power to impose tariffs to whomsoever it chooses (other than the President) is beyond its constitutional authority.</w:t>
      </w:r>
    </w:p>
    <w:p w:rsidR="00000000" w:rsidDel="00000000" w:rsidP="00000000" w:rsidRDefault="00000000" w:rsidRPr="00000000" w14:paraId="000006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only constitutional way to uphold the DTI secretary’s imposition of tariffs under RA 8800 is to apply the “alter ego principle.” In other words, the secretary imposes safeguard measures (like tariffs, import quotas, quantitative restrictions and so on), but only in representation and as the alter ego of the President in the field of trade and investment matters. Thus, the law must be construed as delegating to the President, through the latter’s alter ego on trade, the power to impose safeguard measures.</w:t>
      </w:r>
    </w:p>
    <w:p w:rsidR="00000000" w:rsidDel="00000000" w:rsidP="00000000" w:rsidRDefault="00000000" w:rsidRPr="00000000" w14:paraId="000006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Section 1 of Article VII of the Constitution vests executive power in the President. As the Chief Executive of the Republic, the President exercises control over all executive departments, bureaus and offices.[25] Control is defined as “the power of an officer to alter or modify or nullify or set aside what a subordinate officer ha[s] done in the performance of his duties and to substitute the judgment of the former for that of the latter.” The President’s power extends to “all executive officers from cabinet member to the lowliest clerk. It is at the heart of the meaning of ‘Chief Executive.’”</w:t>
      </w:r>
    </w:p>
    <w:p w:rsidR="00000000" w:rsidDel="00000000" w:rsidP="00000000" w:rsidRDefault="00000000" w:rsidRPr="00000000" w14:paraId="000006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control power of the Chief Executive emanates from the Constitution; thus, no act of Congress may validly curtail it. While Congress specifies the “limitations and restrictions” on the President’s authority to impose tariff rates, those limitations and restrictions must themselves conform to the fundamental law. They cannot infringe or restrict the constitutional power of the President to control the entire Executive Department.</w:t>
      </w:r>
    </w:p>
    <w:p w:rsidR="00000000" w:rsidDel="00000000" w:rsidP="00000000" w:rsidRDefault="00000000" w:rsidRPr="00000000" w14:paraId="000006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being an agency in the Executive Department, the Tariff Commission is necessarily subject to the control and supervision of the President. Hence, the TC’s decisions and recommendations cannot tie the hands of the Chief Executive with finality, as effectively held by the majority.</w:t>
      </w:r>
    </w:p>
    <w:p w:rsidR="00000000" w:rsidDel="00000000" w:rsidP="00000000" w:rsidRDefault="00000000" w:rsidRPr="00000000" w14:paraId="000006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in imposing a safeguard measure, the DTI head merely acts as the President’s alter ego. The President’s power of control over any office in the Executive Department cannot be restricted or degraded by Congress. By the same reasoning, the exercise by the alter ego of such power of control over the TC’s actions cannot be constitutionally curtailed by Congress. Through the constitutional power of control over the Executive Department, the President has the prerogative to affirm, modify or reverse any action of the Commission.</w:t>
      </w:r>
    </w:p>
    <w:p w:rsidR="00000000" w:rsidDel="00000000" w:rsidP="00000000" w:rsidRDefault="00000000" w:rsidRPr="00000000" w14:paraId="000006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DTI secretary -- as the alter ego of the President on trade matters -- may exercise, in the latter’s stead, the same prerogative of affirmation, modification or reversal over any action of the Commission.</w:t>
      </w:r>
    </w:p>
    <w:p w:rsidR="00000000" w:rsidDel="00000000" w:rsidP="00000000" w:rsidRDefault="00000000" w:rsidRPr="00000000" w14:paraId="000006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under the same Section 28(2) of Article VI of the Constitution earlier mentioned, Congress may specify “limitations and restrictions” on the authority of the President to impose tariff rates. The latter is indeed bound by the valid restrictions or limitations laid down in RA 8800. Such statutory limitations and restrictions, however, must themselves conform to the fundamental law. They cannot infringe or dilute the constitutional power of the President to control the entire Executive Department.</w:t>
      </w:r>
    </w:p>
    <w:p w:rsidR="00000000" w:rsidDel="00000000" w:rsidP="00000000" w:rsidRDefault="00000000" w:rsidRPr="00000000" w14:paraId="000006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 of that law specifies the conditions for the application of safeguard measures as follows: (1) the importation of a product in increased quantities, whether absolute or relative to the domestic production; (2) an actual or a threatened serious injury to the domestic industry as a result of increased importation; and, (3) most important, the application of safeguard measures to serve the public interest. These are the substantial conditions or limitations specified by Congress for the imposition of such safeguard measures[29] by the DTI secretary (or, principally, the President) -- NOT the final determination or recommendation of the Tariff Commission that the first two factual conditions are present or absent.</w:t>
      </w:r>
    </w:p>
    <w:p w:rsidR="00000000" w:rsidDel="00000000" w:rsidP="00000000" w:rsidRDefault="00000000" w:rsidRPr="00000000" w14:paraId="000006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many immeasurable and indirect variables have to be assessed in ensuring that public interest is subserved. There are no definite parameters by which this fact may be established solely by judicial authorities. Being indubitably a political question, such determination is addressed to a policymaker who is answerable to the people, not to a factfinder or investigatory body that has no electoral mandate. In the final analysis, the decision to impose a safeguard measure hinges on public interest, which is a political question best addressed by our people’s elected officials led by the President.</w:t>
      </w:r>
    </w:p>
    <w:p w:rsidR="00000000" w:rsidDel="00000000" w:rsidP="00000000" w:rsidRDefault="00000000" w:rsidRPr="00000000" w14:paraId="000006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the interpretation of an administrative government agency tasked to implement a statute is generally accorded great respect and ordinarily controls the court’s construction.</w:t>
      </w:r>
    </w:p>
    <w:p w:rsidR="00000000" w:rsidDel="00000000" w:rsidP="00000000" w:rsidRDefault="00000000" w:rsidRPr="00000000" w14:paraId="000006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The Department of Agriculture, Trade and Industry; the Department of Finance; the Bureau of Customs; the NEDA; and the Tariff Commission were tasked under RA 8800 to implement its provisions. Thus, they jointly formulated the law’s implementing rules, which included the following relevant provision:</w:t>
      </w:r>
    </w:p>
    <w:p w:rsidR="00000000" w:rsidDel="00000000" w:rsidP="00000000" w:rsidRDefault="00000000" w:rsidRPr="00000000" w14:paraId="0000066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“Rule 13.2. Final Determination by the Secretary</w:t>
      </w:r>
    </w:p>
    <w:p w:rsidR="00000000" w:rsidDel="00000000" w:rsidP="00000000" w:rsidRDefault="00000000" w:rsidRPr="00000000" w14:paraId="000006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“Rule 13.2.a. Within fifteen (15) days from receipt of the Report of the Commission, the Secretary shall make a decision, taking into consideration the measures recommended by the Commission.”</w:t>
      </w:r>
    </w:p>
    <w:p w:rsidR="00000000" w:rsidDel="00000000" w:rsidP="00000000" w:rsidRDefault="00000000" w:rsidRPr="00000000" w14:paraId="000006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these implementing agencies understood that it was the DTI secretary who would make the final determination or decision. In making a decision, the secretary would merely take into consideration the recommendations of the Tariff Commission.</w:t>
      </w:r>
    </w:p>
    <w:p w:rsidR="00000000" w:rsidDel="00000000" w:rsidP="00000000" w:rsidRDefault="00000000" w:rsidRPr="00000000" w14:paraId="000006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Additionally, in its own Order No. 00-02, the Commission described its task as “fact-finding and administrative in nature.” In interpreting the requirement of the law, it fully understood that “[b]ased on its findings, the Commission shall submit to the Secretary x x x [its] Investigation Report [and] proposed recommendations x x x,” among others.</w:t>
      </w:r>
    </w:p>
    <w:p w:rsidR="00000000" w:rsidDel="00000000" w:rsidP="00000000" w:rsidRDefault="00000000" w:rsidRPr="00000000" w14:paraId="000006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TC Chairman Edgardo Abon was also cognizant of the role of the Commission. During the public consultation it conducted in relation to this case, he categorically stated that its members’ “recommendation is but recommendatory. x x x. That’s why the Tariff Commission’s investigation is called fact-finding. x x x. [B]ut of course the recommendation can be persuasive because the [s]ecretary will have a strong argument, must really have a very, very strong arguments (sic) for him to overturn the recommendations. It has a persuasive effect, that’s what [I’m] saying, but at the end of the day[,] you know … the Secretary has, for reason I think [that] in the law the matter of public interest is left to the discretion of the Secretary x x x.”</w:t>
      </w:r>
    </w:p>
    <w:p w:rsidR="00000000" w:rsidDel="00000000" w:rsidP="00000000" w:rsidRDefault="00000000" w:rsidRPr="00000000" w14:paraId="000006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DTI secretary cannot arbitrarily issue a decision without substantial factual and legal bases. In making a final decision -- whether to impose or not to impose a safeguard measure -- the secretary is still bound by the conditions laid down in Section 5 of RA 8800. As earlier mentioned, those limitations are as follows: the importation of a product in increased quantities, whether absolute or relative to the domestic production; an actual or a threatened serious injury to the domestic industry as a result of the increased importation; and the application of the safeguard measure in the public interest.</w:t>
      </w:r>
    </w:p>
    <w:p w:rsidR="00000000" w:rsidDel="00000000" w:rsidP="00000000" w:rsidRDefault="00000000" w:rsidRPr="00000000" w14:paraId="000006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parameters should have allayed the petitioner’s fear of a violation of due process in case of the DTI secretary’s reversal of the TC’s negative determination. Both may have the same factual moorings, on the basis of which they may have contrasting conclusions on the need for a safeguard measure.</w:t>
      </w:r>
    </w:p>
    <w:p w:rsidR="00000000" w:rsidDel="00000000" w:rsidP="00000000" w:rsidRDefault="00000000" w:rsidRPr="00000000" w14:paraId="000006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August 3, 2005 Resolution further declared that “nothing in the SMA obliges the DTI Secretary to adopt the recommendations made by the Tariff Commission.” If the secretary can reject a positive final determination of the Commission, what is the rationale behind binding the DTI head to a negative determination by the same body? This stance is apparently illogical.</w:t>
      </w:r>
    </w:p>
    <w:p w:rsidR="00000000" w:rsidDel="00000000" w:rsidP="00000000" w:rsidRDefault="00000000" w:rsidRPr="00000000" w14:paraId="000006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object and purpose of RA 8800 should be given utmost consideration and effect. The law was enacted primarily to protect or safeguard local industries and producers from the increased importation of foreign products that cause or threaten to cause serious domestic injury.</w:t>
      </w:r>
    </w:p>
    <w:p w:rsidR="00000000" w:rsidDel="00000000" w:rsidP="00000000" w:rsidRDefault="00000000" w:rsidRPr="00000000" w14:paraId="000006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courts must give domestic industries every opportunity to seek redress through the most expeditious means possible. On matters concerning policy questions, the political departments should have ample chances to make the proper determinations within their respective spheres of competency. Be it remembered that in the imposition of safeguard measures, not only the analysis of technical data is involved, but likewise -- and, perhaps, in a more crucial sense -- the determination that such measures serve the public interest. The proceeding does not merely relate to the settlement of conflicting claims of private parties but, more important, the achievement of the national policy to promote the competitiveness of domestic industries as a whole.</w:t>
      </w:r>
    </w:p>
    <w:p w:rsidR="00000000" w:rsidDel="00000000" w:rsidP="00000000" w:rsidRDefault="00000000" w:rsidRPr="00000000" w14:paraId="000006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safeguard measures, the administrative agencies of the government, particularly the Department of Trade and Industry, possess the necessary knowledge and expertise linked with policy concerns. The Department heads, especially because they serve as alter egos of the President, should not be needlessly restricted in the exercise of their discretion. They are the ones who know best how to address the nonjudicial interests of the people properly. Thus, before resorting to courts, all possible administrative means should be exhausted.</w:t>
      </w:r>
    </w:p>
    <w:p w:rsidR="00000000" w:rsidDel="00000000" w:rsidP="00000000" w:rsidRDefault="00000000" w:rsidRPr="00000000" w14:paraId="000006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this argument, I submitted that the Decision of the DTI secretary was properly appealable to the President. After all, the Chief Executive could not be deprived of the power to review, modify or reverse the actions of the alter egos. In the present case, the Constitution expressly mentions the “President” as the official whom “Congress may, by law, authorize” to impose “tariff rates, import and export quotas, tonnage and wharfage dues, and other duties or imports.” Thus, in the Executive Department, the President should have the final say on such matters. Sadly, this argument was not raised by the parties.</w:t>
      </w:r>
    </w:p>
    <w:p w:rsidR="00000000" w:rsidDel="00000000" w:rsidP="00000000" w:rsidRDefault="00000000" w:rsidRPr="00000000" w14:paraId="000006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 peripheral issue on forum shopping, I agreed with the Supreme Court’s Resolution. The petitioner must answer for its failure to give timely information on the Petition for Review that it had filed with the CTA while this case was pending before the Court. But there being no showing of willful and deliberate forum shopping, the Petition did not deserve outright dismissal. Instead, petitioner’s counsels should be sanctioned with severe censure.</w:t>
      </w:r>
    </w:p>
    <w:p w:rsidR="00000000" w:rsidDel="00000000" w:rsidP="00000000" w:rsidRDefault="00000000" w:rsidRPr="00000000" w14:paraId="0000067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Summary</w:t>
      </w:r>
    </w:p>
    <w:p w:rsidR="00000000" w:rsidDel="00000000" w:rsidP="00000000" w:rsidRDefault="00000000" w:rsidRPr="00000000" w14:paraId="000006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I wrote the following summary of my Separate Opinion:</w:t>
      </w:r>
    </w:p>
    <w:p w:rsidR="00000000" w:rsidDel="00000000" w:rsidP="00000000" w:rsidRDefault="00000000" w:rsidRPr="00000000" w14:paraId="000006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application of a safeguard measure, while primarily intended to protect domestic industries, is essentially in the nature of a tariff imposition. Pursuant to the Constitution, the imposition of tariffs and taxes may be exercised only by Congress. However, Section 28 of Article VI of the Constitution provides for an exception: it allows Congress to authorize the President to fix -- subject to such limitations and restrictions as it may impose -- tariff rates, quotas and other duties. To no official, other than the President, is that power allowed to be delegated.</w:t>
      </w:r>
    </w:p>
    <w:p w:rsidR="00000000" w:rsidDel="00000000" w:rsidP="00000000" w:rsidRDefault="00000000" w:rsidRPr="00000000" w14:paraId="000006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the foregoing principle, RA 8800 must be construed as having delegated the power to apply safeguard measures to the President, through the alter ego on trade and investment matters -- the DTI secretary.</w:t>
      </w:r>
    </w:p>
    <w:p w:rsidR="00000000" w:rsidDel="00000000" w:rsidP="00000000" w:rsidRDefault="00000000" w:rsidRPr="00000000" w14:paraId="000006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Congress may specify limitations in the President’s authority to impose tariffs, such legislative restrictions must operate within the bounds of the Constitution. These limitations cannot impinge upon, restrict or overturn the President’s constitutional power of control over the entire Executive Department.</w:t>
      </w:r>
    </w:p>
    <w:p w:rsidR="00000000" w:rsidDel="00000000" w:rsidP="00000000" w:rsidRDefault="00000000" w:rsidRPr="00000000" w14:paraId="000006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power of control includes the right to modify or set aside a decision of a subordinate officer. The Tariff Commission, being a mere agency in the Executive Department, is necessarily subject to the control and supervision of the President. Hence, its decisions and recommendations cannot tie the hands of the Chief Executive with finality. Consequently, the DTI head, acting as the President’s alter ego pursuant to RA 8800, may affirm, modify or reverse the Tariff Commission’s recommendation.</w:t>
      </w:r>
    </w:p>
    <w:p w:rsidR="00000000" w:rsidDel="00000000" w:rsidP="00000000" w:rsidRDefault="00000000" w:rsidRPr="00000000" w14:paraId="000006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have said at the outset, the DTI secretary, as the prime mover of the country’s trade and commercial affairs, must be given broad latitude in the pursuit of the agency’s mandate. The country’s topmost trade official, handpicked by the President, is presumed to possess the competence and the erudition to steer the Department towards the achievement of State goals within the DTI’s sphere. As the Chief Executive’s alter ego in the area of trade, the secretary must be allowed to exercise ample discretion on matters vested in the position. And so long as the Department head’s decisions are not reversed or modified by the President, they should be accorded the highest respect by the courts.</w:t>
      </w:r>
    </w:p>
    <w:p w:rsidR="00000000" w:rsidDel="00000000" w:rsidP="00000000" w:rsidRDefault="00000000" w:rsidRPr="00000000" w14:paraId="000006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principal duty of the judiciary is to adjudicate actual controversies involving rights and obligations of persons; it has no business interfering in the realm of policy making. Basic is the rule that courts should adopt a hands-off approach with respect to non-judicial concerns of government. The only ground upon which they can review apparently policy questions is when an act of an agency or instrumentality of government, including the Presidency and Congress, is blatantly contrary to law or the Constitution or clearly tainted with grave abuse of discretion. In these exceptional instances, it becomes the bounden duty of the Court to nullify the act.</w:t>
      </w:r>
    </w:p>
    <w:p w:rsidR="00000000" w:rsidDel="00000000" w:rsidP="00000000" w:rsidRDefault="00000000" w:rsidRPr="00000000" w14:paraId="000006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“Otherwise, the official acts of the Executive and the Legislative Departments are presumed to be regular and done in good faith. Unless clear and convincing proof is presented to overthrow such presumption, the Court will resolve every doubt in their favor.</w:t>
      </w:r>
    </w:p>
    <w:p w:rsidR="00000000" w:rsidDel="00000000" w:rsidP="00000000" w:rsidRDefault="00000000" w:rsidRPr="00000000" w14:paraId="000006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“Whether such acts are beneficial or viable is outside the realm of judicial inquiry and review. That matter is between the elected policy makers and the people. To repeat, the Court’s judicial role comes into play only when those acts are clearly unlawful or unconstitutional or performed with grave abuse of discretion. In nullifying them, the Court does so merely to uphold the rule of law. For indeed there can be no meaningful economic and social progress without an effective rule of law in place.</w:t>
      </w:r>
    </w:p>
    <w:p w:rsidR="00000000" w:rsidDel="00000000" w:rsidP="00000000" w:rsidRDefault="00000000" w:rsidRPr="00000000" w14:paraId="000006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should maintain its deferential stance respecting acts emanating from government agencies, especially those involving the economy. Far from being an unwanted interloper in economic matters not within its field of expertise, the Court, in recent Decisions nullifying government contracts, steadfastly upholds one of the most revered policy axioms in the business community -- the ‘leveling of the playing field.’ To paraphrase what the Court said in a recent case, the ‘Constitution and the law should be read in broad, life-giving strokes. They should not be used to strangulate economic growth or to serve narrow, parochial interests.’ Rather, they should be construed to grant the President and his or her alter egos sufficient discretion and reasonable leeway to enable them to secure for our people and our posterity the blessings of prosperity and peace.”</w:t>
      </w:r>
    </w:p>
    <w:p w:rsidR="00000000" w:rsidDel="00000000" w:rsidP="00000000" w:rsidRDefault="00000000" w:rsidRPr="00000000" w14:paraId="0000068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18</w:t>
      </w:r>
    </w:p>
    <w:p w:rsidR="00000000" w:rsidDel="00000000" w:rsidP="00000000" w:rsidRDefault="00000000" w:rsidRPr="00000000" w14:paraId="00000689">
      <w:pPr>
        <w:pStyle w:val="Heading1"/>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Central Bank Employees Association v. Monetary Board: </w:t>
      </w:r>
    </w:p>
    <w:p w:rsidR="00000000" w:rsidDel="00000000" w:rsidP="00000000" w:rsidRDefault="00000000" w:rsidRPr="00000000" w14:paraId="0000068A">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Constitutionality of Increases in CB Employees’ Compensation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initially valid provision of law can become subsequently unconstitutional when its continued operation would violate the equal protection of the law.</w:t>
      </w:r>
    </w:p>
    <w:p w:rsidR="00000000" w:rsidDel="00000000" w:rsidP="00000000" w:rsidRDefault="00000000" w:rsidRPr="00000000" w14:paraId="000006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ruled the Court in Central Bank Employees Association v. Bangko Sentral ng Pilipinas. It declared in that case that the last proviso of Section 15 (c) of Article II of Republic Act No. 7653 was unconstitutional for being an “invidious discrimination” against the 2,994 rank-and-file employees of the Bangko Sentral ng Pilipinas (BSP).</w:t>
      </w:r>
    </w:p>
    <w:p w:rsidR="00000000" w:rsidDel="00000000" w:rsidP="00000000" w:rsidRDefault="00000000" w:rsidRPr="00000000" w14:paraId="000006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set the case in the proper context, let me narrate the background.</w:t>
      </w:r>
    </w:p>
    <w:p w:rsidR="00000000" w:rsidDel="00000000" w:rsidP="00000000" w:rsidRDefault="00000000" w:rsidRPr="00000000" w14:paraId="0000068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6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3, 1993, RA 7653 abolished the old Central Bank of the Philippines (CB) and created a new Bangko Sentral ng Pilipinas (BSP). Almost eight years after, the Central Bank (now BSP) Employees Association, Inc. filed a petition for prohibition against the BSP and the Office of the President, which were sought to be restrained from further implementing the last proviso in Section 15(c), Article II of RA No. 7653, on the ground that it was unconstitutional.</w:t>
      </w:r>
    </w:p>
    <w:p w:rsidR="00000000" w:rsidDel="00000000" w:rsidP="00000000" w:rsidRDefault="00000000" w:rsidRPr="00000000" w14:paraId="000006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provision allegedly distinguished between two classes of employees in the BSP: (1) the officers who were exempted from the coverage of the Salary Standardization Law (SSL); and (2) the rank-and-file (Salary Grade [SG]-19 and below) who were not exempted from the coverage of the SSL. It was argued that the classification was not reasonable, but arbitrary and capricious, and violated the equal-protection clause of the Constitution. The proviso was allegedly not germane to the purposes of Section 15(c) of Article II of RA 7653, the most important of which was to establish professionalism and excellence at all levels in the BSP.</w:t>
      </w:r>
    </w:p>
    <w:p w:rsidR="00000000" w:rsidDel="00000000" w:rsidP="00000000" w:rsidRDefault="00000000" w:rsidRPr="00000000" w14:paraId="000006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BSP contended that the provision could stand the constitutional test, provided it was construed in harmony with other parts of the same law that provided for, among others, the “fiscal and administrative autonomy of BSP”; and with the mandate of the Monetary Board to “establish professionalism and excellence at all levels in accordance with sound principles of management.” On behalf of the respondent executive secretary, the Office of the Solicitor General argued that the classification was based on actual and real differentiation.</w:t>
      </w:r>
    </w:p>
    <w:p w:rsidR="00000000" w:rsidDel="00000000" w:rsidP="00000000" w:rsidRDefault="00000000" w:rsidRPr="00000000" w14:paraId="0000069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Issue</w:t>
      </w:r>
    </w:p>
    <w:p w:rsidR="00000000" w:rsidDel="00000000" w:rsidP="00000000" w:rsidRDefault="00000000" w:rsidRPr="00000000" w14:paraId="000006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sole issue was whether the last paragraph of Section 15(c) of Article II of RA 7653 violated the constitutional mandate of equal protection of the laws.</w:t>
      </w:r>
    </w:p>
    <w:p w:rsidR="00000000" w:rsidDel="00000000" w:rsidP="00000000" w:rsidRDefault="00000000" w:rsidRPr="00000000" w14:paraId="0000069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6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Voting 9 to 4, the Court held that while the questioned proviso was not, on its face and by itself, constitutionally infirm under the “equal protection” clause, subsequent laws amending the charters of seven other governmental financial institutions (GFIs) had worked a discriminatory effect upon the rank-and-file employees of the BSP. Hence, the continued operation of the provision violated the equal-protection guarantee of the Constitution.</w:t>
      </w:r>
    </w:p>
    <w:p w:rsidR="00000000" w:rsidDel="00000000" w:rsidP="00000000" w:rsidRDefault="00000000" w:rsidRPr="00000000" w14:paraId="000006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9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Relative Constitutionality</w:t>
      </w:r>
    </w:p>
    <w:p w:rsidR="00000000" w:rsidDel="00000000" w:rsidP="00000000" w:rsidRDefault="00000000" w:rsidRPr="00000000" w14:paraId="000006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concept of relative constitutionality, the ponente, Justice Reynato S. Puno, explained that a statute that was valid at one time could become void at another time because of altered circumstances or changed conditions. To support this position, he cited a number of US cases, as well as Rutter v. Esteban in Philippine jurisprudence.</w:t>
      </w:r>
    </w:p>
    <w:p w:rsidR="00000000" w:rsidDel="00000000" w:rsidP="00000000" w:rsidRDefault="00000000" w:rsidRPr="00000000" w14:paraId="000006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proviso in question was subjected to a two-tiered scrutiny to determine its constitutionality: the “rational basis test” and the “strict scrutiny test.”</w:t>
      </w:r>
    </w:p>
    <w:p w:rsidR="00000000" w:rsidDel="00000000" w:rsidP="00000000" w:rsidRDefault="00000000" w:rsidRPr="00000000" w14:paraId="000006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conceded that RA 7653 had started as a valid measure. Its classification between the rank-and-file and the officers of the BSP was found reasonable due to substantial distinctions or real differences between the two classes. Particularly, the exemption of officers (SG-20 and above) from the SSL was intended to address the BSP’s lack of competitiveness in terms of attracting competent officers and executives, not to discriminate against the rank-andfile. Thus, the provision passed the “rational basis” test.</w:t>
      </w:r>
    </w:p>
    <w:p w:rsidR="00000000" w:rsidDel="00000000" w:rsidP="00000000" w:rsidRDefault="00000000" w:rsidRPr="00000000" w14:paraId="000006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Nonetheless, the petitioners contended that the enactment of subsequent laws exempting from the SSL all rank-and-file employees of the seven GFIs constituted a significant change in circumstance that considerably altered the reasonableness of the continued operation of the proviso in question. Scrutinized this time was the constitutionality of the classification of the rank-and-file employees of the BSP and that of the seven other GFIs, who all belonged to the same class. Between persons who were similarly situated, the proviso could not unjustly distinguish or grossly discriminate in its operation.</w:t>
      </w:r>
    </w:p>
    <w:p w:rsidR="00000000" w:rsidDel="00000000" w:rsidP="00000000" w:rsidRDefault="00000000" w:rsidRPr="00000000" w14:paraId="000006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Against the standard of “strict scrutiny,” the disparity in the treatment of the rank-and- file employees of the BSP and those of the other</w:t>
      </w:r>
    </w:p>
    <w:p w:rsidR="00000000" w:rsidDel="00000000" w:rsidP="00000000" w:rsidRDefault="00000000" w:rsidRPr="00000000" w14:paraId="000006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GFIs could not stand judicial scrutiny. It was held that there were no characteristics peculiar only to the rank-and-file employees of the seven GFIs that would justify the exemption that was denied to those of the BSP. Moreover, the challenged provision operated on the basis of the salary grade or officer-employee status, a distinction akin to that based on economic class and status. That classification was suspect, as shown by a number of international conventions, as well as foreign and international jurisprudence.</w:t>
      </w:r>
    </w:p>
    <w:p w:rsidR="00000000" w:rsidDel="00000000" w:rsidP="00000000" w:rsidRDefault="00000000" w:rsidRPr="00000000" w14:paraId="000006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it was stressed that, under most circumstances, the Court would exercise judicial restraint in deciding questions of constitutionality and would base judicial scrutiny on the “rational basis” test. It was equally stressed, though, that such scrutiny ought to be stricter if and when “the challenge to the statute is premised on the denial of a fundamental right, or the perpetuation of prejudice against persons favored by the Constitution with special protection x x x.” A weak and watered-down view would call for the abdication of this Court’s solemn duty to strike down any law repugnant to the Constitution and the rights it enshrines.</w:t>
      </w:r>
    </w:p>
    <w:p w:rsidR="00000000" w:rsidDel="00000000" w:rsidP="00000000" w:rsidRDefault="00000000" w:rsidRPr="00000000" w14:paraId="000006A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Dissenting Opinions</w:t>
      </w:r>
    </w:p>
    <w:p w:rsidR="00000000" w:rsidDel="00000000" w:rsidP="00000000" w:rsidRDefault="00000000" w:rsidRPr="00000000" w14:paraId="000006A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My Dissent</w:t>
      </w:r>
    </w:p>
    <w:p w:rsidR="00000000" w:rsidDel="00000000" w:rsidP="00000000" w:rsidRDefault="00000000" w:rsidRPr="00000000" w14:paraId="000006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dissented from the majority opinion, believing that it would be uncalled for, untimely and imprudent for the Court to void the last proviso of the second paragraph of Section 15(c) of Chapter 1 of Article II of Republic Act (RA) 7653.</w:t>
      </w:r>
    </w:p>
    <w:p w:rsidR="00000000" w:rsidDel="00000000" w:rsidP="00000000" w:rsidRDefault="00000000" w:rsidRPr="00000000" w14:paraId="000006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 contended that the assailed provision was unconstitutional, either on its face or as applied, inasmuch as the theory of relative constitutionality was inapplicable to and not in pari materia with the present facts.</w:t>
      </w:r>
    </w:p>
    <w:p w:rsidR="00000000" w:rsidDel="00000000" w:rsidP="00000000" w:rsidRDefault="00000000" w:rsidRPr="00000000" w14:paraId="000006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clear that the theory of relative constitutionality would be relevant only when there is a change in the factual situation covered by an assailed law, not upon the passage of another law pertaining to subjects not directly covered by the assailed law or to alterations extraneous to those specifically addressed.</w:t>
      </w:r>
    </w:p>
    <w:p w:rsidR="00000000" w:rsidDel="00000000" w:rsidP="00000000" w:rsidRDefault="00000000" w:rsidRPr="00000000" w14:paraId="000006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a close reading of the American cases[8] cited in the ponencia, I pointed out that the laws that had been declared invalid in those cases because of “altered circumstances” or “changed conditions” were of the emergency type passed in the exercise of the State’s police power, unlike the law involved in the present case. Rutter v. Esteban[9] did not apply either, because the assailed provision in the present case was not a remedial measure subject to a period within which a right of action or a remedy was suspended. Since the reason for the passage of the law still continued, the law itself must continue.</w:t>
      </w:r>
    </w:p>
    <w:p w:rsidR="00000000" w:rsidDel="00000000" w:rsidP="00000000" w:rsidRDefault="00000000" w:rsidRPr="00000000" w14:paraId="000006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submitted that the concept of relative constitutionality strongly advocated in the ponencia not only went beyond the parameters of traditional constitutionalism, but also found no express basis in positive law.</w:t>
      </w:r>
    </w:p>
    <w:p w:rsidR="00000000" w:rsidDel="00000000" w:rsidP="00000000" w:rsidRDefault="00000000" w:rsidRPr="00000000" w14:paraId="000006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on the part of this Court, a becoming respect for Congress as a coequal and coordinate branch of government dictated that the latter be given ample opportunity to study the situation, weigh its options, and exercise its constitutional prerogative to enact whatever legislation it deemed appropriate to address the alleged inequity pointed out by petitioner.</w:t>
      </w:r>
    </w:p>
    <w:p w:rsidR="00000000" w:rsidDel="00000000" w:rsidP="00000000" w:rsidRDefault="00000000" w:rsidRPr="00000000" w14:paraId="000006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there was no urgency that required the peremptory striking down of the assailed provision. Neither were the injuries sustained shown to have required immediate action on the judiciary’s part.</w:t>
      </w:r>
    </w:p>
    <w:p w:rsidR="00000000" w:rsidDel="00000000" w:rsidP="00000000" w:rsidRDefault="00000000" w:rsidRPr="00000000" w14:paraId="000006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Congress is in fact deliberating upon possible amendments to the assailed proviso. Since there is no question that it validly exercised its power and committed no grave abuse of discretion when it enacted the law, its will must be sustained. Under the doctrine of separation of powers with concomitant respect among coequal and coordinate branches of government, this Court has neither the authority nor the competence to create or amend laws.</w:t>
      </w:r>
    </w:p>
    <w:p w:rsidR="00000000" w:rsidDel="00000000" w:rsidP="00000000" w:rsidRDefault="00000000" w:rsidRPr="00000000" w14:paraId="000006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assailed provision passes the three-tiered standard of review for equal protection. It is both a social and an economic measure rationally related to a governmental end that is not prohibited. Since salary grade, class of position, and government employment are not fundamental or constitutional rights, and non-exempt government employees or their financial need are not suspect classes, the government is not at all required to show a compelling state interest to justify the classification made. The provision is also substantially related to the achievement of sufficiently important governmental objectives. A law does not become invalid because of simple inequality, or because it does not strike at all evils at the same time.</w:t>
      </w:r>
    </w:p>
    <w:p w:rsidR="00000000" w:rsidDel="00000000" w:rsidP="00000000" w:rsidRDefault="00000000" w:rsidRPr="00000000" w14:paraId="000006A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Carpio Dissent</w:t>
      </w:r>
    </w:p>
    <w:p w:rsidR="00000000" w:rsidDel="00000000" w:rsidP="00000000" w:rsidRDefault="00000000" w:rsidRPr="00000000" w14:paraId="000006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Antonio T. Carpio likewise wrote a Dissent and voted to dismiss the Petition for the following reasons.</w:t>
      </w:r>
    </w:p>
    <w:p w:rsidR="00000000" w:rsidDel="00000000" w:rsidP="00000000" w:rsidRDefault="00000000" w:rsidRPr="00000000" w14:paraId="000006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majority opinion did not annul a law -- Section 15(c), Article II of RA 7653 – but “enacted” into law a pending bill[11] in Congress. It invaded the legislative domain, as it preempted Congress by declaring through a judicial decision that BSP rank-and-file employees were now exempt from the SSL.</w:t>
      </w:r>
    </w:p>
    <w:p w:rsidR="00000000" w:rsidDel="00000000" w:rsidP="00000000" w:rsidRDefault="00000000" w:rsidRPr="00000000" w14:paraId="000006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ponencia erroneously classified the BSP, a regulatory agency exercising sovereign functions, in the same category as non-regulatory corporations exercising purely commercial functions like the Land Bank of the Philippines (LBP), Social Security System (SSS), Government Service Insurance System (GSIS), Development Bank of the Philippines (DBP), Small Borrowers Guarantee Fund Corporation (SBGFC), and Home Guarantee Corporation (HGC).</w:t>
      </w:r>
    </w:p>
    <w:p w:rsidR="00000000" w:rsidDel="00000000" w:rsidP="00000000" w:rsidRDefault="00000000" w:rsidRPr="00000000" w14:paraId="000006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Carpio noted that non-regulatory GFIs derived their income solely from commercial transactions. They competed head on with private financial institutions. Their operating expenses, including the employees’ salaries, came from their own self-generated </w:t>
      </w:r>
      <w:r w:rsidDel="00000000" w:rsidR="00000000" w:rsidRPr="00000000">
        <w:rPr>
          <w:rFonts w:ascii="Georgia" w:cs="Georgia" w:eastAsia="Georgia" w:hAnsi="Georgia"/>
          <w:color w:val="000000"/>
          <w:sz w:val="22"/>
          <w:szCs w:val="22"/>
          <w:rtl w:val="0"/>
        </w:rPr>
        <w:t xml:space="preserve">income from commercial activities. However, regulatory GFIs like BSP and the PDIC</w:t>
      </w:r>
      <w:r w:rsidDel="00000000" w:rsidR="00000000" w:rsidRPr="00000000">
        <w:rPr>
          <w:rFonts w:ascii="Georgia" w:cs="Georgia" w:eastAsia="Georgia" w:hAnsi="Georgia"/>
          <w:sz w:val="22"/>
          <w:szCs w:val="22"/>
          <w:rtl w:val="0"/>
        </w:rPr>
        <w:t xml:space="preserve"> derived their income from mandatory government exactions, like fees, charges and other impositions that all banks were by law required to pay. Regulatory GFIs had no competitors in the private sector. Obviously, the BSP and PDIC did not belong to the same class of GFIs as the LBP, SSS, GSIS, SBGFC, DBP and HGC.</w:t>
      </w:r>
    </w:p>
    <w:p w:rsidR="00000000" w:rsidDel="00000000" w:rsidP="00000000" w:rsidRDefault="00000000" w:rsidRPr="00000000" w14:paraId="000006B0">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Morales Dissent</w:t>
      </w:r>
    </w:p>
    <w:p w:rsidR="00000000" w:rsidDel="00000000" w:rsidP="00000000" w:rsidRDefault="00000000" w:rsidRPr="00000000" w14:paraId="000006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Madame Justice Conchita Carpio Morales also wrote a Dissenting Opinion, 145 pages long. Contrary to the weight of the applicable legal authorities, she said, was the ponencia’s conclusion: that being an employee of a government-owned and -controlled corporation (GOCC) or of a government financial institution (GFI) was a reasonable and sufficient basis for exemption from the Salary Standardization Law. The Court’s conclusion also involved an evaluation of the wisdom of the law and a preemption of the congressional power of appropriation. Moreover, the ruling would result in an increase, rather than a reduction, in the inequality within the government service.</w:t>
      </w:r>
    </w:p>
    <w:p w:rsidR="00000000" w:rsidDel="00000000" w:rsidP="00000000" w:rsidRDefault="00000000" w:rsidRPr="00000000" w14:paraId="000006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Proceeding from the basic framework for equal-protection analysis and the presumption of constitutionality accorded a statute, Justice Morales inquired into the standards used to measure the validity of RA 7653. The approaches she found to have evolved from American case law were (1) the traditional deferential “rational basis test,” (2) the “intermediate scrutiny” test, and (3) the more demanding “strict scrutiny test,” which was employed in the ponencia. The third test generally applied to classifications considered to be “suspect” because of possible violations of civil rights and statutes infringing fundamental, constitutionally protected rights.</w:t>
      </w:r>
    </w:p>
    <w:p w:rsidR="00000000" w:rsidDel="00000000" w:rsidP="00000000" w:rsidRDefault="00000000" w:rsidRPr="00000000" w14:paraId="000006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ponencia simultaneously made use of both the rational basis and the strict scrutiny tests. In assessing the validity of the classification between officers and rank-and-file employees in Section 15(c) of The New Central Bank Act, the rational basis test was applied. The strict scrutiny test was used in evaluating the distinction between the rank-and-file employees of the BSP; and those of the LBP, DBP, SSS and GSIS.</w:t>
      </w:r>
    </w:p>
    <w:p w:rsidR="00000000" w:rsidDel="00000000" w:rsidP="00000000" w:rsidRDefault="00000000" w:rsidRPr="00000000" w14:paraId="000006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Yet, there was no justification for the use of that “double standard,” Justice Morales contended. It was improperly used under the concept of relative constitutionality. Because the scope of application of each standard was distinct and exclusive of the others, the US Federal Court had in fact never applied more than one standard to a given set of facts.</w:t>
      </w:r>
    </w:p>
    <w:p w:rsidR="00000000" w:rsidDel="00000000" w:rsidP="00000000" w:rsidRDefault="00000000" w:rsidRPr="00000000" w14:paraId="000006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it was pointed out that the persons allegedly discriminated against -- the rank-and-file employees of the BSP -- and the rights they were asserting (to be exempted from the compensation classification system prescribed by the SSL) remained the same, whether the classification under review was between them and the executive officers of the BSP; or the rank-and-file employees of the LBP, DBP, SSS and GSIS. Thus, the test or standard against which the petitioner’s claims were to be measured should likewise be the same, whether it was related to the constitutionality of (1) the classification in Section 15(c) of The New Central Bank Act or (2) the classification resulting from the amendments of the charters of the other GOCCs/GFIs.</w:t>
      </w:r>
    </w:p>
    <w:p w:rsidR="00000000" w:rsidDel="00000000" w:rsidP="00000000" w:rsidRDefault="00000000" w:rsidRPr="00000000" w14:paraId="000006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assessment of the validity of the questioned proviso in the light of subsequent legislation, it was also a familiar rule that statutes in pari materia should be read together, Justice Morales added. The SSL, the New Central Bank Act, and the amended charters of the other GOCCs and GFIs could be deemed in pari materia, insofar as they pertained to the compensation and position classification system(s) covering government employees. Consequently, she said, the provisions of these statutes concerning compensation and position classification, including the legislative classifications they made, should all be read and evaluated together in the light of the equal-protection clause.</w:t>
      </w:r>
    </w:p>
    <w:p w:rsidR="00000000" w:rsidDel="00000000" w:rsidP="00000000" w:rsidRDefault="00000000" w:rsidRPr="00000000" w14:paraId="000006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appropriate standard, she opined that the strict scrutiny test could not be applied. It was not shown that Article II of Section 15(c) of the New Central Bank Act hadburdened any fundamental right of its members, other than the guarantee of equal protection of the laws. Also, there was no suspect class involved, since a classification that was based on financial need was not suspect.</w:t>
      </w:r>
    </w:p>
    <w:p w:rsidR="00000000" w:rsidDel="00000000" w:rsidP="00000000" w:rsidRDefault="00000000" w:rsidRPr="00000000" w14:paraId="000006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application of the rational basis test would have been enough, she concluded. As correctly noted in the ponencia, the classification between BSP officers and rank-and-file employees was based on substantial and real differences that were germane to the purpose of the law. First, between these two classes of employees, there were real differences as to the scope of work and degree of responsibility. Within the civil service, classification on the basis of salary grade or between officers and rank-and-file employees were intended to be rationally and objectively based on merit, fitness and degree of responsibility, and not on economic status. Second, the purpose behind the exemption from the SSL of officers ranked SG-20 and above was to increase the competitiveness of the BSP in the industry’s labor market. By offering attractive salary packages, it hoped to entice top executives and officials and to deter competent officers from leaving. An examination of the legislative deliberations of both the House of Representatives and the Senate shows that there was never any intention to provide all BSP personnel with a blanket exemption from the coverage of the SSL.</w:t>
      </w:r>
    </w:p>
    <w:p w:rsidR="00000000" w:rsidDel="00000000" w:rsidP="00000000" w:rsidRDefault="00000000" w:rsidRPr="00000000" w14:paraId="000006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Justice Morales also said that there was nothing new about the argument that the rank-and-file employees of the BSP could benefit from subsequent classifications in other statutes pertaining to other GFI employees, on the theory that they were identically or analogously situated or were members of the same class. Such argument was in fact founded on the fourth requisite of the rational basis test -- that a reasonable classification must equally apply to all members of the same class. Rather, the relevant issue was whether the employees of the BSP and of the other GFIs were so similarly situated as to be regarded as members of a single class for purposes of compensation and position classification. That question, she said, must be answered in the negative.</w:t>
      </w:r>
    </w:p>
    <w:p w:rsidR="00000000" w:rsidDel="00000000" w:rsidP="00000000" w:rsidRDefault="00000000" w:rsidRPr="00000000" w14:paraId="000006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conclusion of the main opinion was that the distinguishing trait among those exempted from the coverage was their status as GFI employees. Such distinction tacitly rested on the assumptions that -- with respect to their compensation, position classification, and qualification standards -- (1) the rank-and-file employees of the BSP, together with similar employees of the LBP, SSS, GSIS and DBP, belonged to a single class; and (2) there were no reasonable distinctions between the rank-and-file employees of the BSP and the exempted employees of the other GOCCs/GFIs. These assumptions are unfounded, however; and the assertion that “GFIs [had] long been recognized as one distinct class, separate from other governmental entities” was demonstrably false.</w:t>
      </w:r>
    </w:p>
    <w:p w:rsidR="00000000" w:rsidDel="00000000" w:rsidP="00000000" w:rsidRDefault="00000000" w:rsidRPr="00000000" w14:paraId="000006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the text nor the legislative record of the SSL manifested any intent to give GOCCs and GFIs a “favored treatment.” On the contrary, Section 4[19] of the Salary Standardization Law expressly provided the general rule that GFIs, like other GOCCs and all other members of the civil service, were within the coverage of the SSL.</w:t>
      </w:r>
    </w:p>
    <w:p w:rsidR="00000000" w:rsidDel="00000000" w:rsidP="00000000" w:rsidRDefault="00000000" w:rsidRPr="00000000" w14:paraId="000006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exemption of the personnel of the Securities and Exchange Commission (SEC) from the coverage of the Compensation Classification System underscored the error in maintaining employment in a GFI as the defining trait of employees exempted from the compensation classification system. In actual fact, the employees of a number of GFIs remained within the coverage of the Compensation Classification System, while employees of several other GOCCs and government agencies were exempted from it.</w:t>
      </w:r>
    </w:p>
    <w:p w:rsidR="00000000" w:rsidDel="00000000" w:rsidP="00000000" w:rsidRDefault="00000000" w:rsidRPr="00000000" w14:paraId="000006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GFI employment, as advocated by the main opinion, could not be reasonably considered to be the basis for exemption from the compensation classification system of the SSL.</w:t>
      </w:r>
    </w:p>
    <w:p w:rsidR="00000000" w:rsidDel="00000000" w:rsidP="00000000" w:rsidRDefault="00000000" w:rsidRPr="00000000" w14:paraId="000006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important, an examination of the legislative proceedings leading to the amendment of the charters of the GOCCs and the GFIs that were exempted from the coverage of the Compensation Classification System disclosed that mere employment in a GFI was not the decisive characteristic that had prompted the legislature to provide for such exemption.</w:t>
      </w:r>
    </w:p>
    <w:p w:rsidR="00000000" w:rsidDel="00000000" w:rsidP="00000000" w:rsidRDefault="00000000" w:rsidRPr="00000000" w14:paraId="000006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basis for the provision was not the mere fact that they were employees of GOCCs or GFIs, but a policy determination by the legislature that such exemption was needed to fulfill the mandate of the institution concerned.</w:t>
      </w:r>
    </w:p>
    <w:p w:rsidR="00000000" w:rsidDel="00000000" w:rsidP="00000000" w:rsidRDefault="00000000" w:rsidRPr="00000000" w14:paraId="000006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Among other considerations were the following: (1) the GOCC or GFI was essentially proprietary in character; (2) the GOCC or GFI was in direct competition with its counterparts in the private sector; and (3) the GOCC or GFI was experiencing difficulties in filling up and/or retaining competent personnel in plantilla positions. The need for and the scope of the exemption necessarily varied with the particular circumstances of each institution; the corresponding variance in the benefits received by the employees was merely incidental.</w:t>
      </w:r>
    </w:p>
    <w:p w:rsidR="00000000" w:rsidDel="00000000" w:rsidP="00000000" w:rsidRDefault="00000000" w:rsidRPr="00000000" w14:paraId="000006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doubt, the BSP employees shared a common attribute with those of the LBP, SSS, GSIS and DBP: all were employees of GOCCs performing fiduciary functions. But these similarities alone were not sufficient to lump them together for purposes of compensation, position classification and qualifications standards. An examination of the legislative records of the amended charters of the exempt GOCCs and GFIs manifested real and material differences. In this regard, it was noted that (1) the Central Monetary Authority performed a primarily government function, rather than a proprietary or business function; (2) unlike the LBP, DBP, SSS and GSIS, the BSP was not subject to cutthroat competition or the pressures of either the financial or the job market; and (3) there was no indication in the record that the BSP -- unlike the LBP, DBP, SSS and GSIS -- was experiencing difficulty in filling up or maintaining competent personnel in the positions ranked S-19 and below.</w:t>
      </w:r>
    </w:p>
    <w:p w:rsidR="00000000" w:rsidDel="00000000" w:rsidP="00000000" w:rsidRDefault="00000000" w:rsidRPr="00000000" w14:paraId="000006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basis of the above differences in factual circumstances, Justice Morales opined that the questioned proviso could not be considered as oppressive or discriminatory in its implementation. Significantly, there was no showing of any injuries sustained by the BSP employees as a result of the questioned proviso, whether or not read together with subsequent legislative enactments.</w:t>
      </w:r>
    </w:p>
    <w:p w:rsidR="00000000" w:rsidDel="00000000" w:rsidP="00000000" w:rsidRDefault="00000000" w:rsidRPr="00000000" w14:paraId="000006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congressional records showed that House Bill 123 had been filed with the present Thirteenth Congress in order to amend the New Central Bank Act by, among other things, exempting all positions in the BSP from the Salary Standardization Law. Thus, Congress had not closed its mind to possible amendments to provide for the exemption of the BSP rank-and-file from the Compensation Classification System of the SSL.</w:t>
      </w:r>
    </w:p>
    <w:p w:rsidR="00000000" w:rsidDel="00000000" w:rsidP="00000000" w:rsidRDefault="00000000" w:rsidRPr="00000000" w14:paraId="000006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lest this Court stray from its function of adjudication and trespass into the realm of legislation, Justice Morales maintained that under the relevant circumstances, judicial restraint was not merely preferable but in fact mandatory. It would be premature, she said, to curtail public debate on the issue of compensation of employees of the GOCCs and GFIs. To do so would, in effect, substitute this Court’s policy judgments for those of the legislature, in whom the “power of the purse” was constitutionally lodged.</w:t>
      </w:r>
    </w:p>
    <w:p w:rsidR="00000000" w:rsidDel="00000000" w:rsidP="00000000" w:rsidRDefault="00000000" w:rsidRPr="00000000" w14:paraId="000006C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6">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7">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8">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B">
      <w:pPr>
        <w:pStyle w:val="Heading3"/>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ind w:left="0" w:firstLine="0"/>
        <w:jc w:val="left"/>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6D1">
      <w:pPr>
        <w:pStyle w:val="Heading3"/>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19</w:t>
      </w:r>
    </w:p>
    <w:p w:rsidR="00000000" w:rsidDel="00000000" w:rsidP="00000000" w:rsidRDefault="00000000" w:rsidRPr="00000000" w14:paraId="000006D2">
      <w:pPr>
        <w:pStyle w:val="Heading1"/>
        <w:rPr>
          <w:rFonts w:ascii="Georgia" w:cs="Georgia" w:eastAsia="Georgia" w:hAnsi="Georgia"/>
          <w:color w:val="000000"/>
          <w:sz w:val="22"/>
          <w:szCs w:val="22"/>
        </w:rPr>
      </w:pPr>
      <w:r w:rsidDel="00000000" w:rsidR="00000000" w:rsidRPr="00000000">
        <w:rPr>
          <w:rFonts w:ascii="Georgia" w:cs="Georgia" w:eastAsia="Georgia" w:hAnsi="Georgia"/>
          <w:i w:val="1"/>
          <w:iCs w:val="1"/>
          <w:color w:val="000000"/>
          <w:sz w:val="22"/>
          <w:szCs w:val="22"/>
          <w:rtl w:val="0"/>
        </w:rPr>
        <w:t xml:space="preserve">Agabon v. NLRC:</w:t>
      </w:r>
      <w:r w:rsidDel="00000000" w:rsidR="00000000" w:rsidRPr="00000000">
        <w:rPr>
          <w:rFonts w:ascii="Georgia" w:cs="Georgia" w:eastAsia="Georgia" w:hAnsi="Georgia"/>
          <w:color w:val="000000"/>
          <w:sz w:val="22"/>
          <w:szCs w:val="22"/>
          <w:rtl w:val="0"/>
        </w:rPr>
        <w:t xml:space="preserve"> Sanctions for Violation of Due Process in Labor Cases</w:t>
      </w:r>
    </w:p>
    <w:p w:rsidR="00000000" w:rsidDel="00000000" w:rsidP="00000000" w:rsidRDefault="00000000" w:rsidRPr="00000000" w14:paraId="000006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tenth year in office, the controversial issue on the proper sanction to be applied against an employer for dismissing an employee -- for a just or authorized cause, but without notice -- was again debated, dissected and ruled upon by the Supreme Court.</w:t>
      </w:r>
    </w:p>
    <w:p w:rsidR="00000000" w:rsidDel="00000000" w:rsidP="00000000" w:rsidRDefault="00000000" w:rsidRPr="00000000" w14:paraId="000006D4">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In Agabon v. NLRC[1] promulgated on November 14, 2004, the Court reverted to the doctrine in Wenphil v. National Labor Relations Commission.[2] According to that doctrine, a dismissal based on a just cause is legal, even when made without notice to the employee concerned; but because of the breach of the statutory notice requirement, the employer must be sanctioned by being made to pay indemnity -- in this case, nominal damages of P30,000 for </w:t>
      </w:r>
      <w:r w:rsidDel="00000000" w:rsidR="00000000" w:rsidRPr="00000000">
        <w:rPr>
          <w:rFonts w:ascii="Georgia" w:cs="Georgia" w:eastAsia="Georgia" w:hAnsi="Georgia"/>
          <w:color w:val="000000"/>
          <w:sz w:val="22"/>
          <w:szCs w:val="22"/>
          <w:rtl w:val="0"/>
        </w:rPr>
        <w:t xml:space="preserve">each petitioner. Thus, the Court abandoned Serrano v. NLRC.</w:t>
      </w:r>
    </w:p>
    <w:p w:rsidR="00000000" w:rsidDel="00000000" w:rsidP="00000000" w:rsidRDefault="00000000" w:rsidRPr="00000000" w14:paraId="000006D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6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Riviera Home Improvements, Inc., which was in the business of selling and installing ornamental and construction materials, employed Petitioners Virgilio Agabon and Jenny Agabon on January 2, 1992, as cornice and gypsum board installers. On February 23, 1999, they were dismissed, without any termination notice, for allegedly abandoning their work.</w:t>
      </w:r>
    </w:p>
    <w:p w:rsidR="00000000" w:rsidDel="00000000" w:rsidP="00000000" w:rsidRDefault="00000000" w:rsidRPr="00000000" w14:paraId="000006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Agabons sued their employer for illegal dismissal and payment of money claims. They filed the case before the labor arbiter, from whom they scored an initial victory. On appeal, however, the NLRC found that they had abandoned their work; hence, they were not entitled to back wages and separation pay or to the other money claims awarded by the labor arbiter. This ruling was sustained by the Court of Appeals.</w:t>
      </w:r>
    </w:p>
    <w:p w:rsidR="00000000" w:rsidDel="00000000" w:rsidP="00000000" w:rsidRDefault="00000000" w:rsidRPr="00000000" w14:paraId="000006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6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main issue before the Supreme Court was whether the petitioners were illegally dismissed. A corollary one involved the effects of the dismissal.</w:t>
      </w:r>
    </w:p>
    <w:p w:rsidR="00000000" w:rsidDel="00000000" w:rsidP="00000000" w:rsidRDefault="00000000" w:rsidRPr="00000000" w14:paraId="000006D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6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a vote of 8 to 6, the Court, through Mme. Justice Consuelo Ynares-Santiago, held that there was a just cause for the termination of the employment of the petitioners, as their abandonment of work had clearly been established. However, the company did not comply with the twin-notice requirement in Book VI, Rule I, Section 2(d) of the Omnibus Rules Implementing the Labor Code. This rule mandates the sending of the notices to the last known addresses of the employees. For failing to comply with procedural due process, the employer in this case was directed to pay each petitioner an indemnity in the form of nominal damages of P30,000.</w:t>
      </w:r>
    </w:p>
    <w:p w:rsidR="00000000" w:rsidDel="00000000" w:rsidP="00000000" w:rsidRDefault="00000000" w:rsidRPr="00000000" w14:paraId="000006D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F">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Various Rulings on</w:t>
      </w:r>
    </w:p>
    <w:p w:rsidR="00000000" w:rsidDel="00000000" w:rsidP="00000000" w:rsidRDefault="00000000" w:rsidRPr="00000000" w14:paraId="000006E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Employment Termination</w:t>
      </w:r>
    </w:p>
    <w:p w:rsidR="00000000" w:rsidDel="00000000" w:rsidP="00000000" w:rsidRDefault="00000000" w:rsidRPr="00000000" w14:paraId="000006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review and reexamination of relevant legal principles to clarify the various rulings on employment termination, the Court recalled that prior to 1989, a dismissal or termination had been deemed illegal for the employer’s failure to give due notice to the employee. But this long-standing rule was reversed in Wenphil in 1989. In that case it was held that the dismissed employee, although not given any notice and hearing, was not entitled to reinstatement and back wages, because the dismissal was for grave misconduct and insubordination -- a just ground for termination under Article 282 of the Labor Code. Nonetheless, for failing to give a formal notice and to conduct an investigation before dismissing the employee as required by law, the employer in Wenphil was ordered to pay the dismissed worker an indemnity of P1,000. The amount of the award, it was then stressed, should depend on the facts of each case and the gravity of the omission committed by the employer.</w:t>
      </w:r>
    </w:p>
    <w:p w:rsidR="00000000" w:rsidDel="00000000" w:rsidP="00000000" w:rsidRDefault="00000000" w:rsidRPr="00000000" w14:paraId="000006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rule thus evolved from Wenphil: where the employer had a valid reason to dismiss an employee but did not follow the due process requirement, the dismissal may be upheld, but the employer must pay an indemnity to the employee.</w:t>
      </w:r>
    </w:p>
    <w:p w:rsidR="00000000" w:rsidDel="00000000" w:rsidP="00000000" w:rsidRDefault="00000000" w:rsidRPr="00000000" w14:paraId="000006E3">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Wenphil </w:t>
      </w:r>
      <w:r w:rsidDel="00000000" w:rsidR="00000000" w:rsidRPr="00000000">
        <w:rPr>
          <w:rFonts w:ascii="Georgia" w:cs="Georgia" w:eastAsia="Georgia" w:hAnsi="Georgia"/>
          <w:sz w:val="22"/>
          <w:szCs w:val="22"/>
          <w:rtl w:val="0"/>
        </w:rPr>
        <w:t xml:space="preserve">was the prevailing doctrine until it was changed on January 27, 2000 by </w:t>
      </w:r>
      <w:r w:rsidDel="00000000" w:rsidR="00000000" w:rsidRPr="00000000">
        <w:rPr>
          <w:rFonts w:ascii="Georgia" w:cs="Georgia" w:eastAsia="Georgia" w:hAnsi="Georgia"/>
          <w:i w:val="1"/>
          <w:iCs w:val="1"/>
          <w:sz w:val="22"/>
          <w:szCs w:val="22"/>
          <w:rtl w:val="0"/>
        </w:rPr>
        <w:t xml:space="preserve">Serrano</w:t>
      </w:r>
      <w:r w:rsidDel="00000000" w:rsidR="00000000" w:rsidRPr="00000000">
        <w:rPr>
          <w:rFonts w:ascii="Georgia" w:cs="Georgia" w:eastAsia="Georgia" w:hAnsi="Georgia"/>
          <w:sz w:val="22"/>
          <w:szCs w:val="22"/>
          <w:rtl w:val="0"/>
        </w:rPr>
        <w:t xml:space="preserve">. It was held in the latter case that a violation of the notice requirement in a termination for a just or authorized cause was not a denial of due process that would nullify the termination. Rather, such violation would make the dismissal ineffectual and require the employer to pay full back wages from the time of termination until a judicial declaration that the dismissal was for a just or authorized cause. By requiring employers to pay full back wages, Serrano was intended to provide a deterrent to violations of the notice requirement better than Wenphil did. Serrano thus confronted the practice of employers who were wont to “dismiss now and pay later.”</w:t>
      </w:r>
    </w:p>
    <w:p w:rsidR="00000000" w:rsidDel="00000000" w:rsidP="00000000" w:rsidRDefault="00000000" w:rsidRPr="00000000" w14:paraId="000006E4">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E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Nominal Damages for Violation of the Notice Requirement</w:t>
      </w:r>
    </w:p>
    <w:p w:rsidR="00000000" w:rsidDel="00000000" w:rsidP="00000000" w:rsidRDefault="00000000" w:rsidRPr="00000000" w14:paraId="000006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Agabon</w:t>
      </w:r>
      <w:r w:rsidDel="00000000" w:rsidR="00000000" w:rsidRPr="00000000">
        <w:rPr>
          <w:rFonts w:ascii="Georgia" w:cs="Georgia" w:eastAsia="Georgia" w:hAnsi="Georgia"/>
          <w:sz w:val="22"/>
          <w:szCs w:val="22"/>
          <w:rtl w:val="0"/>
        </w:rPr>
        <w:t xml:space="preserve">, however, the Court held that Serrano had not considered the full meaning of Article 279 of the Labor Code, which provides that a termination is illegal only if it is not for any of the just or authorized causes provided by law. Consequently, the payment of back wages and other benefits, including reinstatement, is justified only if the employee was unjustly dismissed.</w:t>
      </w:r>
    </w:p>
    <w:p w:rsidR="00000000" w:rsidDel="00000000" w:rsidP="00000000" w:rsidRDefault="00000000" w:rsidRPr="00000000" w14:paraId="000006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 dismissal was for a just cause, as in </w:t>
      </w:r>
      <w:r w:rsidDel="00000000" w:rsidR="00000000" w:rsidRPr="00000000">
        <w:rPr>
          <w:rFonts w:ascii="Georgia" w:cs="Georgia" w:eastAsia="Georgia" w:hAnsi="Georgia"/>
          <w:i w:val="1"/>
          <w:iCs w:val="1"/>
          <w:sz w:val="22"/>
          <w:szCs w:val="22"/>
          <w:rtl w:val="0"/>
        </w:rPr>
        <w:t xml:space="preserve">Agabon</w:t>
      </w:r>
      <w:r w:rsidDel="00000000" w:rsidR="00000000" w:rsidRPr="00000000">
        <w:rPr>
          <w:rFonts w:ascii="Georgia" w:cs="Georgia" w:eastAsia="Georgia" w:hAnsi="Georgia"/>
          <w:sz w:val="22"/>
          <w:szCs w:val="22"/>
          <w:rtl w:val="0"/>
        </w:rPr>
        <w:t xml:space="preserve">, the Court opined that the better rule was to abandon the Serrano doctrine and to revert to Wenphil. Hence, the lack of statutory due process should not nullify the dismissal or render it illegal or ineffectual.</w:t>
      </w:r>
    </w:p>
    <w:p w:rsidR="00000000" w:rsidDel="00000000" w:rsidP="00000000" w:rsidRDefault="00000000" w:rsidRPr="00000000" w14:paraId="000006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violation of a statutory right, the employer should be sanctioned with indemnity or penalty -- this time stiffer than that in Wenphil -- so as to discourage the abhorrent “dismiss now, pay later” practice. Considering the prevailing circumstances in this case, nominal damages were fixed at P30,000 for each petitioner.</w:t>
      </w:r>
    </w:p>
    <w:p w:rsidR="00000000" w:rsidDel="00000000" w:rsidP="00000000" w:rsidRDefault="00000000" w:rsidRPr="00000000" w14:paraId="000006E9">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Separate Opinions</w:t>
      </w:r>
    </w:p>
    <w:p w:rsidR="00000000" w:rsidDel="00000000" w:rsidP="00000000" w:rsidRDefault="00000000" w:rsidRPr="00000000" w14:paraId="000006EA">
      <w:pPr>
        <w:pStyle w:val="Heading2"/>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6EB">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Puno Dissent</w:t>
      </w:r>
    </w:p>
    <w:p w:rsidR="00000000" w:rsidDel="00000000" w:rsidP="00000000" w:rsidRDefault="00000000" w:rsidRPr="00000000" w14:paraId="000006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Reynato S. Puno stressed that “[t]here are enduring reasons for resisting Wenphil, its clone Serrano, and now their offspring Agabon.” He said that the ponencia simply retained, if not diminished, the indemnity granted to the dismissed employees. By treating an employee’s right to due process as no more than an abstract declaration, it disregards the following precepts:</w:t>
      </w:r>
    </w:p>
    <w:p w:rsidR="00000000" w:rsidDel="00000000" w:rsidP="00000000" w:rsidRDefault="00000000" w:rsidRPr="00000000" w14:paraId="000006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 social justice provision was enshrined in the 1935 Constitution, the 1973 Constitution, and now the 1987 Constitution.</w:t>
      </w:r>
    </w:p>
    <w:p w:rsidR="00000000" w:rsidDel="00000000" w:rsidP="00000000" w:rsidRDefault="00000000" w:rsidRPr="00000000" w14:paraId="000006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Courts are mandated at all times to give meaning and substance to constitutional postulates in favor of the workingman. The substantive rights of workers are not to be weakened by a diminished procedural right.</w:t>
      </w:r>
    </w:p>
    <w:p w:rsidR="00000000" w:rsidDel="00000000" w:rsidP="00000000" w:rsidRDefault="00000000" w:rsidRPr="00000000" w14:paraId="000006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Constitution prescribes that employees be on equal footing with their employers. Thus, “[a]s between an employee, usually poor and unlettered, and the employer, who has resources to secure able legal advice, the law has reason to demand from the latter stricter compliance.”</w:t>
      </w:r>
    </w:p>
    <w:p w:rsidR="00000000" w:rsidDel="00000000" w:rsidP="00000000" w:rsidRDefault="00000000" w:rsidRPr="00000000" w14:paraId="000006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A doctrine adhered to in a ceaseless stream of cases holds that violations of the notice requirement in labor cases constitute constitutional due process infringements, even if such cases involve private action</w:t>
      </w:r>
    </w:p>
    <w:p w:rsidR="00000000" w:rsidDel="00000000" w:rsidP="00000000" w:rsidRDefault="00000000" w:rsidRPr="00000000" w14:paraId="000006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In conformity with the protection accorded by the Constitution to labor is the principle that an employee who is denied procedural due process is entitled to reinstatement, the one main relief in cases of dismissal without notice and hearing.</w:t>
      </w:r>
    </w:p>
    <w:p w:rsidR="00000000" w:rsidDel="00000000" w:rsidP="00000000" w:rsidRDefault="00000000" w:rsidRPr="00000000" w14:paraId="000006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Compliance with procedural due process is not a burden on employers. The rules simply require an employer to give two notices: (1) a notice before dismissal apprising the employee being dismissed of the particular acts or omissions for the dismissal; and (2) a subsequent notice informing the employee of the decision of the employer to dismiss the former.</w:t>
      </w:r>
    </w:p>
    <w:p w:rsidR="00000000" w:rsidDel="00000000" w:rsidP="00000000" w:rsidRDefault="00000000" w:rsidRPr="00000000" w14:paraId="000006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In the hierarchy of employees’ rights, the right to security of tenure is high, if not the highest. The paramount value of that right is recognized and guaranteed under the 1987 Constitution. The other complementary rights are meaningless to an unemployed worker.</w:t>
      </w:r>
    </w:p>
    <w:p w:rsidR="00000000" w:rsidDel="00000000" w:rsidP="00000000" w:rsidRDefault="00000000" w:rsidRPr="00000000" w14:paraId="000006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Workers need work more than anything else. All persons have the right to work, to a chance to develop their qualities and their personality in the exercise of their profession, to equitable remuneration that will enable them and their families to lead a worthy life on material, social, cultural and spiritual levels.</w:t>
      </w:r>
    </w:p>
    <w:p w:rsidR="00000000" w:rsidDel="00000000" w:rsidP="00000000" w:rsidRDefault="00000000" w:rsidRPr="00000000" w14:paraId="000006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Simply to allow payment of nominal damages for a violation of an employee’s right to due process is to give undue advantage to the employer. The deprivation of the right to security of tenure and to due process is beyond monetary valuation.</w:t>
      </w:r>
    </w:p>
    <w:p w:rsidR="00000000" w:rsidDel="00000000" w:rsidP="00000000" w:rsidRDefault="00000000" w:rsidRPr="00000000" w14:paraId="000006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Justice Puno explained as follows:</w:t>
      </w:r>
    </w:p>
    <w:p w:rsidR="00000000" w:rsidDel="00000000" w:rsidP="00000000" w:rsidRDefault="00000000" w:rsidRPr="00000000" w14:paraId="000006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these times when our lowly workers can hardly maintain body and soul together due to their meager means, I find it hard to believe that the majority in Wenphil, in Serrano, and now in the instant case Agabon, persists in weakening our employee's right to job security. The stance simply offends a basic principle of justice so entrenched in our tradition and etched in our conscience. An employee may not have a torrens title to his job but it is not too much to require that before he is dismissed by his employer, he should be given a simple notice of the cause of his dismissal and a summary hearing to present his side. All our constitutional and statutory precepts on social justice and the protection of labor will go to naught if we perpetuate our ruling that a dismissal without the required prior notice is valid and if we just penalize with the payment of pennies violations of the employee's right to due process. Without doubt, </w:t>
      </w:r>
      <w:r w:rsidDel="00000000" w:rsidR="00000000" w:rsidRPr="00000000">
        <w:rPr>
          <w:rFonts w:ascii="Georgia" w:cs="Georgia" w:eastAsia="Georgia" w:hAnsi="Georgia"/>
          <w:i w:val="1"/>
          <w:iCs w:val="1"/>
          <w:sz w:val="22"/>
          <w:szCs w:val="22"/>
          <w:rtl w:val="0"/>
        </w:rPr>
        <w:t xml:space="preserve">Wenphil </w:t>
      </w:r>
      <w:r w:rsidDel="00000000" w:rsidR="00000000" w:rsidRPr="00000000">
        <w:rPr>
          <w:rFonts w:ascii="Georgia" w:cs="Georgia" w:eastAsia="Georgia" w:hAnsi="Georgia"/>
          <w:sz w:val="22"/>
          <w:szCs w:val="22"/>
          <w:rtl w:val="0"/>
        </w:rPr>
        <w:t xml:space="preserve">and</w:t>
      </w:r>
      <w:r w:rsidDel="00000000" w:rsidR="00000000" w:rsidRPr="00000000">
        <w:rPr>
          <w:rFonts w:ascii="Georgia" w:cs="Georgia" w:eastAsia="Georgia" w:hAnsi="Georgia"/>
          <w:i w:val="1"/>
          <w:iCs w:val="1"/>
          <w:sz w:val="22"/>
          <w:szCs w:val="22"/>
          <w:rtl w:val="0"/>
        </w:rPr>
        <w:t xml:space="preserve"> Serrano</w:t>
      </w:r>
      <w:r w:rsidDel="00000000" w:rsidR="00000000" w:rsidRPr="00000000">
        <w:rPr>
          <w:rFonts w:ascii="Georgia" w:cs="Georgia" w:eastAsia="Georgia" w:hAnsi="Georgia"/>
          <w:sz w:val="22"/>
          <w:szCs w:val="22"/>
          <w:rtl w:val="0"/>
        </w:rPr>
        <w:t xml:space="preserve"> have lengthened the queue of the unemployed. </w:t>
      </w:r>
      <w:r w:rsidDel="00000000" w:rsidR="00000000" w:rsidRPr="00000000">
        <w:rPr>
          <w:rFonts w:ascii="Georgia" w:cs="Georgia" w:eastAsia="Georgia" w:hAnsi="Georgia"/>
          <w:i w:val="1"/>
          <w:iCs w:val="1"/>
          <w:sz w:val="22"/>
          <w:szCs w:val="22"/>
          <w:rtl w:val="0"/>
        </w:rPr>
        <w:t xml:space="preserve">Agabon</w:t>
      </w:r>
      <w:r w:rsidDel="00000000" w:rsidR="00000000" w:rsidRPr="00000000">
        <w:rPr>
          <w:rFonts w:ascii="Georgia" w:cs="Georgia" w:eastAsia="Georgia" w:hAnsi="Georgia"/>
          <w:sz w:val="22"/>
          <w:szCs w:val="22"/>
          <w:rtl w:val="0"/>
        </w:rPr>
        <w:t xml:space="preserve"> will stretch it out even more.”</w:t>
      </w:r>
    </w:p>
    <w:p w:rsidR="00000000" w:rsidDel="00000000" w:rsidP="00000000" w:rsidRDefault="00000000" w:rsidRPr="00000000" w14:paraId="000006F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F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My Dissent</w:t>
      </w:r>
    </w:p>
    <w:p w:rsidR="00000000" w:rsidDel="00000000" w:rsidP="00000000" w:rsidRDefault="00000000" w:rsidRPr="00000000" w14:paraId="000006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strongly opposed the Court’s “inexplicable turnaround” or reversion to the Wenphil doctrine, saying it was a setback to labor’s rights; it also diminished respect for due process.</w:t>
      </w:r>
    </w:p>
    <w:p w:rsidR="00000000" w:rsidDel="00000000" w:rsidP="00000000" w:rsidRDefault="00000000" w:rsidRPr="00000000" w14:paraId="000006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restated my consistent position: illegal dismissal results not only from the absence of a just or authorized cause as provided in the Labor Code, but likewise from the failure to observe due process. Maintaining the grounds upon which I dissented in Serrano, I argued thus:</w:t>
      </w:r>
    </w:p>
    <w:p w:rsidR="00000000" w:rsidDel="00000000" w:rsidP="00000000" w:rsidRDefault="00000000" w:rsidRPr="00000000" w14:paraId="000006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[W]hen an employee is dismissed without due process, the legal effect is an illegal dismissal; and the appropriate sanction is full back wages plus reinstatement, not merely full back wages (or separation pay), much less merely “indemnity of one month salary for every year of service.” It is jurisprudentially settled that when procedural due process is violated, the proceedings -- in this case, the dismissal -- shall be voided, and the parties returned to their status quo ante; that is, the employees should be given back their old jobs and paid all benefits as if they have never been dismissed.”</w:t>
      </w:r>
    </w:p>
    <w:p w:rsidR="00000000" w:rsidDel="00000000" w:rsidP="00000000" w:rsidRDefault="00000000" w:rsidRPr="00000000" w14:paraId="000006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only exception to the above sanctions, I said, would be a case analogous to Wenphil, one clearly showing the impracticality and the futility of observing the procedure laid down by law in terminating employment. Under such circumstances, dismissal would not be illegal, and no award could properly be granted. Nevertheless, as a measure of compassion, the employee may be given a nominal sum depending on the circumstances, pursuant to Article 2221 of the Civil Code.</w:t>
      </w:r>
    </w:p>
    <w:p w:rsidR="00000000" w:rsidDel="00000000" w:rsidP="00000000" w:rsidRDefault="00000000" w:rsidRPr="00000000" w14:paraId="000006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concluded with these words:</w:t>
      </w:r>
    </w:p>
    <w:p w:rsidR="00000000" w:rsidDel="00000000" w:rsidP="00000000" w:rsidRDefault="00000000" w:rsidRPr="00000000" w14:paraId="000006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b w:val="1"/>
          <w:bCs w:val="1"/>
          <w:sz w:val="22"/>
          <w:szCs w:val="22"/>
          <w:rtl w:val="0"/>
        </w:rPr>
        <w:t xml:space="preserve">In the final analysis</w:t>
      </w:r>
      <w:r w:rsidDel="00000000" w:rsidR="00000000" w:rsidRPr="00000000">
        <w:rPr>
          <w:rFonts w:ascii="Georgia" w:cs="Georgia" w:eastAsia="Georgia" w:hAnsi="Georgia"/>
          <w:sz w:val="22"/>
          <w:szCs w:val="22"/>
          <w:rtl w:val="0"/>
        </w:rPr>
        <w:t xml:space="preserve">, what is involved here is not simply the amount of monetary award -- whether insignificant or substantial; whether termed as indemnity, penalty, separation pay or full back wages. Neither is the subject here merely a matter of respect for workers’ rights or adequate protection of labor. The bottom line is the constitutionally granted right to due process, which is the very essence of justice itself. Where the rule of law is the bedrock of our free society, justice is its very lifeblood. A denial of due process is thus no less than a denial of justice itself.”</w:t>
      </w:r>
    </w:p>
    <w:p w:rsidR="00000000" w:rsidDel="00000000" w:rsidP="00000000" w:rsidRDefault="00000000" w:rsidRPr="00000000" w14:paraId="0000070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01">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Tinga Opinion</w:t>
      </w:r>
    </w:p>
    <w:p w:rsidR="00000000" w:rsidDel="00000000" w:rsidP="00000000" w:rsidRDefault="00000000" w:rsidRPr="00000000" w14:paraId="000007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Separate Opinion, Justice Dante O. Tinga concurred in the result of the majority Decision, which “emphatically reaffirms the rule that dismissals for just cause are not invalidated due to the failure of the employer to observe the proper notice and hearing requirements under the Labor Code.” The Decision, he said, likewise established the Civil Code provisions on damages as the proper framework for granting relief in those cases in which the employee was dismissed for just cause but did not receive the required notices.</w:t>
      </w:r>
    </w:p>
    <w:p w:rsidR="00000000" w:rsidDel="00000000" w:rsidP="00000000" w:rsidRDefault="00000000" w:rsidRPr="00000000" w14:paraId="000007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Believing that violations of the notice requirement in labor termination cases were breaches merely of statutory due process rather than constitutional due process, he pointed out the following:</w:t>
      </w:r>
    </w:p>
    <w:p w:rsidR="00000000" w:rsidDel="00000000" w:rsidP="00000000" w:rsidRDefault="00000000" w:rsidRPr="00000000" w14:paraId="000007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Court, prior to the enactment of the Labor Code, was ill-receptive to the notion that termination for just cause without notice or hearing violated the constitutional right to due process though it recognized an award of damages as the appropriate remedy.”</w:t>
      </w:r>
    </w:p>
    <w:p w:rsidR="00000000" w:rsidDel="00000000" w:rsidP="00000000" w:rsidRDefault="00000000" w:rsidRPr="00000000" w14:paraId="000007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Labor Code, in its inception, did not require notice or hearing before an employer could terminate an employee for just cause.”</w:t>
      </w:r>
    </w:p>
    <w:p w:rsidR="00000000" w:rsidDel="00000000" w:rsidP="00000000" w:rsidRDefault="00000000" w:rsidRPr="00000000" w14:paraId="000007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“It is quite apparent that the constitutional protection of labor was entrenched more than eight decades ago, yet such did not prevent this Court in the past from affirming dismissals for just cause without valid notice. Nor was there any pretense made that this constitutional maxim afforded a laborer a positive right against dismissal for just cause on the ground of lack of valid prior notice.”</w:t>
      </w:r>
    </w:p>
    <w:p w:rsidR="00000000" w:rsidDel="00000000" w:rsidP="00000000" w:rsidRDefault="00000000" w:rsidRPr="00000000" w14:paraId="000007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necessity for laws concretizing the constitutional principles on the protection of labor is evident in the reliance placed upon such laws by the Court in resolving the issue of the validity of a worker’s dismissal. In cases where that was the issue confronting the Court, it consistently recognized the constitutional right to security of tenure and employed the standards laid down by prevailing laws in determining whether such right was violated. The Court’s reference to laws other than the Constitution in resolving the issue of dismissal is an implicit acknowledgment that the right to security of tenure, while recognized in the Constitution, cannot be implemented uniformly absent a law prescribing concrete standards for its enforcement.”</w:t>
      </w:r>
    </w:p>
    <w:p w:rsidR="00000000" w:rsidDel="00000000" w:rsidP="00000000" w:rsidRDefault="00000000" w:rsidRPr="00000000" w14:paraId="000007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“There is no express provision in the Labor Code that voids a dismissal for just cause on the ground that there was no notice or hearing. Under Section 279, the employer is precluded from dismissing an employee except for a just cause as provided in Section 282, or an authorized cause under Sections 283 and 284. Based on reading Section 279 alone, the existence of just cause by itself is sufficient to validate the termination.”</w:t>
      </w:r>
    </w:p>
    <w:p w:rsidR="00000000" w:rsidDel="00000000" w:rsidP="00000000" w:rsidRDefault="00000000" w:rsidRPr="00000000" w14:paraId="000007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thus posited that the failure to substantially comply with the standards of due process, including the notice and hearing requirement, could give rise to an actionable claim against the employer. The remedy of reinstatement despite termination for a just cause was, however, simply not authorized by the Labor Code. He explained thus:</w:t>
      </w:r>
    </w:p>
    <w:p w:rsidR="00000000" w:rsidDel="00000000" w:rsidP="00000000" w:rsidRDefault="00000000" w:rsidRPr="00000000" w14:paraId="000007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practical purpose of requiring notice and hearing is to afford the employee the opportunity to dispute the contention that there was just cause in the dismissal. Yet it must be understood – if a dismissed employee is deprived of the right to notice and hearing, and thus denied the opportunity to present countervailing evidence that disputes the finding of just cause, reinstatement will be valid not because the notice and hearing requirement was not observed, but because there was no just cause in the dismissal. The opportunity to dispute the finding of the just cause is readily available before the Labor Arbiter, and the subsequent levels of appellate review.”</w:t>
      </w:r>
    </w:p>
    <w:p w:rsidR="00000000" w:rsidDel="00000000" w:rsidP="00000000" w:rsidRDefault="00000000" w:rsidRPr="00000000" w14:paraId="000007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issue of damages to be awarded to the employee dismissed without notice, Justice Tinga argued that the award of damages must have a statutory basis: the Civil Code.</w:t>
      </w:r>
    </w:p>
    <w:p w:rsidR="00000000" w:rsidDel="00000000" w:rsidP="00000000" w:rsidRDefault="00000000" w:rsidRPr="00000000" w14:paraId="000007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Reviewing the provisions of the Labor Code, he pointed out that Article 279 of the Code clearly authorized the payment of back wages only if an employee had been unjustly dismissed. Separation pay could not be ordered either, based on the Labor Code provision for the termination of employment for a just cause. Separation pay is warranted only for dismissal for an authorized cause, as enumerated in Articles 283 and 284 of the Labor Code.</w:t>
      </w:r>
    </w:p>
    <w:p w:rsidR="00000000" w:rsidDel="00000000" w:rsidP="00000000" w:rsidRDefault="00000000" w:rsidRPr="00000000" w14:paraId="000007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observed that while, as a measure of social justice, the Court had authorized in the past the award of separation pay for duly terminated services, it had done so on the condition that the employee was not guilty of any serious misconduct reflecting on moral character. Nonetheless, he added, such an award had no statutory basis, but clearly emanated from the Court’s so-called “equity jurisdiction.”</w:t>
      </w:r>
    </w:p>
    <w:p w:rsidR="00000000" w:rsidDel="00000000" w:rsidP="00000000" w:rsidRDefault="00000000" w:rsidRPr="00000000" w14:paraId="000007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Liability for failure to render the notice requirement comes from another putative source -- the Labor Code -- specifically Article 288,[21] which should likewise be rejected. This particular provision explicitly states that the imposition of a fine or an imprisonment is at the “discretion of the court.” Thus, before Article 288 can be applied, a criminal case has to be instituted before the proper courts, and the subject Labor Code violation duly proven in an adversarial proceeding. It is also clear that the provision comes into play regardless of who the violator may be -- the employer, the employee, or even officials tasked with implementing the Labor Code.</w:t>
      </w:r>
    </w:p>
    <w:p w:rsidR="00000000" w:rsidDel="00000000" w:rsidP="00000000" w:rsidRDefault="00000000" w:rsidRPr="00000000" w14:paraId="000007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it was contended that the penalty under Article 288 should be paid to the State, not to the person or persons who may have suffered injury as a result of the violation. Since it penalizes a Labor Code violation that causes no actual injury to any person, this provision clearly serves as a punitive fine rather than as a compensatory measure,</w:t>
      </w:r>
    </w:p>
    <w:p w:rsidR="00000000" w:rsidDel="00000000" w:rsidP="00000000" w:rsidRDefault="00000000" w:rsidRPr="00000000" w14:paraId="000007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foregoing reasons, Justice Tinga maintained that Serrano and a few other cases, which adverted to “fines” paid to the dismissed employee, may have left an erroneous impression that the award implemented beginning with Wenphil was based on Article 288. Yet, an examination of Wenphil reveals that what the Court actually awarded to the employee was an “indemnity” that depended on the facts of each case and the gravity of the omission committed by the employer.</w:t>
      </w:r>
    </w:p>
    <w:p w:rsidR="00000000" w:rsidDel="00000000" w:rsidP="00000000" w:rsidRDefault="00000000" w:rsidRPr="00000000" w14:paraId="000007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proper legal basis, then, for holding the employer liable for monetary damages to the employee who was dismissed for a just cause is the Civil Code. It is the law that regulates the private relations of the members of civil society, as it determines their respective rights and obligations with reference to persons, things, and civil acts. No matter how impressed with public interest the relationship between a private employer and employee is, it is still ultimately a relationship between private individuals, said Justice Tinga.</w:t>
      </w:r>
    </w:p>
    <w:p w:rsidR="00000000" w:rsidDel="00000000" w:rsidP="00000000" w:rsidRDefault="00000000" w:rsidRPr="00000000" w14:paraId="000007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award of damages should be measured against the loss or injury suffered by the employee by reason of the employer’s violation; or, in case of nominal damages, against the right vindicated by the award. This is the proper paradigm authorized by our law and designed to obtain the fairest possible relief.</w:t>
      </w:r>
    </w:p>
    <w:p w:rsidR="00000000" w:rsidDel="00000000" w:rsidP="00000000" w:rsidRDefault="00000000" w:rsidRPr="00000000" w14:paraId="000007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Insofar as just dismissals without notice were concerned, Justice Tinga proposed the following standards to guide the proper award of damages under the Civil Code.</w:t>
      </w:r>
    </w:p>
    <w:p w:rsidR="00000000" w:rsidDel="00000000" w:rsidP="00000000" w:rsidRDefault="00000000" w:rsidRPr="00000000" w14:paraId="000007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As a general rule, failure to comply with the statutory requirement of notice automatically gives rise to nominal damages at the very least, even if the dismissal was sustained for a just cause.</w:t>
      </w:r>
    </w:p>
    <w:p w:rsidR="00000000" w:rsidDel="00000000" w:rsidP="00000000" w:rsidRDefault="00000000" w:rsidRPr="00000000" w14:paraId="000007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Nominal damages are adjudicated, so that a plaintiff’s right that has been violated or invaded by another may be vindicated or recognized without having to indemnify the plaintiff for any loss suffered. Such damages may likewise be awarded in every obligation arising from law, contracts, quasi-contracts, acts or omissions punished by law, and quasi-delicts; or when any property right (such as one’s employment, profession, trade or calling) has been invaded. Factors such as length of service, positions held, and salary received may be considered to obtain a proper measure of nominal damages. At the same time, it should be recognized that nominal damages are not meant to be compensatory, and that the amount should not be computed through a formula based on actual losses. Consequently, nominal damages are usually limited in pecuniary value.</w:t>
      </w:r>
    </w:p>
    <w:p w:rsidR="00000000" w:rsidDel="00000000" w:rsidP="00000000" w:rsidRDefault="00000000" w:rsidRPr="00000000" w14:paraId="000007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Actual or compensatory damages are not available, as a matter of right, to an employee dismissed for a just cause but denied statutory due process. They must be based on clear factual and legal bases and must correspond to the duly proven pecuniary loss suffered by the employee.</w:t>
      </w:r>
    </w:p>
    <w:p w:rsidR="00000000" w:rsidDel="00000000" w:rsidP="00000000" w:rsidRDefault="00000000" w:rsidRPr="00000000" w14:paraId="000007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If there is a finding of pecuniary loss arising from the employer’s violation, but the amount cannot be proved with certainty, then temperate or moderate damages are available under Article 2224 of the Civil Code. Again, sufficient discretion is afforded to the adjudicator as regards the proper award, which must be reasonable under the circumstances. Temperate or nominal damages may yet prove to be a plausible remedy, especially when common sense dictates that pecuniary loss was suffered, but was incapable of precise definition.</w:t>
      </w:r>
    </w:p>
    <w:p w:rsidR="00000000" w:rsidDel="00000000" w:rsidP="00000000" w:rsidRDefault="00000000" w:rsidRPr="00000000" w14:paraId="000007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Moral and exemplary damages may also be awarded in the appropriate circumstances. As pointed out in the ponencia, moral damages are recoverable if the dismissal of the employee was attended by bad faith or fraud; or if the dismissal was done in a manner contrary to morals, good customs or public policy; or if the employer committed an act oppressive to labor. Exemplary damages are those awarded if the dismissal was effected in a wanton, oppressive or malevolent manner.</w:t>
      </w:r>
    </w:p>
    <w:p w:rsidR="00000000" w:rsidDel="00000000" w:rsidP="00000000" w:rsidRDefault="00000000" w:rsidRPr="00000000" w14:paraId="00000719">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A">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B">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C">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E">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1F">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20">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20</w:t>
      </w:r>
    </w:p>
    <w:p w:rsidR="00000000" w:rsidDel="00000000" w:rsidP="00000000" w:rsidRDefault="00000000" w:rsidRPr="00000000" w14:paraId="00000724">
      <w:pPr>
        <w:pStyle w:val="Heading1"/>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Presidential Commission on Good Government v. Sandiganbayan: </w:t>
      </w:r>
    </w:p>
    <w:p w:rsidR="00000000" w:rsidDel="00000000" w:rsidP="00000000" w:rsidRDefault="00000000" w:rsidRPr="00000000" w14:paraId="00000725">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Ethical Conduct of a Lawyer</w:t>
      </w:r>
    </w:p>
    <w:p w:rsidR="00000000" w:rsidDel="00000000" w:rsidP="00000000" w:rsidRDefault="00000000" w:rsidRPr="00000000" w14:paraId="000007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of first impression, the Court found itself in the problematic position of choosing between or balancing two policy considerations -- the efforts of the Supreme Court to upgrade the ethics of lawyers in government service on the one hand and, on the other, the right of the government to recruit competent counsel to defend its interests.</w:t>
      </w:r>
    </w:p>
    <w:p w:rsidR="00000000" w:rsidDel="00000000" w:rsidP="00000000" w:rsidRDefault="00000000" w:rsidRPr="00000000" w14:paraId="000007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 stemmed from a Motion to disqualify Atty. Estelito P. Mendoza, a former solicitor general, from representing Lucio Tan and several other respondents in cases involving the sequestration of certain properties by the Presidential Commission on Good Government (PCGG). The Court, by a majority vote of 11 members, denied the PCGG’s Petition for Certiorari charging the Sandiganbayan (SBN) Fifth Division with grave abuse of discretion for denying Atty. Mendoza’s disqualification. Two members dissented, while two others took no part in the deliberations and voting.</w:t>
      </w:r>
    </w:p>
    <w:p w:rsidR="00000000" w:rsidDel="00000000" w:rsidP="00000000" w:rsidRDefault="00000000" w:rsidRPr="00000000" w14:paraId="0000072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Facts</w:t>
      </w:r>
    </w:p>
    <w:p w:rsidR="00000000" w:rsidDel="00000000" w:rsidP="00000000" w:rsidRDefault="00000000" w:rsidRPr="00000000" w14:paraId="000007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25, 1977, the Central Bank declared the General Bank and Trust Company (GenBank) insolvent and ordered its liquidation. Atty. Mendoza, then solicitor general, filed a Petition with the then Court of First Instance (CFI) of Manila, praying for the court’s assistance and supervision in the liquidation of the bank as mandated by Section 29 of Republic Act (RA) No. 265.</w:t>
      </w:r>
    </w:p>
    <w:p w:rsidR="00000000" w:rsidDel="00000000" w:rsidP="00000000" w:rsidRDefault="00000000" w:rsidRPr="00000000" w14:paraId="000007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came the EDSA Revolution of February 1986. Upon her ascension to power, President Corazon C. Aquino established the Presidential Commission on Good Government (PCGG) to recover the alleged ill-gotten wealth of former President Ferdinand Marcos, his family and his cronies. In line with its mandate, the PCGG filed a Complaint for the recovery of those assets belonging to suspected cronies. Among them was Lucio Tan’s group, which had by then acquired GenBank (later renamed Allied Banking Corporation). Docketed as Civil Case No. 0005, the case was assigned to the SBN Second Division. The PCGG also issued several writs of sequestration on the properties of the Lucio Tan group, including shares of stock of Allied Bank.</w:t>
      </w:r>
    </w:p>
    <w:p w:rsidR="00000000" w:rsidDel="00000000" w:rsidP="00000000" w:rsidRDefault="00000000" w:rsidRPr="00000000" w14:paraId="000007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Tan et al. filed three Petitions in the Supreme Court to nullify, among others, the writs of sequestration. In all these cases (Civil Case Nos. 0096-0099), which the Court referred to the SBN Second Division for proper disposition, they were represented by former Solicitor General Mendoza, who had by then resumed his private practice of law.</w:t>
      </w:r>
    </w:p>
    <w:p w:rsidR="00000000" w:rsidDel="00000000" w:rsidP="00000000" w:rsidRDefault="00000000" w:rsidRPr="00000000" w14:paraId="000007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Civil Case No. 005 and the sequestration cases, the PCGG moved to disqualify Atty. Mendoza as counsel for Tan et al. It was alleged that, as former solicitor general and counsel of the Central Bank, he had “actively intervened” in the liquidation and Tan et al.’s subsequent acquisition of GenBank. The Motion to disqualify him invoked Rule 6.03 of the Code of Professional Responsibility (CPR): “A lawyer shall not, after leaving government service, accept engagement or employment in connection with any matter in which he had intervened while in said service.”</w:t>
      </w:r>
    </w:p>
    <w:p w:rsidR="00000000" w:rsidDel="00000000" w:rsidP="00000000" w:rsidRDefault="00000000" w:rsidRPr="00000000" w14:paraId="000007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11, 2001, the Motion for the disqualification of Atty. Mendoza was denied by the SBN Fifth Division, which had adopted an earlier Resolution by the Second Division in Civil Case No. 0005. In that case, a similar Motion for disqualification alleged that the PCGG had failed to prove any inconsistency between the former function of Atty. Mendoza as solicitor general and his current employment as counsel of the Lucio Tan group. On December 5, 2001, PCGG’s Motion for Reconsideration was also denied.</w:t>
      </w:r>
    </w:p>
    <w:p w:rsidR="00000000" w:rsidDel="00000000" w:rsidP="00000000" w:rsidRDefault="00000000" w:rsidRPr="00000000" w14:paraId="000007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PCGG filed the Petition with the Supreme Court, ascribing grave abuse of discretion to the SBN Fifth Division for issuing the Resolutions of July 11, 2001 and December 5, 2000.</w:t>
      </w:r>
    </w:p>
    <w:p w:rsidR="00000000" w:rsidDel="00000000" w:rsidP="00000000" w:rsidRDefault="00000000" w:rsidRPr="00000000" w14:paraId="0000072F">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Issue</w:t>
      </w:r>
    </w:p>
    <w:p w:rsidR="00000000" w:rsidDel="00000000" w:rsidP="00000000" w:rsidRDefault="00000000" w:rsidRPr="00000000" w14:paraId="000007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main, the issue was whether the prohibition under Rule 6.03 of the Code of Professional Responsibility applied to Atty. Mendoza.</w:t>
      </w:r>
    </w:p>
    <w:p w:rsidR="00000000" w:rsidDel="00000000" w:rsidP="00000000" w:rsidRDefault="00000000" w:rsidRPr="00000000" w14:paraId="0000073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Court’s Ruling</w:t>
      </w:r>
    </w:p>
    <w:p w:rsidR="00000000" w:rsidDel="00000000" w:rsidP="00000000" w:rsidRDefault="00000000" w:rsidRPr="00000000" w14:paraId="000007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Writing for the majority, Justice Reynato S. Puno undertook an exhaustive investigation of the historical antecedents and rationale of Rule 6.03 of the CPR. As early as 1924, concerns had been raised by the American Bar Association (ABA), from whose canons the Philippine Code of Professional Responsibility has borrowed immensely. These concerns were over the “revolving door,” in which “lawyers x x x temporarily enter government service from private life and then leave it for large fees in private practice, where they can exploit information, contacts, and influence garnered in government service.” The areas of concern were classified as “adverse-interest conflicts” and “congruent-interest conflicts.”</w:t>
      </w:r>
    </w:p>
    <w:p w:rsidR="00000000" w:rsidDel="00000000" w:rsidP="00000000" w:rsidRDefault="00000000" w:rsidRPr="00000000" w14:paraId="000007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“adverse-interest conflict” exists when the matter in which a former government lawyer represents a client in private practice is substantially related to a matter that the lawyer dealt with while employed by the government; and the current and the former interests are adverse. On the other hand, a “congruent-interest conflict” prohibits a former government lawyer from representing a private practice client, even if the interests of the former and the new clients are entirely parallel. The case of Atty. Mendoza involved the second type of representation conflict.</w:t>
      </w:r>
    </w:p>
    <w:p w:rsidR="00000000" w:rsidDel="00000000" w:rsidP="00000000" w:rsidRDefault="00000000" w:rsidRPr="00000000" w14:paraId="000007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sustained the SBN’s denial of Atty. Mendoza’s disqualification, saying that the key to unlocking Rule 6.03 of the CPR was understanding (1) the meaning of “matter,” as well as (2) the metes and bounds of the “intervention” made by the former government lawyer on the “matter.”</w:t>
      </w:r>
    </w:p>
    <w:p w:rsidR="00000000" w:rsidDel="00000000" w:rsidP="00000000" w:rsidRDefault="00000000" w:rsidRPr="00000000" w14:paraId="0000073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3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“Matter”</w:t>
      </w:r>
    </w:p>
    <w:p w:rsidR="00000000" w:rsidDel="00000000" w:rsidP="00000000" w:rsidRDefault="00000000" w:rsidRPr="00000000" w14:paraId="000007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“matter,” in which Atty. Mendoza intervened, referred to “advising the Central Bank on how to proceed with [GenBank’s] liquidation and even filing the petition for its liquidation with the CFI of Manila.” This matter, the Court said, was not the one contemplated by Rule 6.03 of the CPR. As interpreted in ABA’s Formal Opinion No. 342 (precursor of the Rule), “drafting, enforcing or interpreting government or agency procedures, regulations or laws, or briefing abstract principles of law” are acts that do not fall within the scope of the term “matter’; hence, they cannot be used to disqualify. Besides, the matter” involved in the special proceeding for GenBank’s liquidation was entirely different from the “matter” involved in the sequestration cases.</w:t>
      </w:r>
    </w:p>
    <w:p w:rsidR="00000000" w:rsidDel="00000000" w:rsidP="00000000" w:rsidRDefault="00000000" w:rsidRPr="00000000" w14:paraId="0000073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3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Intervention</w:t>
      </w:r>
    </w:p>
    <w:p w:rsidR="00000000" w:rsidDel="00000000" w:rsidP="00000000" w:rsidRDefault="00000000" w:rsidRPr="00000000" w14:paraId="000007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Meanwhile, two possible interpretations of the word “intervene” were noted. The first interpretation included participation in a proceeding, even if the intervention was irrelevant or had no effect or little influence. Under the second interpretation, “intervene” included only the act of a person who had the power to influence the proceedings. The second meaning was more appropriately given to the word “intervention” in Rule 6.03 of the CPR. The intervention, therefore, must be substantial and significant.</w:t>
      </w:r>
    </w:p>
    <w:p w:rsidR="00000000" w:rsidDel="00000000" w:rsidP="00000000" w:rsidRDefault="00000000" w:rsidRPr="00000000" w14:paraId="000007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 Petition in the special proceedings was noted to be an initiatory pleading; hence, it had to be signed by Atty. Mendoza as the solicitor general. Moreover, his actual participation in the liquidation -- a participation that was not clear -- was not that of the usual court litigator protecting the interest of the government. Thus, his “intervention” was held to be insignificant and insubstantial.</w:t>
      </w:r>
    </w:p>
    <w:p w:rsidR="00000000" w:rsidDel="00000000" w:rsidP="00000000" w:rsidRDefault="00000000" w:rsidRPr="00000000" w14:paraId="0000073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3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Balancing Competing Policy Considerations</w:t>
      </w:r>
    </w:p>
    <w:p w:rsidR="00000000" w:rsidDel="00000000" w:rsidP="00000000" w:rsidRDefault="00000000" w:rsidRPr="00000000" w14:paraId="000007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ruling the way it did, the Court stressed that Rule 6.03 of the CPR had not been interpreted to cause a chilling effect on government recruitment of able legal talent. It rejected the use of the litigation tactic of harassing the opposing counsel to deprive the client not only of a law firm of choice, but also of an individual lawyer in whom the latter had confidence.</w:t>
      </w:r>
    </w:p>
    <w:p w:rsidR="00000000" w:rsidDel="00000000" w:rsidP="00000000" w:rsidRDefault="00000000" w:rsidRPr="00000000" w14:paraId="000007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considered the possible effect of a truncated Rule on the official independence of lawyers in the government service. Found to be no less significant was the fact that former government lawyers were being deprived of the freedom to exercise their profession.</w:t>
      </w:r>
    </w:p>
    <w:p w:rsidR="00000000" w:rsidDel="00000000" w:rsidP="00000000" w:rsidRDefault="00000000" w:rsidRPr="00000000" w14:paraId="00000740">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4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Impropriety</w:t>
      </w:r>
    </w:p>
    <w:p w:rsidR="00000000" w:rsidDel="00000000" w:rsidP="00000000" w:rsidRDefault="00000000" w:rsidRPr="00000000" w14:paraId="000007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possible appearance of impropriety and loss of public confidence in government -- the mischief sought to be remedied by Rule 6.03 of the CPR -- had already been rejected in the 1983 ABA Model Rules of Professional Conduct. Accordingly, per se disqualification in cases involving an actual conflict of interest has been abandoned by some courts. Demanded, instead, is an evaluation of the interests of the defendant, the government, the witnesses, and the public.</w:t>
      </w:r>
    </w:p>
    <w:p w:rsidR="00000000" w:rsidDel="00000000" w:rsidP="00000000" w:rsidRDefault="00000000" w:rsidRPr="00000000" w14:paraId="00000743">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44">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Switching Sides</w:t>
      </w:r>
    </w:p>
    <w:p w:rsidR="00000000" w:rsidDel="00000000" w:rsidP="00000000" w:rsidRDefault="00000000" w:rsidRPr="00000000" w14:paraId="000007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Meanwhile, found to be inapplicable was the argument for strictness that was meant to discourage lawyers from “switching sides” and thereby compromising confidential official information. There were no inconsistent sides, because Atty. Mendoza’s act of informing the Central Bank (CB) of the procedure for liquidating GenBank was a subject matter that differed from that of the sequestration cases involving Allied Bank. Consequently, there was no danger that confidential official information might be divulged.</w:t>
      </w:r>
    </w:p>
    <w:p w:rsidR="00000000" w:rsidDel="00000000" w:rsidP="00000000" w:rsidRDefault="00000000" w:rsidRPr="00000000" w14:paraId="000007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4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Conflict of Loyalties</w:t>
      </w:r>
    </w:p>
    <w:p w:rsidR="00000000" w:rsidDel="00000000" w:rsidP="00000000" w:rsidRDefault="00000000" w:rsidRPr="00000000" w14:paraId="000007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Fears over a possible conflict of loyalties, which a government employee might experience while still in government service, were likewise brushed aside as a non-factor. The Court pointed out that Atty. Mendoza had not been charged with advising the CB on how to liquidate GenBank with an eye on defending Tan et al. of Allied Bank at a later time. Quite the contrary, he continued defending both the interests of the CB and of Tan et al. in the cases mentioned.</w:t>
      </w:r>
    </w:p>
    <w:p w:rsidR="00000000" w:rsidDel="00000000" w:rsidP="00000000" w:rsidRDefault="00000000" w:rsidRPr="00000000" w14:paraId="00000749">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4A">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Excessive Influence or Clout of Former Officials</w:t>
      </w:r>
    </w:p>
    <w:p w:rsidR="00000000" w:rsidDel="00000000" w:rsidP="00000000" w:rsidRDefault="00000000" w:rsidRPr="00000000" w14:paraId="000007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likewise paid no heed to the need to curtail the alleged excessive influence or clout of former officials. It considered such concern to be overextended and demeaning to those sitting in government.</w:t>
      </w:r>
    </w:p>
    <w:p w:rsidR="00000000" w:rsidDel="00000000" w:rsidP="00000000" w:rsidRDefault="00000000" w:rsidRPr="00000000" w14:paraId="000007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the foregoing points, the Petition assailing the Sandiganbayan Resolutions in the sequestration cases was denied.</w:t>
      </w:r>
    </w:p>
    <w:p w:rsidR="00000000" w:rsidDel="00000000" w:rsidP="00000000" w:rsidRDefault="00000000" w:rsidRPr="00000000" w14:paraId="0000074D">
      <w:pPr>
        <w:pStyle w:val="Heading2"/>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Separate Opinions</w:t>
      </w:r>
    </w:p>
    <w:p w:rsidR="00000000" w:rsidDel="00000000" w:rsidP="00000000" w:rsidRDefault="00000000" w:rsidRPr="00000000" w14:paraId="0000074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My Separate Opinion</w:t>
      </w:r>
    </w:p>
    <w:p w:rsidR="00000000" w:rsidDel="00000000" w:rsidP="00000000" w:rsidRDefault="00000000" w:rsidRPr="00000000" w14:paraId="000007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wrote a Separate Opinion arguing that the Petition should be dismissed only on the grounds of res judicata -- specifically, conclusiveness of judgment -- and prescription.</w:t>
      </w:r>
    </w:p>
    <w:p w:rsidR="00000000" w:rsidDel="00000000" w:rsidP="00000000" w:rsidRDefault="00000000" w:rsidRPr="00000000" w14:paraId="000007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ponencia, Justice Puno contended that the procedural advice given by Atty. Mendoza was not the “matter” contemplated by Rule 6.03 of the CPR; and, in his Dissent, Justice Romeo J. Callejo Sr. took the position that Atty. Mendoza had violated Rule 6.03. With due respect, I submitted in my Separate Opinion that there was no need to inquire if the Rule had been transgressed, because a Resolution of the Sandiganbayan on the disqualification issue in a case involving the same parties and the same subject matter (Civil Case No. 005) had already become final and immutable and could no longer be altered. Rather, the material issue was whether Atty. Mendoza could still be barred from representing Tan et al. despite (1) the said final Order; and (2) the passage of sufficient time from the date he ceased to be solicitor general to the date when his supposed disqualification (for violation of the Code) was raised.</w:t>
      </w:r>
    </w:p>
    <w:p w:rsidR="00000000" w:rsidDel="00000000" w:rsidP="00000000" w:rsidRDefault="00000000" w:rsidRPr="00000000" w14:paraId="000007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 was barred by the principle of conclusiveness of judgment, which precluded the re-litigation of conclusively settled facts or issues between the same parties. While there was as yet no final adjudication on the merits of the main issues of “reversion, reconveyance and restitution,” the question with respect to the disqualification of Atty. Mendoza had nonetheless been conclusively settled. The April 22, 1991 Resolution of the SBN Second Division had resolved on the merits the very same ground for his disqualification. And since no appeal was taken, the Resolution became final and executory. I stressed that, for the principle of conclusiveness of judgment to operate as an estoppel, the only identity required was that between parties and issues.</w:t>
      </w:r>
    </w:p>
    <w:p w:rsidR="00000000" w:rsidDel="00000000" w:rsidP="00000000" w:rsidRDefault="00000000" w:rsidRPr="00000000" w14:paraId="000007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submitted that the restriction on government lawyers, specifically with respect to their subsequent engagement under “congruent-interest representation,” should be allowed to expire after a reasonable period when no further prejudice to the public could be contemplated. The prohibition should expire five years from retirement or separation from government service -- five years being the prescriptive period for suits for which no period was prescribed by law. Some lawyers had chosen in some distant past to dedicate their service to the government for some years, during which they had taken part in certain cases pursuant to their official functions. To ban them perpetually and absolutely from now taking part in any of those cases would then be unduly harsh, unreasonable and unfair.</w:t>
      </w:r>
    </w:p>
    <w:p w:rsidR="00000000" w:rsidDel="00000000" w:rsidP="00000000" w:rsidRDefault="00000000" w:rsidRPr="00000000" w14:paraId="0000075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4">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Gutierrez Concurring Opinion</w:t>
      </w:r>
    </w:p>
    <w:p w:rsidR="00000000" w:rsidDel="00000000" w:rsidP="00000000" w:rsidRDefault="00000000" w:rsidRPr="00000000" w14:paraId="000007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Madame Justice Angelina Sandoval-Gutierrez wrote a Concurring Opinion, in which she declared that motions to disqualify counsels from representing their clients must be considered with caution, because those motions might have been filed merely to harass a particular counsel, to delay litigation, to intimidate the adversary, or to gain a tactical advantage. Motions like those were not motivated by a fine sense of ethics or a sincere desire to remove an unethical practitioner from litigation. In this case, she found that the “scattershot manner in which the PCGG filed the various motions to disqualify Atty. Mendoza shows its intent to harass him and Tan et al.”</w:t>
      </w:r>
    </w:p>
    <w:p w:rsidR="00000000" w:rsidDel="00000000" w:rsidP="00000000" w:rsidRDefault="00000000" w:rsidRPr="00000000" w14:paraId="000007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issues, Justice Gutierrez opined as follows:</w:t>
      </w:r>
    </w:p>
    <w:p w:rsidR="00000000" w:rsidDel="00000000" w:rsidP="00000000" w:rsidRDefault="00000000" w:rsidRPr="00000000" w14:paraId="000007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An order denying a motion to disqualify a counsel was final and not merely interlocutory. The issue was separable from, independent of, and collateral to, the merits of the sequestration cases. Therefore, the proper remedy was not a petition for certiorari, but an appeal.</w:t>
      </w:r>
    </w:p>
    <w:p w:rsidR="00000000" w:rsidDel="00000000" w:rsidP="00000000" w:rsidRDefault="00000000" w:rsidRPr="00000000" w14:paraId="000007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Res judicata would apply. The Decision of the SBN in Civil Case Nos. 0095 and 0100, in which a similar Motion to disqualify Atty. Mendoza had been denied, became final with the Court’s Decision in GR Nos. 112708-09. Because the PCGG had failed to assign as an error the denial of its Motion to disqualify him, the SBN Resolution denying his disqualification likewise became final. Hence, the PCGG could not re-litigate the issue.</w:t>
      </w:r>
    </w:p>
    <w:p w:rsidR="00000000" w:rsidDel="00000000" w:rsidP="00000000" w:rsidRDefault="00000000" w:rsidRPr="00000000" w14:paraId="000007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Special Proceedings No. 107812, which involved the liquidation of GenBank before the CFI of Manila, was filed by Atty. Mendoza on behalf of the CB, Arnulfo B. Aurellano and several insurance companies. The issue in that case was whether the CB had acted in good faith in ordering GenBank’s liquidation. On the other hand, Civil Case No. 0096 was for the annulment of various sequestration Orders issued by the PCGG over Tan et al.’s properties, among them Allied Bank. The issues here were whether the sequestration Order over the shares of stock in the bank had been issued without notice, hearing and evidence. Thus, the two cases were different in all aspects, such as the parties, issues, facts and reliefs sought. The liquidation proceeding could not, therefore, be considered as a “matter” in connection with which Atty. Mendoza had accepted his engagement as counsel in the sequestration case.</w:t>
      </w:r>
    </w:p>
    <w:p w:rsidR="00000000" w:rsidDel="00000000" w:rsidP="00000000" w:rsidRDefault="00000000" w:rsidRPr="00000000" w14:paraId="000007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word “intervention” in Rule 6.03 of the CPR must be read in the context of an action affecting the interest of others.</w:t>
      </w:r>
    </w:p>
    <w:p w:rsidR="00000000" w:rsidDel="00000000" w:rsidP="00000000" w:rsidRDefault="00000000" w:rsidRPr="00000000" w14:paraId="0000075B">
      <w:pPr>
        <w:pStyle w:val="Heading2"/>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75C">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Morales Dissenting Opinion</w:t>
      </w:r>
    </w:p>
    <w:p w:rsidR="00000000" w:rsidDel="00000000" w:rsidP="00000000" w:rsidRDefault="00000000" w:rsidRPr="00000000" w14:paraId="000007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she joined Mr. Justice Callejo in his Dissent, Madame Justice Conchita Carpio Morales nonetheless wrote a Separate Opinion, in which she emphasized that the principle of conclusiveness of judgment was not applicable to the case. She cited Kilosbayan v. Morato, in which the Court held that “the rule on conclusiveness of judgment x x x does not apply to issues of law, at least when substantially unrelated claims are involved.”</w:t>
      </w:r>
    </w:p>
    <w:p w:rsidR="00000000" w:rsidDel="00000000" w:rsidP="00000000" w:rsidRDefault="00000000" w:rsidRPr="00000000" w14:paraId="000007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disqualification of Atty. Mendoza was “undoubtedly a legal question”; and “Civil Case No. 005 and Civil Case No. 0096 involve two different substantially unrelated claims,” she said. Moreover, the denial of PCGG’s Motion to disqualify him was not a final order, because it did not finally dispose of the case.</w:t>
      </w:r>
    </w:p>
    <w:p w:rsidR="00000000" w:rsidDel="00000000" w:rsidP="00000000" w:rsidRDefault="00000000" w:rsidRPr="00000000" w14:paraId="000007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Morales likewise disagreed with putting a five-year cap on Rule 6.03 of the CPR. For that matter, she argued that the rule on privileged communication did not allow a lawyer to represent an interest in conflict with that of a former client, even after five years from the termination of the attorney-client relationship. That the professional right was a property right within constitutional guarantees was not unqualified, she added. No right was absolute and, in any case, property rights could be regulated.</w:t>
      </w:r>
    </w:p>
    <w:p w:rsidR="00000000" w:rsidDel="00000000" w:rsidP="00000000" w:rsidRDefault="00000000" w:rsidRPr="00000000" w14:paraId="000007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regards the participation of Atty. Mendoza in the liquidation of GenBank, she opined that what was material was not his lack of participation in the decision of the CB to liquidate the bank, but his role in facilitating the liquidation through his legal expertise. In advising the CB, he did not just mechanically point to Section 20 of RA 265; he also synthesized the law and the facts that he was privy to because of his position.</w:t>
      </w:r>
    </w:p>
    <w:p w:rsidR="00000000" w:rsidDel="00000000" w:rsidP="00000000" w:rsidRDefault="00000000" w:rsidRPr="00000000" w14:paraId="000007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argument for a liberal interpretation of Rule 6.03 because of its “chilling effect on government recruitment of able legal talent” should be rejected, because it was likely to compromise ethical standards. While conceding that financial considerations were important, Justice Morales submitted that they were not the sole factor affecting the recruitment of lawyers to the government sector, particularly because serving in the government was its own reward.</w:t>
      </w:r>
    </w:p>
    <w:p w:rsidR="00000000" w:rsidDel="00000000" w:rsidP="00000000" w:rsidRDefault="00000000" w:rsidRPr="00000000" w14:paraId="00000762">
      <w:pPr>
        <w:pStyle w:val="Heading2"/>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763">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Callejo Dissenting Opinion</w:t>
      </w:r>
    </w:p>
    <w:p w:rsidR="00000000" w:rsidDel="00000000" w:rsidP="00000000" w:rsidRDefault="00000000" w:rsidRPr="00000000" w14:paraId="000007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Dissenting Opinion, Justice Callejo urged a strict application of Rule 6.03 of the CPR “to provide an ethical compass to lawyers who, in the pursuit of the profession, often find themselves in the unchartered sea of conflicting ideas and interests.” To follow the “straight and narrow” path demanded by the ethics of the legal profession was to avoid the appearance of impropriety.</w:t>
      </w:r>
    </w:p>
    <w:p w:rsidR="00000000" w:rsidDel="00000000" w:rsidP="00000000" w:rsidRDefault="00000000" w:rsidRPr="00000000" w14:paraId="000007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him, the restriction embodied in Rule 6.03 of the CPR applied to the case of Atty. Mendoza, because 1) it pertained to a lawyer who had once served in the government; and 2) related to his accepting “engagement or employment in connection with any matter in which he had intervened while in said service.”</w:t>
      </w:r>
    </w:p>
    <w:p w:rsidR="00000000" w:rsidDel="00000000" w:rsidP="00000000" w:rsidRDefault="00000000" w:rsidRPr="00000000" w14:paraId="000007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pointed out that Atty. Mendoza’s acts of giving counsel to the Central Bank on how to go about GenBank’s liquidation and of filing a Petition in Special Proceedings No. 107812 did not merely involve drafting, enforcing or interpreting government or agency procedures, regulations or laws; or briefing abstract principles of law. These acts were discrete, isolatable, as well as identifiable transactions or conduct involving a particular situation and a specific party. Consequently, they could be properly considered as “matter” within the contemplation of Rule 6.03. Moreover, the sequestration of the shares of stock in Allied Bank, which was the subject of Civil Case No. 0096, necessarily involved or was related to Tan et al.’s acquisition of GenBank upon its liquidation, in which Atty. Mendoza had intervened as the solicitor general.</w:t>
      </w:r>
    </w:p>
    <w:p w:rsidR="00000000" w:rsidDel="00000000" w:rsidP="00000000" w:rsidRDefault="00000000" w:rsidRPr="00000000" w14:paraId="000007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constituting “intervention” were the same acts of advising the Central Bank on how to proceed with GenBank’s liquidation and of filing a Petition in the special proceeding. Atty. Mendoza played a significant and substantial role in those proceedings, as shown by the Central Bank Memorandum dated March 29, 1977.</w:t>
      </w:r>
    </w:p>
    <w:p w:rsidR="00000000" w:rsidDel="00000000" w:rsidP="00000000" w:rsidRDefault="00000000" w:rsidRPr="00000000" w14:paraId="000007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likewise argued that Rule 6.03 would apply, even if Atty. Mendoza did not “switch sides” or take an inconsistent position, because no congruent-interest or adverseinterests conflict was required for the interdiction to apply. Rule 16.03, which was a restatement of Canon 36 of the ABA’s Canons of Professional Ethics -- now superseded by the ABA’s Code of Professional Responsibility -- rested on the policy consideration that an attorney must seek to avoid even the appearance of evil. As General Motors Corporation v. City of New York held, the appearance of impropriety must be avoided through disqualification when the overlap of issues is so plain, and the lawyer’s involvement while in government employ so direct, as in this case.</w:t>
      </w:r>
    </w:p>
    <w:p w:rsidR="00000000" w:rsidDel="00000000" w:rsidP="00000000" w:rsidRDefault="00000000" w:rsidRPr="00000000" w14:paraId="000007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contended that the absence of an explicit temporal limitation in Rule 6.03 was deliberate. While the passage of time was a factor to consider in determining the applicability of the Rule, each case must be considered in the light of the peculiar circumstances. In this case, he said that the time that had passed since the liquidation of GenBank in 1977 was not sufficient to consider it to be far removed from the present engagement of Atty. Mendoza as counsel for Respondents Tan et al. in the sequestration case. The validity of the liquidation was still in question; and with it, the validity of the sequestration of the shares in Allied Bank hung in the balance.</w:t>
      </w:r>
    </w:p>
    <w:p w:rsidR="00000000" w:rsidDel="00000000" w:rsidP="00000000" w:rsidRDefault="00000000" w:rsidRPr="00000000" w14:paraId="000007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procedural issues, Justice Callejo opined thus:</w:t>
      </w:r>
    </w:p>
    <w:p w:rsidR="00000000" w:rsidDel="00000000" w:rsidP="00000000" w:rsidRDefault="00000000" w:rsidRPr="00000000" w14:paraId="000007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PCGG’s Petition for Certiorari under Rule 65 of the Rules of Court was proper,</w:t>
      </w:r>
    </w:p>
    <w:p w:rsidR="00000000" w:rsidDel="00000000" w:rsidP="00000000" w:rsidRDefault="00000000" w:rsidRPr="00000000" w14:paraId="000007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the special civil action of certiorari could be availed of if there was no appeal; or no plain, speedy and adequate remedy in the ordinary course of law. Here, the remedy of appeal was not available to the PCGG, because the denial of its Motion to disqualify Atty. Mendoza as counsel for Respondents Tan et al. was an interlocutory order and, hence, not appealable.</w:t>
      </w:r>
    </w:p>
    <w:p w:rsidR="00000000" w:rsidDel="00000000" w:rsidP="00000000" w:rsidRDefault="00000000" w:rsidRPr="00000000" w14:paraId="000007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doctrine of res judicata, whether as a bar by prior judgment or in the concept of conclusiveness of judgment, did not apply. The Resolution dated April 22, 1991 -- issued by the SBN (Second Division) in Civil Case No. 0005, denying the PCGG’s similar Motion to disqualify Atty. Mendoza as counsel for Respondents Tan et al. -- was an interlocutory Order, as it did not terminate or finally dispose of the case. Hence, the Resolution could not operate to bar the filing of another motion to disqualify Atty. Mendoza in the other cases.</w:t>
      </w:r>
    </w:p>
    <w:p w:rsidR="00000000" w:rsidDel="00000000" w:rsidP="00000000" w:rsidRDefault="00000000" w:rsidRPr="00000000" w14:paraId="0000076E">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6F">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Tinga Separate Opinion</w:t>
      </w:r>
    </w:p>
    <w:p w:rsidR="00000000" w:rsidDel="00000000" w:rsidP="00000000" w:rsidRDefault="00000000" w:rsidRPr="00000000" w14:paraId="000007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Dante O. Tinga voted also to deny the Petition. He maintained that Rule 6.03 of the CPR, which had not yet been promulgated at the time Atty. Mendoza entered government service, could not yet be made to apply to the latter. To apply it would therefore be a violation of the attorney’s right to due process.</w:t>
      </w:r>
    </w:p>
    <w:p w:rsidR="00000000" w:rsidDel="00000000" w:rsidP="00000000" w:rsidRDefault="00000000" w:rsidRPr="00000000" w14:paraId="000007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also a dangerous precedent to apply the CPR retroactively, because it was a source of penal liabilities, said Justice Tinga. To impute culpability to Atty. Mendoza, it would be necessary to ascertain whether his representation of Tan et al. violated any binding law or regulation at the time of his engagement as counsel. At most, his actions would have violated Canon 36 of the Canons of Professional Ethics, which had been adopted by the Philippine Bar Association (PBA). But then, those Canons were per se binding only on the members of the PBA -- a private, civic, nonprofit association of limited membership within the Philippine bar. The Rules had not been formally adopted by the Supreme Court then; hence, they could not have been a source of obligations or the basis of penalties. The absence of a definitive rule that would have guided Atty. Mendoza when he undertook the questioned acts sufficiently justified the SBN’s denial of the Motion, Justice Tinga concluded.</w:t>
      </w:r>
    </w:p>
    <w:p w:rsidR="00000000" w:rsidDel="00000000" w:rsidP="00000000" w:rsidRDefault="00000000" w:rsidRPr="00000000" w14:paraId="0000077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7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7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75">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76">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21</w:t>
      </w:r>
    </w:p>
    <w:p w:rsidR="00000000" w:rsidDel="00000000" w:rsidP="00000000" w:rsidRDefault="00000000" w:rsidRPr="00000000" w14:paraId="00000777">
      <w:pPr>
        <w:pStyle w:val="Heading1"/>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778">
      <w:pPr>
        <w:pStyle w:val="Heading1"/>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Information Technology Foundation of the Philippines v. Comelec: </w:t>
      </w:r>
    </w:p>
    <w:p w:rsidR="00000000" w:rsidDel="00000000" w:rsidP="00000000" w:rsidRDefault="00000000" w:rsidRPr="00000000" w14:paraId="00000779">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Use of ACMs in the ARMM Elections: A Reprise</w:t>
      </w:r>
    </w:p>
    <w:p w:rsidR="00000000" w:rsidDel="00000000" w:rsidP="00000000" w:rsidRDefault="00000000" w:rsidRPr="00000000" w14:paraId="0000077A">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13, 2004, the Supreme Court nullified the Contract entered into by the Commission on Elections (Comelec) with the Mega Pacific eSolutions, Inc., for the supply of automated counting machines (ACMs). The Contract was voided due to “clear violation of law and jurisprudence” and “reckless disregard of [the Comelec’s] own bidding rules and procedure.” Consequently, the illegally procured ACMs, which were improvidently paid for by Comelec, were not used during the 2004 national elections.</w:t>
      </w:r>
    </w:p>
    <w:p w:rsidR="00000000" w:rsidDel="00000000" w:rsidP="00000000" w:rsidRDefault="00000000" w:rsidRPr="00000000" w14:paraId="000007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Decision became final[2] and was recorded in the Book of Entries of Judgment on March 30, 2004.</w:t>
      </w:r>
    </w:p>
    <w:p w:rsidR="00000000" w:rsidDel="00000000" w:rsidP="00000000" w:rsidRDefault="00000000" w:rsidRPr="00000000" w14:paraId="0000077D">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Permission to Use the Discarded ACMs</w:t>
      </w:r>
    </w:p>
    <w:p w:rsidR="00000000" w:rsidDel="00000000" w:rsidP="00000000" w:rsidRDefault="00000000" w:rsidRPr="00000000" w14:paraId="000007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such finality, the Comelec filed in December of the same year (2005) a “Most Respectful Motion for Leave to Use the Automated Counting Machines in [the] Custody of the Commission on Elections for use [sic] in the August 8, 2005 Elections in the Autonomous Region for Muslim Mindanao (ARMM).” The Motion claimed, inter alia, that Republic Act (RA) No. 9333 had mandated the automation of the ARMM elections slated to be held on August 8, 2005; the government had no available funds to finance the automation; considering its then fiscal difficulties, obtaining a special appropriation for the purpose was unlikely; on the other hand, there were in the Comelec’s custody 1,991 ACMs, which had previously been delivered by private respondents; these machines would deteriorate and become obsolete if they remained idle and unused; and they were then being stored in a warehouse at “expenses of P329,355.26 a month, or P3,979,460.24 annually.”</w:t>
      </w:r>
    </w:p>
    <w:p w:rsidR="00000000" w:rsidDel="00000000" w:rsidP="00000000" w:rsidRDefault="00000000" w:rsidRPr="00000000" w14:paraId="000007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Motion further alleged that “information technology experts,” who had purportedly supervised all stages of the software development for the creation of the final version to be used in the ACMs, had unanimously confirmed that the undertaking was in line with the internationally accepted standards (ISO/IEC 12207) for software life cycle processes, “with its quality assurance that it would be fit for use in the elections x x x.”</w:t>
      </w:r>
    </w:p>
    <w:p w:rsidR="00000000" w:rsidDel="00000000" w:rsidP="00000000" w:rsidRDefault="00000000" w:rsidRPr="00000000" w14:paraId="000007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Motion further asserted that it was (a) without prejudice to the ongoing Civil Case No. 04-346 pending before the Regional Trial Court of Makati City, Branch 59, for the collection of a purported P200 million balance due from the Comelec under the voided Contract; and (b) with a continuing respectful recognition of the finality and legal effects of the Court’s Decision.</w:t>
      </w:r>
    </w:p>
    <w:p w:rsidR="00000000" w:rsidDel="00000000" w:rsidP="00000000" w:rsidRDefault="00000000" w:rsidRPr="00000000" w14:paraId="00000781">
      <w:pPr>
        <w:pStyle w:val="Heading2"/>
        <w:rPr>
          <w:rFonts w:ascii="Georgia" w:cs="Georgia" w:eastAsia="Georgia" w:hAnsi="Georgia"/>
          <w:i w:val="1"/>
          <w:iCs w:val="1"/>
          <w:color w:val="000000"/>
          <w:sz w:val="22"/>
          <w:szCs w:val="22"/>
        </w:rPr>
      </w:pPr>
      <w:r w:rsidDel="00000000" w:rsidR="00000000" w:rsidRPr="00000000">
        <w:rPr>
          <w:rtl w:val="0"/>
        </w:rPr>
      </w:r>
    </w:p>
    <w:p w:rsidR="00000000" w:rsidDel="00000000" w:rsidP="00000000" w:rsidRDefault="00000000" w:rsidRPr="00000000" w14:paraId="0000078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Use of ACMs Barred by the Decision</w:t>
      </w:r>
    </w:p>
    <w:p w:rsidR="00000000" w:rsidDel="00000000" w:rsidP="00000000" w:rsidRDefault="00000000" w:rsidRPr="00000000" w14:paraId="000007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unanimous Resolution promulgated on June 16, 2005, which I had the honor of writing, held that the finality of the January 13, 2004 Decision had barred the grant of the Motion. First, basic and primordial was the rule that a final judgment that had become executory could no longer undergo any modification, much less any reversal. The inexorable result of granting the Motion would have been precisely a subversion of the Decision, or at least a modification that would render the latter totally ineffective and nugatory.</w:t>
      </w:r>
    </w:p>
    <w:p w:rsidR="00000000" w:rsidDel="00000000" w:rsidP="00000000" w:rsidRDefault="00000000" w:rsidRPr="00000000" w14:paraId="000007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Apparently, the Motion was asking permission to do what the Comelec had precisely been prohibited from doing under the Court’s final and executory Decision. To support its Motion, the Comelec appended as Annex 1 a letter dated January 22, 2004, signed by four self-proclaimed “information technology experts.” A quick check of the case records, however, revealed that the very same letter had previously been appended as Annex 2 to private respondents’ January 26, 2004 “Omnibus Motion for reconsideration of the Decision x x x.” The only difference was that the Comelec had overlooked or failed to photocopy the last page (page 17) of the letter, bearing the signatures of the four other purported “information technology experts.” In other words, to support its present Motion, it merely recycled an earlier exhibit that had already been used in seeking reconsideration of the Court’s Decision.</w:t>
      </w:r>
    </w:p>
    <w:p w:rsidR="00000000" w:rsidDel="00000000" w:rsidP="00000000" w:rsidRDefault="00000000" w:rsidRPr="00000000" w14:paraId="000007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June 16, 2005 SC Resolution reiterated the hornbook doctrine that courts were presumed to have passed upon all points that had been raised by the parties in their various pleadings and formed part of the records of the case. Hence, it said, courts would refuse to reopen what had been decided; they would not allow the same parties or their privies to litigate anew a question that had been considered and decided with finality.</w:t>
      </w:r>
    </w:p>
    <w:p w:rsidR="00000000" w:rsidDel="00000000" w:rsidP="00000000" w:rsidRDefault="00000000" w:rsidRPr="00000000" w14:paraId="000007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 letter of January 22, 2004, laden as it was with technical jargon and impressive concepts, did not serve to alter by even the minutest degree our finding of grave abuse of discretion by the Comelec. Its violations of law and jurisprudence were clear; and its reckless disregard of its own bidding rules and procedures, unjustifiable. The letter contained nothing that would persuade us that the situation obtaining in January 2004 had so changed in the interim as to justify the use of the ACMs in August 2005.</w:t>
      </w:r>
    </w:p>
    <w:p w:rsidR="00000000" w:rsidDel="00000000" w:rsidP="00000000" w:rsidRDefault="00000000" w:rsidRPr="00000000" w14:paraId="000007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Commission seemed to have thought that it could resurrect the dead case by waving at the Court a letter replete with technical jargon, much like a witch doctor muttering unintelligible incantations to revive a corpse.</w:t>
      </w:r>
    </w:p>
    <w:p w:rsidR="00000000" w:rsidDel="00000000" w:rsidP="00000000" w:rsidRDefault="00000000" w:rsidRPr="00000000" w14:paraId="0000078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8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Recovery of Government Funds </w:t>
      </w:r>
    </w:p>
    <w:p w:rsidR="00000000" w:rsidDel="00000000" w:rsidP="00000000" w:rsidRDefault="00000000" w:rsidRPr="00000000" w14:paraId="0000078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Jeopardized by a Grant of the Motion</w:t>
      </w:r>
    </w:p>
    <w:p w:rsidR="00000000" w:rsidDel="00000000" w:rsidP="00000000" w:rsidRDefault="00000000" w:rsidRPr="00000000" w14:paraId="000007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granting the Motion would have barred or jeopardized the recovery of government funds (estimated by the PCGG to be over one billion pesos) that had improvidently been paid to the private respondents. At the very least, granting the Motion was antagonistic to the directive in our Decision for the OSG to recover the “illegal disbursements of public funds made by reason of the void Resolution and Contract.”</w:t>
      </w:r>
    </w:p>
    <w:p w:rsidR="00000000" w:rsidDel="00000000" w:rsidP="00000000" w:rsidRDefault="00000000" w:rsidRPr="00000000" w14:paraId="000007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all those who stood to benefit (or have already benefited) financially from the deal would have no longer been liable for the refund. They could then argue that there was nothing wrong with the voided Contract, the public bidding, the machines or the software, because the government had decided to keep and utilize them. This argument could have even been stretched to abate the criminal prosecutions pending before the Ombudsman (OMB) and the impeachment proceedings it was considering.</w:t>
      </w:r>
    </w:p>
    <w:p w:rsidR="00000000" w:rsidDel="00000000" w:rsidP="00000000" w:rsidRDefault="00000000" w:rsidRPr="00000000" w14:paraId="000007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8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Same Electoral Ills</w:t>
      </w:r>
    </w:p>
    <w:p w:rsidR="00000000" w:rsidDel="00000000" w:rsidP="00000000" w:rsidRDefault="00000000" w:rsidRPr="00000000" w14:paraId="000007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use of the unreliable ACMs and the nonexistent software that was supposed to run them would have exposed the ARMM elections to the same electoral ills pointed out in our final and executory Decision. The Court recalled that it had expressly ruled that the proffered hardware and software had undeniably failed to pass eight critical requirements designed to safeguard the integrity of elections. Yet, the Motion did not at all demonstrate that those technical requirements had already been satisfactorily met since the issuance of our Decision.</w:t>
      </w:r>
    </w:p>
    <w:p w:rsidR="00000000" w:rsidDel="00000000" w:rsidP="00000000" w:rsidRDefault="00000000" w:rsidRPr="00000000" w14:paraId="000007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Comelec vaguely claimed that its four so-called “experts” had “unanimously confirmed that the software development which [it] undertook [was] in line with the internationally accepted standards (ISO/IEC 12207) [for] software life cycle processes.” The Motion, however, did not show that the alleged “software development” was indeed extant and capable of addressing the “programming defects and deficiencies” pointed out by the Court.</w:t>
      </w:r>
    </w:p>
    <w:p w:rsidR="00000000" w:rsidDel="00000000" w:rsidP="00000000" w:rsidRDefault="00000000" w:rsidRPr="00000000" w14:paraId="00000791">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92">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Vague Motion</w:t>
      </w:r>
    </w:p>
    <w:p w:rsidR="00000000" w:rsidDel="00000000" w:rsidP="00000000" w:rsidRDefault="00000000" w:rsidRPr="00000000" w14:paraId="000007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Motion was vague. It did not contain enough details to enable the Court to act appropriately. While the Comelec asserted a pressing need for the ACMs to be used in the ARMM elections, it did not bother to determine the number of units required for the purpose, much less try to justify such quantification. It contracted for a total of 1,991 ACMs, intended for use throughout the entire country during the 2004 elections, but did not bother to say how many would be used to count and canvass the votes cast in the ARMM elections.</w:t>
      </w:r>
    </w:p>
    <w:p w:rsidR="00000000" w:rsidDel="00000000" w:rsidP="00000000" w:rsidRDefault="00000000" w:rsidRPr="00000000" w14:paraId="000007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once the ACMs were deployed and utilized, they would no longer be in the same condition as when they were first delivered to the Comelec. The poll body did not mention any step it had taken to minimize mishandling and damage, so as to ensure the eventual return of the ACMs and the full recovery of the payments made for them. The failure or inability of the Comelec to return the machines sans damage would most assuredly be cited as a ground to refuse a refund of the moneys paid.</w:t>
      </w:r>
    </w:p>
    <w:p w:rsidR="00000000" w:rsidDel="00000000" w:rsidP="00000000" w:rsidRDefault="00000000" w:rsidRPr="00000000" w14:paraId="00000795">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96">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ARMM Elections Possible Without the Use of ACMs</w:t>
      </w:r>
    </w:p>
    <w:p w:rsidR="00000000" w:rsidDel="00000000" w:rsidP="00000000" w:rsidRDefault="00000000" w:rsidRPr="00000000" w14:paraId="000007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there was no basis for the claim that unless the subject ACMs were used, the ARMM elections would not be held.</w:t>
      </w:r>
    </w:p>
    <w:p w:rsidR="00000000" w:rsidDel="00000000" w:rsidP="00000000" w:rsidRDefault="00000000" w:rsidRPr="00000000" w14:paraId="000007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Had the poll body been honestly and genuinely intent on implementing automated counting and canvassing for the ARMM elections, it ought to have informed Congress of the nonavailability of the machines as a result of our Decision, as well as of the need for special appropriations, instead of wasting the Court’s time on its unmeritorious Motion. Undoubtedly, it had sufficient time -- about ten months at the very least (between the end of September 2004, when RA 9333 came into force and effect, and August 8, 2005) -- to lobby Congress, properly conduct a public bidding, award the appropriate contracts, deliver and test the new machines, and make final preparations for the elections.</w:t>
      </w:r>
    </w:p>
    <w:p w:rsidR="00000000" w:rsidDel="00000000" w:rsidP="00000000" w:rsidRDefault="00000000" w:rsidRPr="00000000" w14:paraId="000007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assuming that a new public bidding for ACMs was not a viable option, the Comelec had more than sufficient lead time to prepare for manual counting and canvassing in the ARMM elections. It had publicly declared, sometime in late January 2004, that notwithstanding our Decision nullifying the Mega Pacific Contract, it would still be able to implement manualization of the May 10, 2004 national elections. It made this declaration even if it had merely three months or so to set up the mechanics. In the case of the ARMM, which involved elections on a much smaller scale, it would definitely be -- as indeed it was – able to implement manual processes.</w:t>
      </w:r>
    </w:p>
    <w:p w:rsidR="00000000" w:rsidDel="00000000" w:rsidP="00000000" w:rsidRDefault="00000000" w:rsidRPr="00000000" w14:paraId="000007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therefore absolutely no basis for the apprehension that the ARMM elections would not push through, simply because the Motion could not pass muster. More to the point, the Court found it ridiculous to regard the grant of permission to use the subject ACMs as the conditio sine qua non for the holding of the ARMM elections.</w:t>
      </w:r>
    </w:p>
    <w:p w:rsidR="00000000" w:rsidDel="00000000" w:rsidP="00000000" w:rsidRDefault="00000000" w:rsidRPr="00000000" w14:paraId="000007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Most odious was the resort to a Motion seeking the use of the subject ACMs despite the availability of viable alternative courses of action[9] that did not tend to disturb or render the Court’s final Decision ineffectual. Thus, the Motion was wholly unnecessary and unwarranted. Upon it, though, did the Comelec pin all its hopes, instead of focusing on what it could and ought to do under the circumstances.</w:t>
      </w:r>
    </w:p>
    <w:p w:rsidR="00000000" w:rsidDel="00000000" w:rsidP="00000000" w:rsidRDefault="00000000" w:rsidRPr="00000000" w14:paraId="000007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reprehensible was the attempt of the Commission to pass the onus of its mismanagement problems on to the Court. For instance, the Motion quoted the cost of storage of the ACMs at P329,355.26 per month or P3,979,460.24 per annum. Assuming that the machines had to be held in storage pending the decision in the civil case (as it would simply not be sensible to throw the machines out into the streets), why must the Comelec bear the cost of storage? Our Decision had ordered the return of the machines to Mega Pacific. If Mega Pacific refused to accept them back, it did not follow that the Comelec should pick up the tab. Instead of further wasting the taxpayers’ money, it could have simply sent the bill to Mega Pacific for collection.</w:t>
      </w:r>
    </w:p>
    <w:p w:rsidR="00000000" w:rsidDel="00000000" w:rsidP="00000000" w:rsidRDefault="00000000" w:rsidRPr="00000000" w14:paraId="0000079D">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9E">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No Justiciable Controversy</w:t>
      </w:r>
    </w:p>
    <w:p w:rsidR="00000000" w:rsidDel="00000000" w:rsidP="00000000" w:rsidRDefault="00000000" w:rsidRPr="00000000" w14:paraId="000007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Motion presented no actual justiciable case or controversy over which the Court could exercise its judicial authority. It is well-established in this jurisdiction that “x x x for a court to exercise its power of adjudication, there must be an actual case or controversy – one which involves a conflict of legal rights, an assertion of opposite legal claims susceptible of judicial resolution; x x x. [C]ourts do not sit to adjudicate mere academic questions to satisfy scholarly interest, however intellectually challenging.”</w:t>
      </w:r>
    </w:p>
    <w:p w:rsidR="00000000" w:rsidDel="00000000" w:rsidP="00000000" w:rsidRDefault="00000000" w:rsidRPr="00000000" w14:paraId="000007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perusal of the Motion readily revealed the utter absence of a live case before the Court, involving a clash of legal rights or opposing legal claims. At best, it was merely a request for an advisory opinion, which the Court had no jurisdiction to grant.</w:t>
      </w:r>
    </w:p>
    <w:p w:rsidR="00000000" w:rsidDel="00000000" w:rsidP="00000000" w:rsidRDefault="00000000" w:rsidRPr="00000000" w14:paraId="000007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conclusion, the Court stressed that “Comelec must follow and not skirt our Decision. Neither may it short-circuit our laws and jurisprudence. It should return the ACMs to MPC- MPEI and recover the improvidently disbursed funds. Instead of blaming this Court for its illegal actions and grave abuse of discretion, the Commission should, for a change, devise a legally and technically sound plan to computerize our elections and show our people that it is capable of managing the transition from an archaic to a modern electoral system.”</w:t>
      </w:r>
    </w:p>
    <w:p w:rsidR="00000000" w:rsidDel="00000000" w:rsidP="00000000" w:rsidRDefault="00000000" w:rsidRPr="00000000" w14:paraId="000007A2">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A3">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A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pStyle w:val="Heading3"/>
        <w:ind w:left="0" w:firstLine="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Chapter 22</w:t>
      </w:r>
    </w:p>
    <w:p w:rsidR="00000000" w:rsidDel="00000000" w:rsidP="00000000" w:rsidRDefault="00000000" w:rsidRPr="00000000" w14:paraId="000007A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HRET at Work</w:t>
      </w:r>
    </w:p>
    <w:p w:rsidR="00000000" w:rsidDel="00000000" w:rsidP="00000000" w:rsidRDefault="00000000" w:rsidRPr="00000000" w14:paraId="000007A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Leveling the Playing Field, I wrote that I enjoyed my role as chairperson of the House of Representatives Electoral Tribunal (HRET). I saluted, in particular, “my brethren-lawmakers who have demonstrated admirable legal wisdom, judicial detachment and speedy (but not hasty) inclination in resolving all matters before the Tribunal.” I have thus written the present chapter, pursuant to my commitment to report more extensively on the HRET.</w:t>
      </w:r>
    </w:p>
    <w:p w:rsidR="00000000" w:rsidDel="00000000" w:rsidP="00000000" w:rsidRDefault="00000000" w:rsidRPr="00000000" w14:paraId="000007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Earlier this year, on July 15, 2005, I commemorated my first anniversary as HRET chairperson, a position I concurrently hold. Under Section 17 of Article VI of the Constitution, the HRET is the sole judge of all contests relating to “the election, returns and qualifications” of members of the House of Representatives. It is composed of 9 members, 3 of whom are justices of the Supreme Court designated by the Chief Justice, with the senior justice serving as chairperson; and six are members of the House of Representatives, elected by the House “on the basis of proportional representation from the political parties and the parties or organizations registered under the party-list system represented therein.”</w:t>
      </w:r>
    </w:p>
    <w:p w:rsidR="00000000" w:rsidDel="00000000" w:rsidP="00000000" w:rsidRDefault="00000000" w:rsidRPr="00000000" w14:paraId="000007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of press time (October 10, 2005), the other members of the Tribunal are as follows: Justices Consuelo Ynares-Santiago and Antonio T. Carpio; and Representatives Douglas R.A. Cagas, Salacnib F. Baterina, Laurence B. Wacnang, Mauricio G. Domogan, Romualdo T. Vicencio, and Joseph A. Santiago.</w:t>
      </w:r>
    </w:p>
    <w:p w:rsidR="00000000" w:rsidDel="00000000" w:rsidP="00000000" w:rsidRDefault="00000000" w:rsidRPr="00000000" w14:paraId="000007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AD">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A Short Discussion of the Proceedings at the HRET</w:t>
      </w:r>
    </w:p>
    <w:p w:rsidR="00000000" w:rsidDel="00000000" w:rsidP="00000000" w:rsidRDefault="00000000" w:rsidRPr="00000000" w14:paraId="000007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earlier stated, the Constitution gives the HRET sole jurisdiction over contests involving the election, qualification and returns of representatives. An “election protest” is filed to challenge the election of incumbents; a “quo warranto petition,” to assail their qualifications.</w:t>
      </w:r>
    </w:p>
    <w:p w:rsidR="00000000" w:rsidDel="00000000" w:rsidP="00000000" w:rsidRDefault="00000000" w:rsidRPr="00000000" w14:paraId="000007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HRET Rules do not have express provisions on how a challenge to a representative’s “returns” may be done. This type of contest had not been tested prior to my term. During my watch as chairperson, however, the HRET has had the occasion to exercise its jurisdiction over a Petition for the re-canvassing of election returns, in Angping v. Roces. The facts and the legal novelty of this case will be discussed later.</w:t>
      </w:r>
    </w:p>
    <w:p w:rsidR="00000000" w:rsidDel="00000000" w:rsidP="00000000" w:rsidRDefault="00000000" w:rsidRPr="00000000" w14:paraId="000007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already stated, an election contest against an incumbent member of the House of Representatives (HOR) is usually initiated by the filing of an election protest or a quo warranto petition within ten days from the proclamation of the winning candidate. An election protest is filed by a defeated candidate against the proclaimed winner on the grounds of fraud and/or irregularities in the casting and counting of the ballots or in the preparation of the election returns. It raises the question of who actually obtained the highest number of votes during the election and is thus entitled to hold office.</w:t>
      </w:r>
    </w:p>
    <w:p w:rsidR="00000000" w:rsidDel="00000000" w:rsidP="00000000" w:rsidRDefault="00000000" w:rsidRPr="00000000" w14:paraId="000007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a quo warranto petition is one filed by any voter of the congressional district concerned, in order to unseat the incumbent representative from office, on the ground of disloyalty to the Republic of the Philippines or ineligibility to hold the position.</w:t>
      </w:r>
    </w:p>
    <w:p w:rsidR="00000000" w:rsidDel="00000000" w:rsidP="00000000" w:rsidRDefault="00000000" w:rsidRPr="00000000" w14:paraId="000007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accordance with the provisions of its Rule 21, the HRET may summarily dismiss an election protest or a petition for quo warranto, without requiring an answer from the so-called “protestee” or respondent, as the case may be. The summary dismissal may be founded on any of the following grounds: (1) the petition is insufficient in form and substance; (2) the petition has been filed beyond the period provided in HRET Rules 16 and 17; (3) the filing fee has not been paid within the period provided for filing the protest or petition for quo warranto; (4) in case of a protest for which a cash deposit is required, the deposit -- or the first P150,000 of it -- has not been paid within ten days after the filing of the protest; and (5) the illegibility of the petition -- or copies of it -- and its Annexes filed with the Tribunal.</w:t>
      </w:r>
    </w:p>
    <w:p w:rsidR="00000000" w:rsidDel="00000000" w:rsidP="00000000" w:rsidRDefault="00000000" w:rsidRPr="00000000" w14:paraId="000007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case is not summarily dismissed, the secretary of the HRET issues the corresponding summons to the protestee or respondent, as the case may be, pursuant to its Rule 22. The summons will require the party concerned to file an answer within ten days from receipt of notice. In the case of an election protest, the protestee’s answer may include a counter-protest, which the other party must answer within ten days from receipt of a copy.</w:t>
      </w:r>
    </w:p>
    <w:p w:rsidR="00000000" w:rsidDel="00000000" w:rsidP="00000000" w:rsidRDefault="00000000" w:rsidRPr="00000000" w14:paraId="000007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issues in each case are joined in accordance with Rule 54, the HRET conducts a preliminary conference for purposes of (1) the simplification of issues; (2) the possibility of obtaining stipulations or admissions of facts and documents; (3) the limitation on the number of witnesses; (4) a consideration of the nature of the testimonies of the witnesses, and whether or not they relate to evidence aliunde -- the ballots; (5) the withdrawal of some contested or counter-protested precincts; (6) the fixing of the dates for the reception of evidence; and (7) such other matters as may aid in the prompt disposition of the protest, counter-protest or cross-contest.</w:t>
      </w:r>
    </w:p>
    <w:p w:rsidR="00000000" w:rsidDel="00000000" w:rsidP="00000000" w:rsidRDefault="00000000" w:rsidRPr="00000000" w14:paraId="000007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termination of the preliminary conference in each case, the HRET issues a preliminary conference resolution stating, among others, the stipulations made by the parties, the issues, and the evidence to be presented by each party.</w:t>
      </w:r>
    </w:p>
    <w:p w:rsidR="00000000" w:rsidDel="00000000" w:rsidP="00000000" w:rsidRDefault="00000000" w:rsidRPr="00000000" w14:paraId="000007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issues are joined in the case of a quo warranto proceeding, the Tribunal designates a hearing commissioner for the reception of evidence. After the presentation and formal offer of evidence by both parties -- each within a period of twenty days -- and the submission of the parties’ respective memoranda, the quo warranto case is deemed submitted for decision.</w:t>
      </w:r>
    </w:p>
    <w:p w:rsidR="00000000" w:rsidDel="00000000" w:rsidP="00000000" w:rsidRDefault="00000000" w:rsidRPr="00000000" w14:paraId="000007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of an election protest, the HRET orders the collection of the ballot boxes and election documents from the congressional district concerned. Afterwards, it conducts a “revision” of ballots in the pilot[6] precincts or in all contested precincts, as the case may be, in accordance with Rule 88 of the HRET Rules. During the proceedings, the parties register their objections to the ballots of the other and their claims of stray ballots, if any. Evidence is then received before the designated hearing commissioner. Each party presents and formally offers evidence within a period not exceeding ten days in case the revision of ballots involves only 25 percent of the contested or “pilot” precincts, or twenty days in case it covers all of them. The HRET subsequently conducts an “appreciation” of ballots in the contested precincts. On the basis of its appreciation of ballots and the evidence presented by the parties involved, the Tribunal decides the protest case.</w:t>
      </w:r>
    </w:p>
    <w:p w:rsidR="00000000" w:rsidDel="00000000" w:rsidP="00000000" w:rsidRDefault="00000000" w:rsidRPr="00000000" w14:paraId="000007B8">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7B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Electoral Cases in the Present Term</w:t>
      </w:r>
    </w:p>
    <w:p w:rsidR="00000000" w:rsidDel="00000000" w:rsidP="00000000" w:rsidRDefault="00000000" w:rsidRPr="00000000" w14:paraId="000007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became the chairperson of the HRET on July 15, 2005 -- about two months after the last national elections held on May 10, 2004. All the cases brought before the Tribunal were thus new and at their nascent stage. There were 15 election protests, 3 quo warranto Petitions and 1 Petition to re-canvass election returns.</w:t>
      </w:r>
    </w:p>
    <w:p w:rsidR="00000000" w:rsidDel="00000000" w:rsidP="00000000" w:rsidRDefault="00000000" w:rsidRPr="00000000" w14:paraId="000007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date, 8 electoral protests and all 3 quo warranto Petitions – more than 50 percent of the total number of cases filed -- have been disposed. The cases dismissed are as follows:</w:t>
      </w:r>
    </w:p>
    <w:p w:rsidR="00000000" w:rsidDel="00000000" w:rsidP="00000000" w:rsidRDefault="00000000" w:rsidRPr="00000000" w14:paraId="000007B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1. HRET Case No. 04-006, Roco v. Villafuerte, 2nd District, Camarines Sur</w:t>
      </w:r>
    </w:p>
    <w:p w:rsidR="00000000" w:rsidDel="00000000" w:rsidP="00000000" w:rsidRDefault="00000000" w:rsidRPr="00000000" w14:paraId="000007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Protestant Sulpicio Roco, in a Manifestation filed on November 30, 2004, moved to withdraw his election protest. The Motion was granted by the Tribunal in Resolution No. 04-310, promulgated on December 2, 2004. On December 29, 2004, Protestee Luis Villafuerte manifested that he was likewise withdrawing his Counter-protest, but that he was still pursuing his claim for damages against the protestant. In Resolution No. 05-090 dated March 10, 2005, the Tribunal granted the protestee’s withdrawal of his Counter-protest, but denie his Motion to present evidence and to pursue his claim for damages, in the light of the withdrawal of the protest and the Counter-protest. Since Resolution No. 04-310 had attained finality on April 1, 2005, entry of judgment was made on April 27, 2005. The Secretariat returned the ballot boxes and the election documents collected in this case from May 16, 2005, up to May 19, 2005.</w:t>
      </w:r>
    </w:p>
    <w:p w:rsidR="00000000" w:rsidDel="00000000" w:rsidP="00000000" w:rsidRDefault="00000000" w:rsidRPr="00000000" w14:paraId="000007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F">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HRET Case No. 04-007, San Juan v. Cerilles, 2nd District, Zamboanga del Sur</w:t>
      </w:r>
    </w:p>
    <w:p w:rsidR="00000000" w:rsidDel="00000000" w:rsidP="00000000" w:rsidRDefault="00000000" w:rsidRPr="00000000" w14:paraId="000007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Election Protest was dismissed by the Tribunal in Resolution No. 05-060 promulgated on February 17, 2005, for being insufficient in form and substance and for lack of jurisdiction. The Petition of protest failed to allege either the fact or the date of proclamation of the protestee as the winning candidate for the contested congressional seat. The Resolution attained finality on March 1, 2005; entry of judgment was made on March 8, 2005.</w:t>
      </w:r>
    </w:p>
    <w:p w:rsidR="00000000" w:rsidDel="00000000" w:rsidP="00000000" w:rsidRDefault="00000000" w:rsidRPr="00000000" w14:paraId="000007C1">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C2">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 HRET Case No. 04-008, Cerbo Jr. v. Mangudadatu, Lone District, Sultan Kudarat</w:t>
      </w:r>
    </w:p>
    <w:p w:rsidR="00000000" w:rsidDel="00000000" w:rsidP="00000000" w:rsidRDefault="00000000" w:rsidRPr="00000000" w14:paraId="000007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Resolution No. 04-202 promulgated on September 30, 2004, the Tribunal dismissed this Election Protest for failure of the protestant to comply with the HRET Resolution requiring him to file a reply to the protestee’s Answer. Resolution No. 04-202 attained finality on November 2, 2004; entry of judgment was made on December 8, 2004.</w:t>
      </w:r>
    </w:p>
    <w:p w:rsidR="00000000" w:rsidDel="00000000" w:rsidP="00000000" w:rsidRDefault="00000000" w:rsidRPr="00000000" w14:paraId="000007C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5">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4. HRET Case No. 04-012, Calizo v. Miraflores, Lone District, Aklan</w:t>
      </w:r>
    </w:p>
    <w:p w:rsidR="00000000" w:rsidDel="00000000" w:rsidP="00000000" w:rsidRDefault="00000000" w:rsidRPr="00000000" w14:paraId="000007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Election Protest and Counter-protest were both dismissed by the Tribunal in Resolution No. 04-216 promulgated on October 7, 2004, in view of (1) the Manifestation of the protestant that she was no longer interested in pursuing the protest and (2) her failure to pay the cash deposit required by the HRET pursuant to its Rules. Resolution No. 04-216 attained finality on November 1, 2004; entry of judgment was made on December 8, 2004.</w:t>
      </w:r>
    </w:p>
    <w:p w:rsidR="00000000" w:rsidDel="00000000" w:rsidP="00000000" w:rsidRDefault="00000000" w:rsidRPr="00000000" w14:paraId="000007C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8">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5. HRET Case No.04-013, Kho v. Seachon, 3rd District, Masbate</w:t>
      </w:r>
    </w:p>
    <w:p w:rsidR="00000000" w:rsidDel="00000000" w:rsidP="00000000" w:rsidRDefault="00000000" w:rsidRPr="00000000" w14:paraId="000007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Electoral Protest was dismissed in Resolution No. 04-154 promulgated on September 2, 2004, while the Counter-protest was dismissed in Resolution No. 04-164 promulgated on September 9, 2004. These Resolutions attained finality on September 27, 2004; entry of judgment was made on October 8, 2004.</w:t>
      </w:r>
    </w:p>
    <w:p w:rsidR="00000000" w:rsidDel="00000000" w:rsidP="00000000" w:rsidRDefault="00000000" w:rsidRPr="00000000" w14:paraId="000007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6. HRET Case No. 04-016, Hussin v. Amin, 1st District, Sulu</w:t>
      </w:r>
    </w:p>
    <w:p w:rsidR="00000000" w:rsidDel="00000000" w:rsidP="00000000" w:rsidRDefault="00000000" w:rsidRPr="00000000" w14:paraId="000007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Election Protest was dismissed in Resolution No. 04-167 promulgated on September 9, 2004, because the Petition was insufficient in form and substance, under Rule 21 of the 2004 HRET Rules. The protestant failed to comply with Resolution No. 04-100, which had directed him to show cause -- within a non-extendible period of five days from notice – why the Protest should not be dismissed for failure to state the precincts being protested. Resolution No. 04-167 attained finality on September 30, 2004; entry of judgment was made on October 8, 2004.</w:t>
      </w:r>
    </w:p>
    <w:p w:rsidR="00000000" w:rsidDel="00000000" w:rsidP="00000000" w:rsidRDefault="00000000" w:rsidRPr="00000000" w14:paraId="000007C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7. HRET Case No. 04-018, Liwag v. Cruz, ALAGAD Party List</w:t>
      </w:r>
    </w:p>
    <w:p w:rsidR="00000000" w:rsidDel="00000000" w:rsidP="00000000" w:rsidRDefault="00000000" w:rsidRPr="00000000" w14:paraId="000007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quo warranto case was dismissed in Resolution No. 04-333 promulgated on December 16, 2004, for failure of the parties to comply with Resolution No. 02-288 requiring them to submit written arguments on respondent's special and affirmative defenses. Resolution No. 04-333 attained finality on January 1, 2005; entry of judgment was made on January 25, 2005.</w:t>
      </w:r>
    </w:p>
    <w:p w:rsidR="00000000" w:rsidDel="00000000" w:rsidP="00000000" w:rsidRDefault="00000000" w:rsidRPr="00000000" w14:paraId="000007D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8. HRET Case No. 04-019, Andueza v. Bravo, 1st District, Masbate</w:t>
      </w:r>
    </w:p>
    <w:p w:rsidR="00000000" w:rsidDel="00000000" w:rsidP="00000000" w:rsidRDefault="00000000" w:rsidRPr="00000000" w14:paraId="000007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Election Protest was dismissed in Resolution No. 04-229 promulgated on October 14, 2004, because it had been filed beyond the period provided in the 2004 HRET Rule 16. The Resolution attained finality on November 2, 2004; entry of judgment was made on December 8, 2004.</w:t>
      </w:r>
    </w:p>
    <w:p w:rsidR="00000000" w:rsidDel="00000000" w:rsidP="00000000" w:rsidRDefault="00000000" w:rsidRPr="00000000" w14:paraId="000007D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9. HRET Case No. 04-00, San Miguel v. Dy, Lone District, Pasay City</w:t>
      </w:r>
    </w:p>
    <w:p w:rsidR="00000000" w:rsidDel="00000000" w:rsidP="00000000" w:rsidRDefault="00000000" w:rsidRPr="00000000" w14:paraId="000007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Tribunal resolved on August 18, 2005, the quo warranto Petition against Rep. Consuelo A. Dy of the Lone District of Pasay City. Petitioner Rolando E. San Miguel challenged Dy’s residence in the legislative district she had sought to represent. Allegedly, the address she indicated in her Certificate of Candidacy was actually a cockpit arena. Petitioner also submitted evidence to prove that she owned a house and lot in Greenhills, San Juan, where she and her family supposedly resided.</w:t>
      </w:r>
    </w:p>
    <w:p w:rsidR="00000000" w:rsidDel="00000000" w:rsidP="00000000" w:rsidRDefault="00000000" w:rsidRPr="00000000" w14:paraId="000007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to prove that she had been a resident of Pasay City since her childhood, respondent presented several witnesses and documents: among others, neighbors of her family since the 1960s; and -- from schools she had attended from elementary to college -- Certifications indicating Pasay City as her residence. She also showed that the second floor of the residence (which the petitioner had alleged to be a cockpit stadium) had rooms and amenities that served as a residential area, and that she also used it to receive visitors and conduct official business.</w:t>
      </w:r>
    </w:p>
    <w:p w:rsidR="00000000" w:rsidDel="00000000" w:rsidP="00000000" w:rsidRDefault="00000000" w:rsidRPr="00000000" w14:paraId="000007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light of the foregoing evidence, the Tribunal deduced that the respondent’s domicile of origin was Pasay City. In previous cases, the Supreme Court had ruled that residence as used in election law was synonymous with domicile, which imported an intention to reside in a fixed place. Pursuant to those rulings, it became incumbent upon the petitioner to prove that the respondent had abandoned her domicile of origin and acquired a new one of choice. The petitioner failed, however, to convince the Tribunal that she had.</w:t>
      </w:r>
    </w:p>
    <w:p w:rsidR="00000000" w:rsidDel="00000000" w:rsidP="00000000" w:rsidRDefault="00000000" w:rsidRPr="00000000" w14:paraId="000007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w:t>
      </w:r>
      <w:r w:rsidDel="00000000" w:rsidR="00000000" w:rsidRPr="00000000">
        <w:rPr>
          <w:rFonts w:ascii="Georgia" w:cs="Georgia" w:eastAsia="Georgia" w:hAnsi="Georgia"/>
          <w:i w:val="1"/>
          <w:iCs w:val="1"/>
          <w:sz w:val="22"/>
          <w:szCs w:val="22"/>
          <w:rtl w:val="0"/>
        </w:rPr>
        <w:t xml:space="preserve">Romualdez-Marcos v. Comelec</w:t>
      </w:r>
      <w:r w:rsidDel="00000000" w:rsidR="00000000" w:rsidRPr="00000000">
        <w:rPr>
          <w:rFonts w:ascii="Georgia" w:cs="Georgia" w:eastAsia="Georgia" w:hAnsi="Georgia"/>
          <w:sz w:val="22"/>
          <w:szCs w:val="22"/>
          <w:rtl w:val="0"/>
        </w:rPr>
        <w:t xml:space="preserve">, the HRET held that “an individual did not lose domicile even if he has lived and maintained residences in different places.” A change of residence requires an actual and deliberate abandonment of the previous one.</w:t>
      </w:r>
    </w:p>
    <w:p w:rsidR="00000000" w:rsidDel="00000000" w:rsidP="00000000" w:rsidRDefault="00000000" w:rsidRPr="00000000" w14:paraId="000007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Tribunal further noted that respondent had established her political career in Pasay City as a councilor in 1998, as representative in Congress in 2001, and again as second-term representative in 2004. Coupled with the other evidence she presented, her uninterrupted terms of public office in Pasay City constituted sufficient proof that she had never intended to abandon her domicile in that city. The HRET thus concluded that the presence of animus revertendi, as manifested in her acts, negated any claim that she had abandoned her domicile of origin.</w:t>
      </w:r>
    </w:p>
    <w:p w:rsidR="00000000" w:rsidDel="00000000" w:rsidP="00000000" w:rsidRDefault="00000000" w:rsidRPr="00000000" w14:paraId="000007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it upheld her stance that she was a resident of Pasay City and was eligible to run for and be elected as its congressional representative. Accordingly, it dismissed the Petition in its Decision promulgated on August 18, 2005.</w:t>
      </w:r>
    </w:p>
    <w:p w:rsidR="00000000" w:rsidDel="00000000" w:rsidP="00000000" w:rsidRDefault="00000000" w:rsidRPr="00000000" w14:paraId="000007D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C">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10. HRET Case No. 04-010, Samson v. Crisologo, 1st District, Quezon City</w:t>
      </w:r>
    </w:p>
    <w:p w:rsidR="00000000" w:rsidDel="00000000" w:rsidP="00000000" w:rsidRDefault="00000000" w:rsidRPr="00000000" w14:paraId="000007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was another quo warranto Petition, in which Moises Samson claimed that Rep. Vincent Crisologo was “ineligible or disqualified to hold elective public office.” The relevant facts are as follows:</w:t>
      </w:r>
    </w:p>
    <w:p w:rsidR="00000000" w:rsidDel="00000000" w:rsidP="00000000" w:rsidRDefault="00000000" w:rsidRPr="00000000" w14:paraId="000007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1972, Respondent Crisologo was convicted of arson and arson with homicide. He was given a conditional pardon on January 14, 1981. On January 24, 1986, he was granted by then President Ferdinand E. Marcos an “absolute and unconditional pardon,” restoring the respondent’s “full civil and political rights.” In 1998 and again in 2001, Crisologo ran for and won as councilor of the 1st District of Quezon City. When he filed his Certificate of</w:t>
      </w:r>
    </w:p>
    <w:p w:rsidR="00000000" w:rsidDel="00000000" w:rsidP="00000000" w:rsidRDefault="00000000" w:rsidRPr="00000000" w14:paraId="000007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Candidacy for congressman of the same district in the last 2004 elections, Petitioner Moises Samson sought the former’s disqualification. Allegedly, absolute pardon did not explicitly restore the respondent’s right “to hold public office or to run for elective office,” in accordance with Article 36 of the Revised Penal Code. </w:t>
      </w:r>
    </w:p>
    <w:p w:rsidR="00000000" w:rsidDel="00000000" w:rsidP="00000000" w:rsidRDefault="00000000" w:rsidRPr="00000000" w14:paraId="000007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15, 2004, Comelec dismissed Samson’s Petition for Disqualification. On the same day, it proclaimed Crisologo as the winner in the election for representative of the 1st District of Quezon City. Nevertheless, Samson filed on May 24, 2004, a Motion for Reconsideration before the Comelec. Three days later, he also filed a Petition for quo warranto before the HRET.</w:t>
      </w:r>
    </w:p>
    <w:p w:rsidR="00000000" w:rsidDel="00000000" w:rsidP="00000000" w:rsidRDefault="00000000" w:rsidRPr="00000000" w14:paraId="000007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main issues presented in the HRET Petition are the following: “(1) Whether the present quo warranto case is barred by the resolution of the COMELEC that ruled on the eligibility of respondent Crisologo, and (2) Whether respondent is eligible to hold the office of Representative of the First District of Quezon City.”</w:t>
      </w:r>
    </w:p>
    <w:p w:rsidR="00000000" w:rsidDel="00000000" w:rsidP="00000000" w:rsidRDefault="00000000" w:rsidRPr="00000000" w14:paraId="000007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first issue, the Tribunal ruled that “the usual application of the doctrine of res judicata cannot apply when the statutes and the Constitution set forth the forum where the issues should be entertained prior to the time of proclamation and the forum where the same issues should be adjudicated after proclamation. This is the case when what is being challenged involves an office of a member of Congress.”</w:t>
      </w:r>
    </w:p>
    <w:p w:rsidR="00000000" w:rsidDel="00000000" w:rsidP="00000000" w:rsidRDefault="00000000" w:rsidRPr="00000000" w14:paraId="000007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proclamation, the jurisdiction over any question relating to the eligibility and the qualifications of the congressional candidate lies with the Comelec. After proclamation, by constitutional fiat, the body that has jurisdiction over questions involving the winning representative’s assumption of office is the HRET.</w:t>
      </w:r>
    </w:p>
    <w:p w:rsidR="00000000" w:rsidDel="00000000" w:rsidP="00000000" w:rsidRDefault="00000000" w:rsidRPr="00000000" w14:paraId="000007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on May 15, 2004, the proclamation of the respondent as the winning candidate ousted the Comelec of its jurisdiction over the subject matter of the disqualification petition. After proclamation, any question relating to his election, returns and qualifications must be brought before the HRET. Petitioner Samson correctly, timely and properly did so when he filed the quo warranto Petition within the period allowed by law, according to the Tribunal.</w:t>
      </w:r>
    </w:p>
    <w:p w:rsidR="00000000" w:rsidDel="00000000" w:rsidP="00000000" w:rsidRDefault="00000000" w:rsidRPr="00000000" w14:paraId="000007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 second issue, the HRET adhered to the settled pronouncements of the Supreme Court. The Court ruled that the grant of absolute pardon, which restored to the pardoned convict “full civil and political rights,” effectively removed all legal disabilities and disqualifications resulting from conviction. The obliteration restored the following rights: to vote, to be voted for and to hold public office.</w:t>
      </w:r>
    </w:p>
    <w:p w:rsidR="00000000" w:rsidDel="00000000" w:rsidP="00000000" w:rsidRDefault="00000000" w:rsidRPr="00000000" w14:paraId="000007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Tribunal noted that in the cases decided by the Supreme Court, the terms of the pardon granted to the respondent were practically the same as those of the pardons that had been extended by former Presidents in favor of the subjects. Accordingly, it held that the plain terms of the absolute pardon granted to Crisologo left “no room for doubt that the disqualification to hold public office and the deprivation of the rights to vote and be voted for were both removed.” Those rights were subsumed under the term political rights.</w:t>
      </w:r>
    </w:p>
    <w:p w:rsidR="00000000" w:rsidDel="00000000" w:rsidP="00000000" w:rsidRDefault="00000000" w:rsidRPr="00000000" w14:paraId="000007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HRET unanimously dismissed the Petition for quo warranto and declared Vincent P. Crisologo eligible to be the representative of the 1st District of Quezon City in the House of Representatives.</w:t>
      </w:r>
    </w:p>
    <w:p w:rsidR="00000000" w:rsidDel="00000000" w:rsidP="00000000" w:rsidRDefault="00000000" w:rsidRPr="00000000" w14:paraId="000007E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11. HRET Case No. 04-005, Roman v. Garcia, 2nd District, Bataan</w:t>
      </w:r>
    </w:p>
    <w:p w:rsidR="00000000" w:rsidDel="00000000" w:rsidP="00000000" w:rsidRDefault="00000000" w:rsidRPr="00000000" w14:paraId="000007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15, 2004, the Provincial Board of Canvassers of Bataan proclaimed Albert S. Garcia the duly elected representative of the 2nd District of Bataan, with 76,321 votes, as against Leonardo B. Roman’s 75,518 votes -- a margin of 803 votes.</w:t>
      </w:r>
    </w:p>
    <w:p w:rsidR="00000000" w:rsidDel="00000000" w:rsidP="00000000" w:rsidRDefault="00000000" w:rsidRPr="00000000" w14:paraId="000007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24, 2004, Roman filed an election protest before the HRET, impugning the results of the election in 479 out of the 995 precincts in the District, because of alleged massive fraud and illegal electoral practices[18] committed during the registration of voters, on the voting day, and during the counting of votes by the Boards of Election Inspectors. He prayed for the annulment of the proclamation of Garcia as 2nd District representative of Bataan, as well as for actual damages or attorney’s fees in the amount of P500,000.</w:t>
      </w:r>
    </w:p>
    <w:p w:rsidR="00000000" w:rsidDel="00000000" w:rsidP="00000000" w:rsidRDefault="00000000" w:rsidRPr="00000000" w14:paraId="000007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protestee, for his part, counter-protested 881 precincts on the following grounds, among several others: the non-recording or non-tallying in the election returns of valid votes for him; the erroneous counting and tallying in the election returns of his votes as votes for the protestant; the erroneous consideration of the votes legally cast in his favor as stray votes; the illegal reading and counting, in favor of the protestant, of groups of ballots prepared and written by one and the same person; and the illegal reading and counting, again in favor of the protestant, of individual ballots prepared by two persons.</w:t>
      </w:r>
    </w:p>
    <w:p w:rsidR="00000000" w:rsidDel="00000000" w:rsidP="00000000" w:rsidRDefault="00000000" w:rsidRPr="00000000" w14:paraId="000007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designation of the protestant’s 25 percent pilot precincts was dispensed with in Resolution No. 04-188 dated September 23, 2004; instead, the Tribunal directed the holding of the revision and appreciation of ballots in all 881 precincts. Based on the election returns (ERs) -- or tally boards (TBs) when the ERs were missing or unreadable -- prior to revision, the votes for the protestant and for the protestee were 64,507 and 68,923, respectively.[19] After revision, the protestant’s votes totaled 63,868; the protestee’s, 67,207. During the revision, however, the protestant claimed 2,320 votes; the protestee, 4,592 votes.</w:t>
      </w:r>
    </w:p>
    <w:p w:rsidR="00000000" w:rsidDel="00000000" w:rsidP="00000000" w:rsidRDefault="00000000" w:rsidRPr="00000000" w14:paraId="000007E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F">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First Issue: Alleged “Massive Frauds and Illegal Electoral Practices”</w:t>
      </w:r>
    </w:p>
    <w:p w:rsidR="00000000" w:rsidDel="00000000" w:rsidP="00000000" w:rsidRDefault="00000000" w:rsidRPr="00000000" w14:paraId="000007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election cases, the protestant has the burden of proof to establish the grounds for the protest, while the protestee bears the burden as regards the grounds for the counter-protest. The parties have the duty to present evidence before the HRET to support their respective allegations. Where the cause of action is not supported by any evidence and is not referred to at all by the Memorandum, the Tribunal may dismiss that cause of action accordingly.</w:t>
      </w:r>
    </w:p>
    <w:p w:rsidR="00000000" w:rsidDel="00000000" w:rsidP="00000000" w:rsidRDefault="00000000" w:rsidRPr="00000000" w14:paraId="000007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neither the protestant nor the protestee presented any evidence in support of their respective allegations of “massive frauds and illegal electoral practices.” Thus, the HRET had no basis with which to determine whether their allegations were true.</w:t>
      </w:r>
    </w:p>
    <w:p w:rsidR="00000000" w:rsidDel="00000000" w:rsidP="00000000" w:rsidRDefault="00000000" w:rsidRPr="00000000" w14:paraId="000007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the resolution of the election protest and counter-protest focused simply on the results of the Tribunal’s revision and appreciation of ballots.</w:t>
      </w:r>
    </w:p>
    <w:p w:rsidR="00000000" w:rsidDel="00000000" w:rsidP="00000000" w:rsidRDefault="00000000" w:rsidRPr="00000000" w14:paraId="000007F3">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Second Issue: Effect of the Recount and the Revision of Ballots</w:t>
      </w:r>
    </w:p>
    <w:p w:rsidR="00000000" w:rsidDel="00000000" w:rsidP="00000000" w:rsidRDefault="00000000" w:rsidRPr="00000000" w14:paraId="000007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parties cited the following grounds for objecting to the ballots: (1) multiple ballots written by only one person, (2) ballots each written by two or more persons, (3) marked ballots, (4) substituted/spurious ballots, (5) combination of the foregoing, and (6) other miscellaneous objections.</w:t>
      </w:r>
    </w:p>
    <w:p w:rsidR="00000000" w:rsidDel="00000000" w:rsidP="00000000" w:rsidRDefault="00000000" w:rsidRPr="00000000" w14:paraId="000007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Ballots were claimed by the parties on the basis of the following grounds: (1) Neighborhood Rule, (2) Intent Rule, (3) Idem Sonans Rule, and (4) miscellaneous grounds.</w:t>
      </w:r>
    </w:p>
    <w:p w:rsidR="00000000" w:rsidDel="00000000" w:rsidP="00000000" w:rsidRDefault="00000000" w:rsidRPr="00000000" w14:paraId="000007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ruling on the validity or the invalidity of ballots objected to or claimed by the parties, the Tribunal adhered to the basic principle that the cardinal objective of ballot appreciation was to discover and give effect to, rather than frustrate, the intention of the voters. Thus, every ballot was presumed valid, unless clear and good reasons justified its rejection. Specific objections raised by either party with respect to ballots claimed by the other were passed upon in accordance with existing rules on the appreciation of votes, among which were the following:</w:t>
      </w:r>
    </w:p>
    <w:p w:rsidR="00000000" w:rsidDel="00000000" w:rsidP="00000000" w:rsidRDefault="00000000" w:rsidRPr="00000000" w14:paraId="000007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Pairs or groups of ballots clearly prepared by only one person were invalid, except when the Minutes of Voting showed that illiterate or physically disabled persons voted with the aid of assistors.</w:t>
      </w:r>
    </w:p>
    <w:p w:rsidR="00000000" w:rsidDel="00000000" w:rsidP="00000000" w:rsidRDefault="00000000" w:rsidRPr="00000000" w14:paraId="000007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Any ballot that clearly appeared to have been filled up by two (2) distinct persons before it was deposited in the ballot box during the voting was totally null and void. This rule applied in the absence of evidence</w:t>
      </w:r>
      <w:r w:rsidDel="00000000" w:rsidR="00000000" w:rsidRPr="00000000">
        <w:rPr>
          <w:rFonts w:ascii="Georgia" w:cs="Georgia" w:eastAsia="Georgia" w:hAnsi="Georgia"/>
          <w:i w:val="1"/>
          <w:iCs w:val="1"/>
          <w:sz w:val="22"/>
          <w:szCs w:val="22"/>
          <w:rtl w:val="0"/>
        </w:rPr>
        <w:t xml:space="preserve"> aliunde</w:t>
      </w:r>
      <w:r w:rsidDel="00000000" w:rsidR="00000000" w:rsidRPr="00000000">
        <w:rPr>
          <w:rFonts w:ascii="Georgia" w:cs="Georgia" w:eastAsia="Georgia" w:hAnsi="Georgia"/>
          <w:sz w:val="22"/>
          <w:szCs w:val="22"/>
          <w:rtl w:val="0"/>
        </w:rPr>
        <w:t xml:space="preserve"> that the second handwriting was placed on the ballot after it had been deposited in the ballot box.</w:t>
      </w:r>
    </w:p>
    <w:p w:rsidR="00000000" w:rsidDel="00000000" w:rsidP="00000000" w:rsidRDefault="00000000" w:rsidRPr="00000000" w14:paraId="000007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Ballots on which the name of a candidate had been written three (3) or more times on the same ballot were considered marked ballots. Also considered marked were ballots on which the name of a non-candidate was written three or more times on the same ballot or on three (3) or more ballots in the same precinct.</w:t>
      </w:r>
    </w:p>
    <w:p w:rsidR="00000000" w:rsidDel="00000000" w:rsidP="00000000" w:rsidRDefault="00000000" w:rsidRPr="00000000" w14:paraId="000007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to give effect to the intention of the voter, the Tribunal admitted ballots even if the party-claimant’s name was found on a space other than that for “Representative” or “Congressman,” provided the votes fell within the contemplation of the “Neighborhood” and the “Intent” Rules.</w:t>
      </w:r>
    </w:p>
    <w:p w:rsidR="00000000" w:rsidDel="00000000" w:rsidP="00000000" w:rsidRDefault="00000000" w:rsidRPr="00000000" w14:paraId="000007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Neighborhood Rule is an exception to the general rule that the vote should be deemed stray when the name of a candidate is not written on the space/line provided for “Representative.” It is presumed that the voter clearly intended to vote for the candidate whose name was written, not on the space intended for “Representative,” but somewhere else. In all probability, that occurrence was due to the confusion of the voter, who had to vote for a large number of positions during the synchronized elections.</w:t>
      </w:r>
    </w:p>
    <w:p w:rsidR="00000000" w:rsidDel="00000000" w:rsidP="00000000" w:rsidRDefault="00000000" w:rsidRPr="00000000" w14:paraId="000007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Intent Rule, when the name of a candidate for representative was written on any line other than that for “Representative,” but (1) was preceded or followed by the word “Congressman” or “Representative” or (2) was with an arrow pointing to the space for Representative, the ballot was admitted under certain conditions. Those conditions were as follows: (1) the space for “Representative” had been left blank; (2) no other name of a candidate for representative was written on the ballot; and (3) the misplaced vote had not been intended as a mark.</w:t>
      </w:r>
    </w:p>
    <w:p w:rsidR="00000000" w:rsidDel="00000000" w:rsidP="00000000" w:rsidRDefault="00000000" w:rsidRPr="00000000" w14:paraId="000007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application of a combination of the neighborhood and the intent rules, claimed stray ballots were likewise admitted when the iclaimant’s name was physically proximate to the line/space for “Congressman,” provided that the line or space was blank, and no other name of a congressional candidate was written on the ballot.</w:t>
      </w:r>
    </w:p>
    <w:p w:rsidR="00000000" w:rsidDel="00000000" w:rsidP="00000000" w:rsidRDefault="00000000" w:rsidRPr="00000000" w14:paraId="000007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considering the results of the revision and the appreciation of ballots, as well as the evidence presented by the parties; and applying the prevailing relevant statutory rules, the Tribunal held that the final votes for Protestee Garcia totaled 75,833; and those for Protestant Roman, 74,416. In other words, the winning margin of the protestee increased to 1,417, from 803 during the proclamation on May 15, 2004.</w:t>
      </w:r>
    </w:p>
    <w:p w:rsidR="00000000" w:rsidDel="00000000" w:rsidP="00000000" w:rsidRDefault="00000000" w:rsidRPr="00000000" w14:paraId="000007FF">
      <w:pPr>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Thus, on September 22, 2005, the Tribunal unanimously DISMISSED the Election</w:t>
      </w:r>
      <w:r w:rsidDel="00000000" w:rsidR="00000000" w:rsidRPr="00000000">
        <w:rPr>
          <w:rFonts w:ascii="Georgia" w:cs="Georgia" w:eastAsia="Georgia" w:hAnsi="Georgia"/>
          <w:sz w:val="22"/>
          <w:szCs w:val="22"/>
          <w:rtl w:val="0"/>
        </w:rPr>
        <w:t xml:space="preserve"> Protest and the Counter-protest.</w:t>
      </w:r>
    </w:p>
    <w:p w:rsidR="00000000" w:rsidDel="00000000" w:rsidP="00000000" w:rsidRDefault="00000000" w:rsidRPr="00000000" w14:paraId="00000800">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80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Petition for the Re-canvassing of Election Returns</w:t>
      </w:r>
    </w:p>
    <w:p w:rsidR="00000000" w:rsidDel="00000000" w:rsidP="00000000" w:rsidRDefault="00000000" w:rsidRPr="00000000" w14:paraId="000008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think the most controversial case before the Tribunal, in terms of novelty of issue, is </w:t>
      </w:r>
      <w:r w:rsidDel="00000000" w:rsidR="00000000" w:rsidRPr="00000000">
        <w:rPr>
          <w:rFonts w:ascii="Georgia" w:cs="Georgia" w:eastAsia="Georgia" w:hAnsi="Georgia"/>
          <w:i w:val="1"/>
          <w:iCs w:val="1"/>
          <w:sz w:val="22"/>
          <w:szCs w:val="22"/>
          <w:rtl w:val="0"/>
        </w:rPr>
        <w:t xml:space="preserve">Angping v. Roces</w:t>
      </w:r>
      <w:r w:rsidDel="00000000" w:rsidR="00000000" w:rsidRPr="00000000">
        <w:rPr>
          <w:rFonts w:ascii="Georgia" w:cs="Georgia" w:eastAsia="Georgia" w:hAnsi="Georgia"/>
          <w:sz w:val="22"/>
          <w:szCs w:val="22"/>
          <w:rtl w:val="0"/>
        </w:rPr>
        <w:t xml:space="preserve">. Protestant Zenaida Angping did not ask for a “revision” of ballots, which was the usual proceeding in an election protest; neither did she challenge the “qualifications” of the incumbent. Rather, she asked for a re-canvassing of “election returns” only. Allegedly, the returns were not canvassed by the City Board of Canvassers of Manila after the Comelec had resolved not to give due course to her candidacy.</w:t>
      </w:r>
    </w:p>
    <w:p w:rsidR="00000000" w:rsidDel="00000000" w:rsidP="00000000" w:rsidRDefault="00000000" w:rsidRPr="00000000" w14:paraId="000008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first give a brief factual background of this controversy. For purposes of the May 10, 2004 elections, then incumbent Rep. Harry Angping of the Third Legislative District of Manila filed his Certificate of Candidacy for reelection to the same position. A certain Alejandro B. Gomez filed before the Commission on Elections (Comelec) a Petition to deny due course or cancel the Certificate of Candidacy of Angping, who was allegedly not a natural-born citizen of the Philippines and was therefore “ineligible” for the position. On April 30, 2004, the Comelec First Division issued an Order scheduling the promulgation of its Resolution on the Petition for May 5, 2004.</w:t>
      </w:r>
    </w:p>
    <w:p w:rsidR="00000000" w:rsidDel="00000000" w:rsidP="00000000" w:rsidRDefault="00000000" w:rsidRPr="00000000" w14:paraId="000008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3, 2004, Harry Angping filed a Sworn Declaration of Withdrawal of his candidacy. On the same day, herein Protestant Zenaida Angping filed her Certificate of Candidacy in substitution of her husband, Harry.</w:t>
      </w:r>
    </w:p>
    <w:p w:rsidR="00000000" w:rsidDel="00000000" w:rsidP="00000000" w:rsidRDefault="00000000" w:rsidRPr="00000000" w14:paraId="000008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date scheduled for the promulgation of the Resolution on the Petition to deny due course to or cancel Angping’s Certificate of Candidacy was May 5, 2004. Instead, the Comelec First Division issued an Order declaring that the Resolution “was deemed promulgated on April 30, 2004.” That Resolution denied due course to and canceled the Certificate of Candidacy of Harry Angping.</w:t>
      </w:r>
    </w:p>
    <w:p w:rsidR="00000000" w:rsidDel="00000000" w:rsidP="00000000" w:rsidRDefault="00000000" w:rsidRPr="00000000" w14:paraId="000008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9, 2004, Harry filed a Motion for Reconsideration. Before it could be resolved, the Comelec en banc issued Resolution No. 6823 on May 10, 2004. In that Resolution, his withdrawal as candidate for representative of the Third District of Manila was declared moot, and Zenaida’s substitute Certificate of Candidacy was denied due course. The Comelec also</w:t>
      </w:r>
    </w:p>
    <w:p w:rsidR="00000000" w:rsidDel="00000000" w:rsidP="00000000" w:rsidRDefault="00000000" w:rsidRPr="00000000" w14:paraId="000008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directed that the name of Harry Angping be deleted from the Certified List of Candidates for the position.</w:t>
      </w:r>
    </w:p>
    <w:p w:rsidR="00000000" w:rsidDel="00000000" w:rsidP="00000000" w:rsidRDefault="00000000" w:rsidRPr="00000000" w14:paraId="000008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her Petition before the Tribunal, Zenaida Angping alleged that her name had remained in the List of Candidates on election day, and that she had been voted for and her votes counted and duly recorded in the election returns in all precincts in the district. But the City Board of Canvassers of Manila did not canvass her votes or those of her husband, in view of Comelec Resolution No. 6823. Thus, her prayer before the HRET for a re-canvassing of election returns only.</w:t>
      </w:r>
    </w:p>
    <w:p w:rsidR="00000000" w:rsidDel="00000000" w:rsidP="00000000" w:rsidRDefault="00000000" w:rsidRPr="00000000" w14:paraId="000008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Answer with Motion to Dismiss the Petition, the protestee raised the following as special and affirmative defenses and as grounds for dismissal: (1) the HRET lacked jurisdiction, as the Protest was not filed by a candidate who had duly filed a Certificate of Candidacy; (2) the wrong remedy was resorted to at the wrong forum, as the protestant -- who was questioning the proceedings before the City Board of Canvassers of Manila -- should have appealed to the Comelec; (3) granting arguendo that the protestant was a candidate, her Protest could not be resolved by a mere canvass of election returns; (4) the Petition was insufficient in form and substance for failing to specify the contested precincts; and (5) the protestant was guilty of forum shopping, as he had also filed before the Supreme Court a Petition for Certiorari involving essentially the same issues raised in the present Election Protest.</w:t>
      </w:r>
    </w:p>
    <w:p w:rsidR="00000000" w:rsidDel="00000000" w:rsidP="00000000" w:rsidRDefault="00000000" w:rsidRPr="00000000" w14:paraId="000008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the preliminary conference in the HRET, the protestee further submitted eight allegedly prejudicial questions for its disposition. In a Resolution promulgated on March 3, 2005, the Tribunal resolved two principal issues: (1) “the propriety for the [p]rotestant to institute the instant election protest and (2) the jurisdiction of this Tribunal.”</w:t>
      </w:r>
    </w:p>
    <w:p w:rsidR="00000000" w:rsidDel="00000000" w:rsidP="00000000" w:rsidRDefault="00000000" w:rsidRPr="00000000" w14:paraId="000008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Protestee Roces alleged that Zenaida was not a proper party, because she could not be considered a candidate who had duly filed a Certificate of Candidacy, as provided under HRET Rule 16. Relying on Miranda v. Abaya, he argued that Harry could not be substituted as a candidate after the latter’s Certificate of Candidacy had been denied due course and cancelled.</w:t>
      </w:r>
    </w:p>
    <w:p w:rsidR="00000000" w:rsidDel="00000000" w:rsidP="00000000" w:rsidRDefault="00000000" w:rsidRPr="00000000" w14:paraId="000008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ponencia, Representative Mauricio G. Domogan (Lone District, Baguio City) held that Miranda did not apply. In that case, the Comelec Resolution denying and canceling the substituted Certificate of Candidacy was already final at the time Petitioner Joel Miranda, in lieu of his disqualified father, filed his substitute Certificate of Candidacy. Thus, the Supreme Court ruled that there was no valid substitution.</w:t>
      </w:r>
    </w:p>
    <w:p w:rsidR="00000000" w:rsidDel="00000000" w:rsidP="00000000" w:rsidRDefault="00000000" w:rsidRPr="00000000" w14:paraId="000008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however, Harry’s withdrawal of his candidacy and Zenaida’s substitution were filed prior to the actual issuance of the Resolution denying and cancelling the protestee’s Certificate of Candidacy. Besides, the Motion for Reconsideration he had filed was never finally resolved by the Comelec en banc. Resolution No. 6823 issued on May 8, 2004, could not be considered as a Resolution disposing of his Motion and Supplemental Motion for Reconsideration, because the entire records of the case had not yet been elevated to the Comelec en banc at the time.[29] In other words, the banc had not yet acquired jurisdiction over the Motions when it rendered the questionable Resolution, in which his withdrawal of his candidacy was deemed moot; and the substitute candidacy of Zenaida, denied due course. Therefore, her substitute candidacy was undoubtedly allowed under Section 77 of the Omnibus Election Code (OEC).</w:t>
      </w:r>
    </w:p>
    <w:p w:rsidR="00000000" w:rsidDel="00000000" w:rsidP="00000000" w:rsidRDefault="00000000" w:rsidRPr="00000000" w14:paraId="000008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Tribunal held that Comelec Resolution No. 6823 was merely an administrative issuance, in which the cancellation or denial of a certificate of candidacy could not be done by the poll body. Under Section 78 of the OEC, such disposition required the exercise of the Comelec’s quasi-judicial power, which in turn required prior notice and hearing. In previous cases, the Supreme Court had ruled that decisions and resolutions issued in the exercise of judicial or quasi-judicial power, in violation of the requirements of prior notice and hearing, were tainted with grave abuse of discretion and therefore void. Thus, Resolution No. 6823 could not have validly cancelled or denied due course to the Certificate of Candidacy of Harry Angping or the substitute Certificate of Candidacy of herein Protestant Zenaida Angping.</w:t>
      </w:r>
    </w:p>
    <w:p w:rsidR="00000000" w:rsidDel="00000000" w:rsidP="00000000" w:rsidRDefault="00000000" w:rsidRPr="00000000" w14:paraId="000008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Tribunal, by a vote of 6-2-1, concluded that the protestant was, to “all legal intents and purposes, qualified and a proper party to file this election protest.”</w:t>
      </w:r>
    </w:p>
    <w:p w:rsidR="00000000" w:rsidDel="00000000" w:rsidP="00000000" w:rsidRDefault="00000000" w:rsidRPr="00000000" w14:paraId="000008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question of whether the HRET had jurisdiction over the subject matter of the case, it ruled in the affirmative on the basis of the fact that Zenaida’s election protest or Petition was sufficient in form and substance. While the Petition might have alleged the illegality of certain Comelec Resolutions, it likewise raised questions on the qualifications, returns and election of the protestee -- questions over which the Tribunal clearly had exclusive jurisdiction.</w:t>
      </w:r>
    </w:p>
    <w:p w:rsidR="00000000" w:rsidDel="00000000" w:rsidP="00000000" w:rsidRDefault="00000000" w:rsidRPr="00000000" w14:paraId="000008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issue of forum shopping, the HRET found that the cases filed by the protestant before the Comelec and the Supreme Court involved questions that were “distinct and different from the issues raised in this instant election protest.”</w:t>
      </w:r>
    </w:p>
    <w:p w:rsidR="00000000" w:rsidDel="00000000" w:rsidP="00000000" w:rsidRDefault="00000000" w:rsidRPr="00000000" w14:paraId="000008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light of the foregoing facts, the HRET held that it was proper to proceed to ascertain the true results of the May 10, 2004 elections in the 3rd District of Manila, particularly considering that the protestee had been “proclaimed on a mere 6,347 votes amidst the high voting population in the district.” Thus, the Tribunal denied his Motion to Dismiss, which was incorporated in his Answer and in his Omnibus Motion.</w:t>
      </w:r>
    </w:p>
    <w:p w:rsidR="00000000" w:rsidDel="00000000" w:rsidP="00000000" w:rsidRDefault="00000000" w:rsidRPr="00000000" w14:paraId="00000813">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My Separate Opinion.</w:t>
      </w:r>
      <w:r w:rsidDel="00000000" w:rsidR="00000000" w:rsidRPr="00000000">
        <w:rPr>
          <w:rFonts w:ascii="Georgia" w:cs="Georgia" w:eastAsia="Georgia" w:hAnsi="Georgia"/>
          <w:sz w:val="22"/>
          <w:szCs w:val="22"/>
          <w:rtl w:val="0"/>
        </w:rPr>
        <w:t xml:space="preserve"> I voted to deny the protestee’s Motion to Dismiss for the following reasons:</w:t>
      </w:r>
    </w:p>
    <w:p w:rsidR="00000000" w:rsidDel="00000000" w:rsidP="00000000" w:rsidRDefault="00000000" w:rsidRPr="00000000" w14:paraId="000008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allegations in the election protest were sufficient to confer jurisdiction upon the HRET. </w:t>
      </w:r>
    </w:p>
    <w:p w:rsidR="00000000" w:rsidDel="00000000" w:rsidP="00000000" w:rsidRDefault="00000000" w:rsidRPr="00000000" w14:paraId="000008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“prejudicial questions” submitted by the protestee in his Omnibus Motion were not grounds for the immediate dismissal of the protest prior to the hearing of the main case.</w:t>
      </w:r>
    </w:p>
    <w:p w:rsidR="00000000" w:rsidDel="00000000" w:rsidP="00000000" w:rsidRDefault="00000000" w:rsidRPr="00000000" w14:paraId="000008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At the time, a review of Comelec Resolution No. 6823 was not dispositive of the</w:t>
        <w:br w:type="textWrapping"/>
        <w:t xml:space="preserve">election protest.</w:t>
      </w:r>
    </w:p>
    <w:p w:rsidR="00000000" w:rsidDel="00000000" w:rsidP="00000000" w:rsidRDefault="00000000" w:rsidRPr="00000000" w14:paraId="000008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primordial duty of the Tribunal was to ascertain the true winner in the election. </w:t>
      </w:r>
    </w:p>
    <w:p w:rsidR="00000000" w:rsidDel="00000000" w:rsidP="00000000" w:rsidRDefault="00000000" w:rsidRPr="00000000" w14:paraId="000008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enable the HRET to exercise jurisdiction, the following facts must be alleged in a petition of protest:</w:t>
      </w:r>
    </w:p>
    <w:p w:rsidR="00000000" w:rsidDel="00000000" w:rsidP="00000000" w:rsidRDefault="00000000" w:rsidRPr="00000000" w14:paraId="000008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protestant was a candidate who had duly filed a Certificate of Candidacy and was voted for in the election.</w:t>
      </w:r>
    </w:p>
    <w:p w:rsidR="00000000" w:rsidDel="00000000" w:rsidP="00000000" w:rsidRDefault="00000000" w:rsidRPr="00000000" w14:paraId="000008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protestee was proclaimed as the winner in the election. </w:t>
      </w:r>
    </w:p>
    <w:p w:rsidR="00000000" w:rsidDel="00000000" w:rsidP="00000000" w:rsidRDefault="00000000" w:rsidRPr="00000000" w14:paraId="000008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Petition was filed within the reglementary period (10 days after proclamation) prescribed by law.</w:t>
      </w:r>
    </w:p>
    <w:p w:rsidR="00000000" w:rsidDel="00000000" w:rsidP="00000000" w:rsidRDefault="00000000" w:rsidRPr="00000000" w14:paraId="000008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Unrefuted was the fact that the present Petition stated that Protestee Roces had been proclaimed on May 15, 2004. It was also undeniably filed on May 24, 2004, well within the 10-day reglementary period.</w:t>
      </w:r>
    </w:p>
    <w:p w:rsidR="00000000" w:rsidDel="00000000" w:rsidP="00000000" w:rsidRDefault="00000000" w:rsidRPr="00000000" w14:paraId="000008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Protestant Zenaida Angping claimed to have duly filed on May 4, 2004, her Certificate of Candidacy for the position of representative of the Third District of Manila, in substitution of then incumbent Representative Harry Angping who, on even date, filed his Sworn Affidavit of Withdrawal of Candidacy for the same elective post.</w:t>
      </w:r>
    </w:p>
    <w:p w:rsidR="00000000" w:rsidDel="00000000" w:rsidP="00000000" w:rsidRDefault="00000000" w:rsidRPr="00000000" w14:paraId="000008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basic rule is that jurisdiction over the subject matter of a case is determined by the allegations of the complaint or petition, regardless of whether the plaintiff or petitioner is entitled to the relief asserted. Thus, my Separate Opinion argued that Zenaida’s Petition had sufficiently alleged all the essential jurisdictional facts for the HRET to assume and exercise its jurisdiction. Whether the protestant’s claims were truthful and meritorious, and whether she was entitled to the relief she sought, were matters that should more properly be addressed in the regular course of the proceedings, after the Tribunal had assumed jurisdiction.</w:t>
      </w:r>
    </w:p>
    <w:p w:rsidR="00000000" w:rsidDel="00000000" w:rsidP="00000000" w:rsidRDefault="00000000" w:rsidRPr="00000000" w14:paraId="000008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Based only on the averments of the parties, I believed, too, that forum shopping did not exist. The certiorari Petition before the Supreme Court had assailed Comelec Resolution No. 6823, on the ground of grave abuse of discretion by the poll body. The relief sought was the nullification of the Resolution. Even assuming arguendo that the Court had not dismissed the Petition and had instead annulled the Resolution, the Court could not have thereby declare who the winning candidate was.</w:t>
      </w:r>
    </w:p>
    <w:p w:rsidR="00000000" w:rsidDel="00000000" w:rsidP="00000000" w:rsidRDefault="00000000" w:rsidRPr="00000000" w14:paraId="000008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election protest or Petition sought a re-canvassing of election returns, allegedly because the votes in favor of the protestant had not been tallied and tabulated by the City Board of Canvassers of Manila, a task supposedly ministerial on its part. The ultimate objective of the Protest was to find out who was the true and lawful winner in the election. Thus, the reliefs sought in the separate actions were not identical.</w:t>
      </w:r>
    </w:p>
    <w:p w:rsidR="00000000" w:rsidDel="00000000" w:rsidP="00000000" w:rsidRDefault="00000000" w:rsidRPr="00000000" w14:paraId="000008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lacking in merit was the protestee’s claim that in assuming jurisdiction over the protest, the Tribunal would in effect be overturning Comelec Resolution No. 6823. Again, the Petition of Zenaida was complete as to its allegations of the essential facts, and jurisdiction was thus vested in the HRET. Whether the Tribunal would have to review, revise or reverse Comelec Resolution No. 6823 was a matter of defense for the protestee and had to be threshed out in the main proceedings.</w:t>
      </w:r>
    </w:p>
    <w:p w:rsidR="00000000" w:rsidDel="00000000" w:rsidP="00000000" w:rsidRDefault="00000000" w:rsidRPr="00000000" w14:paraId="000008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matter was only a sub-issue with respect to the larger role of the HRET in determining who really won in the election for representative of the Third District of Manila. In the process, the Comelec Resolution might not even have to be subjected to scrutiny, as the parties -- the protestant in particular -- might be able to present convincing evidence that would indubitably prove her claim to the position.</w:t>
      </w:r>
    </w:p>
    <w:p w:rsidR="00000000" w:rsidDel="00000000" w:rsidP="00000000" w:rsidRDefault="00000000" w:rsidRPr="00000000" w14:paraId="000008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Subsequent Proceedings</w:t>
      </w:r>
    </w:p>
    <w:p w:rsidR="00000000" w:rsidDel="00000000" w:rsidP="00000000" w:rsidRDefault="00000000" w:rsidRPr="00000000" w14:paraId="000008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the Tribunal ordered the simultaneous revision of ballots and the recanvassing of election returns, on the basis that its jurisdiction under the Constitution encompassed “all contests relating to the election, returns and qualifications of Members of the House of Representatives.”</w:t>
      </w:r>
    </w:p>
    <w:p w:rsidR="00000000" w:rsidDel="00000000" w:rsidP="00000000" w:rsidRDefault="00000000" w:rsidRPr="00000000" w14:paraId="000008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second day of the revision of ballots, however, the protestee moved for the withdrawal of the revision and recounting of ballots from the remaining unrevised precincts. His Motion was granted in the HRET Order dated June 22, 2005. The re-canvassing of the election returns continued, but was later suspended in view of a Temporary Restraining Order (TRO) issued by the Supreme Court on June 28, 2005. The TRO was issued by the Court in connection with the Petition for Certiorari brought before it by Protestee Roces, assailing the HRET Resolution dated March 3, 2005.</w:t>
      </w:r>
    </w:p>
    <w:p w:rsidR="00000000" w:rsidDel="00000000" w:rsidP="00000000" w:rsidRDefault="00000000" w:rsidRPr="00000000" w14:paraId="000008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Decision promulgated on September 15, 2005, and by a vote of 8-4-3, the Supreme Court sustained the HRET and lifted the TRO. Thus, per its Resolution dated September 22, 2005, the Tribunal directed its hearing officer to continue with the proceedings in this case.</w:t>
      </w:r>
    </w:p>
    <w:p w:rsidR="00000000" w:rsidDel="00000000" w:rsidP="00000000" w:rsidRDefault="00000000" w:rsidRPr="00000000" w14:paraId="000008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9">
      <w:pPr>
        <w:pStyle w:val="Heading2"/>
        <w:rPr>
          <w:rFonts w:ascii="Georgia" w:cs="Georgia" w:eastAsia="Georgia" w:hAnsi="Georgia"/>
          <w:i w:val="1"/>
          <w:iCs w:val="1"/>
          <w:color w:val="000000"/>
          <w:sz w:val="22"/>
          <w:szCs w:val="22"/>
        </w:rPr>
      </w:pPr>
      <w:r w:rsidDel="00000000" w:rsidR="00000000" w:rsidRPr="00000000">
        <w:rPr>
          <w:rFonts w:ascii="Georgia" w:cs="Georgia" w:eastAsia="Georgia" w:hAnsi="Georgia"/>
          <w:i w:val="1"/>
          <w:iCs w:val="1"/>
          <w:color w:val="000000"/>
          <w:sz w:val="22"/>
          <w:szCs w:val="22"/>
          <w:rtl w:val="0"/>
        </w:rPr>
        <w:t xml:space="preserve">The Pending Unresolved Cases</w:t>
      </w:r>
    </w:p>
    <w:p w:rsidR="00000000" w:rsidDel="00000000" w:rsidP="00000000" w:rsidRDefault="00000000" w:rsidRPr="00000000" w14:paraId="000008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date, the remaining seven protest cases have undergone revisions of ballots. As earlier mentioned, the HRET may direct the initial revision of ballots in only 25 percent of the protested and counter-protested precincts. But in some cases in which the margin of votes between the contesting parties was very slim, or in which the contested precincts comprised a small number only, the Tribunal may order the revision of ballots in 100 percent of the protested and counter-protested precincts.</w:t>
      </w:r>
    </w:p>
    <w:p w:rsidR="00000000" w:rsidDel="00000000" w:rsidP="00000000" w:rsidRDefault="00000000" w:rsidRPr="00000000" w14:paraId="000008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term, the Tribunal ordered the revision of ballots in all or 100 percent of the protested and counter-protested precincts in the following cases: Candazo v. De Guzman (Lone District, Marikina City); Roman v. Garcia (2nd District, Bataan); Gatchalian v. Carlos (1st District, Valenzuela City); Tiquia v. Serapio (2nd District, Valenzuela City); and Jaafar v. Abubakar (Lone District, Tawi-Tawi).</w:t>
      </w:r>
    </w:p>
    <w:p w:rsidR="00000000" w:rsidDel="00000000" w:rsidP="00000000" w:rsidRDefault="00000000" w:rsidRPr="00000000" w14:paraId="000008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remaining proceedings before the HRET are in the stages of the parties’ presentation of their respective sets of evidence and the Tribunal’s appreciation of ballots.</w:t>
      </w:r>
    </w:p>
    <w:p w:rsidR="00000000" w:rsidDel="00000000" w:rsidP="00000000" w:rsidRDefault="00000000" w:rsidRPr="00000000" w14:paraId="000008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E">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8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said at the beginning of this chapter, the HRET has been diligent in its work. Its members have shown admirable doggedness, prudence and speed in going about their work. Given our pace, and barring unforeseen events like a TRO from the Supreme Court, I believe that the HRET would be able to decide all its cases within the first two years of its current three-year term.</w:t>
      </w:r>
    </w:p>
    <w:p w:rsidR="00000000" w:rsidDel="00000000" w:rsidP="00000000" w:rsidRDefault="00000000" w:rsidRPr="00000000" w14:paraId="00000830">
      <w:pPr>
        <w:rPr>
          <w:rFonts w:ascii="Georgia" w:cs="Georgia" w:eastAsia="Georgia" w:hAnsi="Georgia"/>
          <w:color w:val="000000"/>
          <w:sz w:val="22"/>
          <w:szCs w:val="22"/>
        </w:rPr>
      </w:pPr>
      <w:r w:rsidDel="00000000" w:rsidR="00000000" w:rsidRPr="00000000">
        <w:rPr>
          <w:rFonts w:ascii="Georgia" w:cs="Georgia" w:eastAsia="Georgia" w:hAnsi="Georgia"/>
          <w:sz w:val="22"/>
          <w:szCs w:val="22"/>
          <w:rtl w:val="0"/>
        </w:rPr>
        <w:t xml:space="preserve">I must commend not only the Tribunal members -- both the justices and the representatives -- but also the staff. The Secretariat is composed of the Tribunal secretary, Atty. Daisy B. Panga-Vega, assisted by the deputy secretary, Atty. Marie Grace T. Javier-Ibay; and the eight services heads as follows: Atty. Josefina Santos-Olais (Director III, Legal </w:t>
      </w:r>
      <w:r w:rsidDel="00000000" w:rsidR="00000000" w:rsidRPr="00000000">
        <w:rPr>
          <w:rFonts w:ascii="Georgia" w:cs="Georgia" w:eastAsia="Georgia" w:hAnsi="Georgia"/>
          <w:color w:val="000000"/>
          <w:sz w:val="22"/>
          <w:szCs w:val="22"/>
          <w:rtl w:val="0"/>
        </w:rPr>
        <w:t xml:space="preserve">Service); Remigio V. Mangundayao (officer-in-charge, Canvass Board Service); Atty. Henry</w:t>
      </w:r>
      <w:r w:rsidDel="00000000" w:rsidR="00000000" w:rsidRPr="00000000">
        <w:rPr>
          <w:rFonts w:ascii="Georgia" w:cs="Georgia" w:eastAsia="Georgia" w:hAnsi="Georgia"/>
          <w:sz w:val="22"/>
          <w:szCs w:val="22"/>
          <w:rtl w:val="0"/>
        </w:rPr>
        <w:t xml:space="preserve"> R. Solomon (officer-in-charge, Information System and Judicial Records Management Service); Atty. Michael D. Villaret (officer-in-charge, Human Resource Management Service); Ms. Luz D. Tanjuakio (Director II, Accounting Service and Finance and Budget Service); Ms Ma. Corazon P. Villanueva (Director II, Cash Management Service); and Ms Rosalina de </w:t>
      </w:r>
      <w:r w:rsidDel="00000000" w:rsidR="00000000" w:rsidRPr="00000000">
        <w:rPr>
          <w:rFonts w:ascii="Georgia" w:cs="Georgia" w:eastAsia="Georgia" w:hAnsi="Georgia"/>
          <w:color w:val="000000"/>
          <w:sz w:val="22"/>
          <w:szCs w:val="22"/>
          <w:rtl w:val="0"/>
        </w:rPr>
        <w:t xml:space="preserve">Guzman-Torres (Director II, General Service.)</w:t>
      </w:r>
    </w:p>
    <w:p w:rsidR="00000000" w:rsidDel="00000000" w:rsidP="00000000" w:rsidRDefault="00000000" w:rsidRPr="00000000" w14:paraId="000008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impressed by the dedication and the passion for work demonstrated by the staff. On a personal note, I was pleasantly surprised to receive a poem entitled “AVP” from Atty. Noel Mapili, HRET Attorney VI. Presented to me privately on August 25, 2005, it was encased in a petite wooden frame. By way of appreciation for his kind thoughts, I am reproducing the poem verbatim:</w:t>
      </w:r>
    </w:p>
    <w:p w:rsidR="00000000" w:rsidDel="00000000" w:rsidP="00000000" w:rsidRDefault="00000000" w:rsidRPr="00000000" w14:paraId="00000832">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83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A.V.P.</w:t>
      </w:r>
    </w:p>
    <w:p w:rsidR="00000000" w:rsidDel="00000000" w:rsidP="00000000" w:rsidRDefault="00000000" w:rsidRPr="00000000" w14:paraId="00000834">
      <w:pPr>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SC Justice of top caliber</w:t>
        <w:br w:type="textWrapping"/>
        <w:t xml:space="preserve">Remarkable and great campus leader</w:t>
        <w:br w:type="textWrapping"/>
        <w:t xml:space="preserve">This 1960 bar sixth top placer</w:t>
        <w:br w:type="textWrapping"/>
        <w:t xml:space="preserve">Established a well-known law firm further</w:t>
        <w:br w:type="textWrapping"/>
        <w:t xml:space="preserve">Made a name in other fields thereafter</w:t>
        <w:br w:type="textWrapping"/>
        <w:t xml:space="preserve">Is likewise a Catholic lay server</w:t>
        <w:br w:type="textWrapping"/>
        <w:t xml:space="preserve">One of the icons of the male gender</w:t>
      </w:r>
    </w:p>
    <w:p w:rsidR="00000000" w:rsidDel="00000000" w:rsidP="00000000" w:rsidRDefault="00000000" w:rsidRPr="00000000" w14:paraId="0000083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36">
      <w:pPr>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President then of Daily Inquirer</w:t>
        <w:br w:type="textWrapping"/>
        <w:t xml:space="preserve">A-one prolific author and writer</w:t>
        <w:br w:type="textWrapping"/>
        <w:t xml:space="preserve">Not to mention human rights defender</w:t>
        <w:br w:type="textWrapping"/>
        <w:t xml:space="preserve">Great all-season friend and not fair-weather</w:t>
        <w:br w:type="textWrapping"/>
        <w:t xml:space="preserve">A sincere one, never a pretender</w:t>
        <w:br w:type="textWrapping"/>
        <w:t xml:space="preserve">Not just an ordinary house master</w:t>
        <w:br w:type="textWrapping"/>
        <w:t xml:space="preserve">Ideal husband and doting father</w:t>
        <w:br w:type="textWrapping"/>
        <w:t xml:space="preserve">Businessman and media practitioner</w:t>
        <w:br w:type="textWrapping"/>
        <w:t xml:space="preserve">All-around man not only a lawyer</w:t>
        <w:br w:type="textWrapping"/>
        <w:t xml:space="preserve">Need I say more to make him look better?</w:t>
      </w:r>
    </w:p>
    <w:p w:rsidR="00000000" w:rsidDel="00000000" w:rsidP="00000000" w:rsidRDefault="00000000" w:rsidRPr="00000000" w14:paraId="00000837">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 Atty. Noel Mapili</w:t>
      </w:r>
    </w:p>
    <w:p w:rsidR="00000000" w:rsidDel="00000000" w:rsidP="00000000" w:rsidRDefault="00000000" w:rsidRPr="00000000" w14:paraId="0000083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39">
      <w:pPr>
        <w:pStyle w:val="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APPENDICES</w:t>
      </w:r>
    </w:p>
    <w:p w:rsidR="00000000" w:rsidDel="00000000" w:rsidP="00000000" w:rsidRDefault="00000000" w:rsidRPr="00000000" w14:paraId="0000083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3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Appendix A</w:t>
      </w:r>
    </w:p>
    <w:p w:rsidR="00000000" w:rsidDel="00000000" w:rsidP="00000000" w:rsidRDefault="00000000" w:rsidRPr="00000000" w14:paraId="0000083C">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VVM: Vital Volume from a Magistrate</w:t>
      </w:r>
    </w:p>
    <w:p w:rsidR="00000000" w:rsidDel="00000000" w:rsidP="00000000" w:rsidRDefault="00000000" w:rsidRPr="00000000" w14:paraId="000008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no small amount of trepidation, I accepted the invitation of the erudite Dean Raul C. Pangalangan to be the guest of honor in today’s launching here at the University of the Philippines of Mr. Justice Vicente V. Mendoza’s book, Judicial Review of Constitutional Questions: Cases and Materials.</w:t>
      </w:r>
      <w:r w:rsidDel="00000000" w:rsidR="00000000" w:rsidRPr="00000000">
        <w:rPr>
          <w:rFonts w:ascii="Georgia" w:cs="Georgia" w:eastAsia="Georgia" w:hAnsi="Georgia"/>
          <w:sz w:val="22"/>
          <w:szCs w:val="22"/>
          <w:vertAlign w:val="superscript"/>
          <w:rtl w:val="0"/>
        </w:rPr>
        <w:t xml:space="preserve">1</w:t>
      </w:r>
      <w:r w:rsidDel="00000000" w:rsidR="00000000" w:rsidRPr="00000000">
        <w:rPr>
          <w:rtl w:val="0"/>
        </w:rPr>
      </w:r>
    </w:p>
    <w:p w:rsidR="00000000" w:rsidDel="00000000" w:rsidP="00000000" w:rsidRDefault="00000000" w:rsidRPr="00000000" w14:paraId="0000083E">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My Consuming Ambition to Enter UP</w:t>
      </w:r>
    </w:p>
    <w:p w:rsidR="00000000" w:rsidDel="00000000" w:rsidP="00000000" w:rsidRDefault="00000000" w:rsidRPr="00000000" w14:paraId="000008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my high school days, I have always been fascinated by the Oblation that greets visitors to the UP. My batch mates at Mapa High School and I frequently toured the UP campus in the early 50s. We promised one another back then that we would study diligently to be worthy of entrance to this great institution of learning.</w:t>
      </w:r>
    </w:p>
    <w:p w:rsidR="00000000" w:rsidDel="00000000" w:rsidP="00000000" w:rsidRDefault="00000000" w:rsidRPr="00000000" w14:paraId="000008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consuming ambition to enter UP was frustrated, however. Although granted a UP entrance scholarship, I could not enroll because my impoverished parents could not afford the then 15-centavo bus ride between Diliman and Cataluña Street in Sampaloc, Manila, where we were staying. Instead, I had to content myself by enrolling at nearby Far Eastern University, which was walking distance from our little apartment.</w:t>
      </w:r>
    </w:p>
    <w:p w:rsidR="00000000" w:rsidDel="00000000" w:rsidP="00000000" w:rsidRDefault="00000000" w:rsidRPr="00000000" w14:paraId="000008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Fate had other plans for me. At FEU I met the young, brilliant and ebullient Law Dean Jovito R. Salonga, who taught me not only UP-style education, but also a smattering of Harvard and Yale. As many of you may know, Dr. Salonga was a graduate of UP, Harvard and Yale; and a bar topnotcher besides,</w:t>
      </w:r>
    </w:p>
    <w:p w:rsidR="00000000" w:rsidDel="00000000" w:rsidP="00000000" w:rsidRDefault="00000000" w:rsidRPr="00000000" w14:paraId="000008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I might have been amply armed by FEU with a formidable legal arsenal, I did not forget UP. So when the opportunity came, I married a fine lady who -- though cloistered in St. Scholastica’s for her elementary, high school, and college education -- nonetheless found the wisdom to finish one of her two masteral degrees at the UP.</w:t>
      </w:r>
      <w:r w:rsidDel="00000000" w:rsidR="00000000" w:rsidRPr="00000000">
        <w:rPr>
          <w:rFonts w:ascii="Georgia" w:cs="Georgia" w:eastAsia="Georgia" w:hAnsi="Georgia"/>
          <w:sz w:val="22"/>
          <w:szCs w:val="22"/>
          <w:vertAlign w:val="superscript"/>
          <w:rtl w:val="0"/>
        </w:rPr>
        <w:t xml:space="preserve">2</w:t>
      </w:r>
      <w:r w:rsidDel="00000000" w:rsidR="00000000" w:rsidRPr="00000000">
        <w:rPr>
          <w:rFonts w:ascii="Georgia" w:cs="Georgia" w:eastAsia="Georgia" w:hAnsi="Georgia"/>
          <w:sz w:val="22"/>
          <w:szCs w:val="22"/>
          <w:rtl w:val="0"/>
        </w:rPr>
        <w:t xml:space="preserve"> But that’s not all. Our only son graduated from the UP Conservatory of Music, summa cum laude, thereby proving the theory that the genes of mothers are passed on to their sons. Not only that; the youngest of our four daughters finished her BS Biology at the UP College of Arts and Sciences. Our two children’s UP education became their passport to esoteric and diverse graduate degrees. Our son completed his Ph.D. in Engineering Economic Systems at Stanford;</w:t>
      </w:r>
      <w:r w:rsidDel="00000000" w:rsidR="00000000" w:rsidRPr="00000000">
        <w:rPr>
          <w:rFonts w:ascii="Georgia" w:cs="Georgia" w:eastAsia="Georgia" w:hAnsi="Georgia"/>
          <w:sz w:val="22"/>
          <w:szCs w:val="22"/>
          <w:vertAlign w:val="superscript"/>
          <w:rtl w:val="0"/>
        </w:rPr>
        <w:t xml:space="preserve">3</w:t>
      </w:r>
      <w:r w:rsidDel="00000000" w:rsidR="00000000" w:rsidRPr="00000000">
        <w:rPr>
          <w:rFonts w:ascii="Georgia" w:cs="Georgia" w:eastAsia="Georgia" w:hAnsi="Georgia"/>
          <w:sz w:val="22"/>
          <w:szCs w:val="22"/>
          <w:rtl w:val="0"/>
        </w:rPr>
        <w:t xml:space="preserve"> and our daughter, her Master in Public Policy at Harvard.</w:t>
      </w:r>
      <w:r w:rsidDel="00000000" w:rsidR="00000000" w:rsidRPr="00000000">
        <w:rPr>
          <w:rFonts w:ascii="Georgia" w:cs="Georgia" w:eastAsia="Georgia" w:hAnsi="Georgia"/>
          <w:sz w:val="22"/>
          <w:szCs w:val="22"/>
          <w:vertAlign w:val="superscript"/>
          <w:rtl w:val="0"/>
        </w:rPr>
        <w:t xml:space="preserve">4</w:t>
      </w:r>
      <w:r w:rsidDel="00000000" w:rsidR="00000000" w:rsidRPr="00000000">
        <w:rPr>
          <w:rtl w:val="0"/>
        </w:rPr>
      </w:r>
    </w:p>
    <w:p w:rsidR="00000000" w:rsidDel="00000000" w:rsidP="00000000" w:rsidRDefault="00000000" w:rsidRPr="00000000" w14:paraId="000008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closest I have been to garnering a UP diploma was when the Honor Society of the Phi Kappa Phi granted me a certificate of honorary membership in its UP Chapter.</w:t>
      </w:r>
    </w:p>
    <w:p w:rsidR="00000000" w:rsidDel="00000000" w:rsidP="00000000" w:rsidRDefault="00000000" w:rsidRPr="00000000" w14:paraId="00000844">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Disciplined, Scholarly and Conservative</w:t>
      </w:r>
    </w:p>
    <w:p w:rsidR="00000000" w:rsidDel="00000000" w:rsidP="00000000" w:rsidRDefault="00000000" w:rsidRPr="00000000" w14:paraId="000008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this background, I hope you now understand the reverence I hold for UP, especially for its College of Law. Indeed, I am honored to have been given this singular opportunity to speak of the latest masterpiece of a veracious and venerable magistrate. He is the learned Mr. Justice Mendoza, who was first taught the law in the UP tradition and is now teaching it here in the grand manner that Justice Oliver Wendell Holmes Jr. prescribed.</w:t>
      </w:r>
    </w:p>
    <w:p w:rsidR="00000000" w:rsidDel="00000000" w:rsidP="00000000" w:rsidRDefault="00000000" w:rsidRPr="00000000" w14:paraId="000008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allow me to speak of the author. As a jurist, Mr. Justice Mendoza may be characterized as disciplined, scholarly and conservative. His mind is methodical and deliberate. At the Supreme Court, every word he spoke and every sentence he wrote always carried the authority of some law or precedent. He did not bluff or second-guess. He decided with certainly, predictability and finality. That was why it was easy to concur in his decisions, but very difficult to dissent from them.</w:t>
      </w:r>
    </w:p>
    <w:p w:rsidR="00000000" w:rsidDel="00000000" w:rsidP="00000000" w:rsidRDefault="00000000" w:rsidRPr="00000000" w14:paraId="000008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Difficult as it may have been, I sometimes found the courage to challenge his opinions, and at times to dissent from his ponencias. Au contraire, he did not always agree with my own decisions. Nonetheless, I always, without exception, sought his views on all important issues deliberated upon by the Supreme Court. Even on those occasions when I suspected beforehand that his opinion might be different from mine, I still consciously sought it anyway. And he never withheld it, because we both realized that the Supreme Court thrived in a kettle of free ideas, where truth, fairness and justice could be distilled only after all sides -- including the most outlandish ones -- had poured in and percolated.</w:t>
      </w:r>
    </w:p>
    <w:p w:rsidR="00000000" w:rsidDel="00000000" w:rsidP="00000000" w:rsidRDefault="00000000" w:rsidRPr="00000000" w14:paraId="000008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inside the hallowed halls of the Supreme Court, we discussed and debated animatedly, even ardently. Although we disagreed on ideas, philosophies and other matters of the mind, we never carried those differences on the personal -- much less on the emotional -- level. True, our minds may have clashed some of the time, but our friendship has remained robust and pleasant all the time.</w:t>
      </w:r>
    </w:p>
    <w:p w:rsidR="00000000" w:rsidDel="00000000" w:rsidP="00000000" w:rsidRDefault="00000000" w:rsidRPr="00000000" w14:paraId="000008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whether or not we were on the same side of a controversy, let me tell you that Mr. Justice Mendoza was always a stickler for accuracy. His opinions were always carefully phrased, grammatically precise and minutely calibrated to express, as correctly as possible, the principles expounded and the limitations within which they could be applied. He explained with the methodology of a teacher, the clarity of a savant, the finesse of an artist, and the passion of a lover -- all of which he was and still is.</w:t>
      </w:r>
    </w:p>
    <w:p w:rsidR="00000000" w:rsidDel="00000000" w:rsidP="00000000" w:rsidRDefault="00000000" w:rsidRPr="00000000" w14:paraId="000008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then until now, Mr. Justice Mendoza has always been prudent, never shoddy; always certain, never tentative. He is moved never by pique and spite, never by prejudice and vindictiveness, but always by deliberate and well-studied choice. In sum, he was one of the brightest, calmest, most diligent and most trustworthy jurists I had been privileged to encounter.</w:t>
      </w:r>
    </w:p>
    <w:p w:rsidR="00000000" w:rsidDel="00000000" w:rsidP="00000000" w:rsidRDefault="00000000" w:rsidRPr="00000000" w14:paraId="0000084B">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Treasure Chest of Insights and Lessons</w:t>
      </w:r>
    </w:p>
    <w:p w:rsidR="00000000" w:rsidDel="00000000" w:rsidP="00000000" w:rsidRDefault="00000000" w:rsidRPr="00000000" w14:paraId="000008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let me now speak of the latest book of Justice Mendoza. This volume echoes the same scholarship, diligence, thoroughness and precision that mark his ponencias. The author’s keen and masterful grasp of concepts and doctrines makes the book a treasure chest of insights and lessons. While purportedly addressed to law students, it is just as useful to professors and lawyers, especially those who would like to practice in the Supreme Court. In fact, it would be equally valuable to the incumbent justices of our High Court as they grapple with delicate constitutional questions.</w:t>
      </w:r>
    </w:p>
    <w:p w:rsidR="00000000" w:rsidDel="00000000" w:rsidP="00000000" w:rsidRDefault="00000000" w:rsidRPr="00000000" w14:paraId="000008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 adroit constitutionalist that he is, Justice Mendoza discusses important constitutional topics and issues with razor-sharp precision. With well-studied thoughts and reflections, he always follows through the cases he cites. He also synthesizes the concepts well, leaving the reader sometimes beguiled, but not confused; oftentimes hungering, but not frustrated; and always itching to read on.</w:t>
      </w:r>
    </w:p>
    <w:p w:rsidR="00000000" w:rsidDel="00000000" w:rsidP="00000000" w:rsidRDefault="00000000" w:rsidRPr="00000000" w14:paraId="000008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book opens with a discussion of the historicity of the power of judicial review, both in the United States and in the Philippines. Appropriately, it quotes extensively from both Marbury v. Madison and Angara v. Electoral Commission. But it is ever careful to situate the cases within the factual milieu of their times. Hence, what comes out is an interesting exposition of convergences as well as differences, both as to the political environments and as to the judicial ring tones of the rulings in the two cases.</w:t>
      </w:r>
    </w:p>
    <w:p w:rsidR="00000000" w:rsidDel="00000000" w:rsidP="00000000" w:rsidRDefault="00000000" w:rsidRPr="00000000" w14:paraId="000008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the early and rich history of judicial power, Justice Mendoza adds a chapter on the varieties of judicial review. His discussion here provides the necessary background for the succeeding discourse on the current framework of Philippine judicial review. Justice Mendoza is quick to point out the rationales for the centralized and the decentralized systems -- their inherent weaknesses, their abiding strengths, and the procedural implications of adopting either system.</w:t>
      </w:r>
    </w:p>
    <w:p w:rsidR="00000000" w:rsidDel="00000000" w:rsidP="00000000" w:rsidRDefault="00000000" w:rsidRPr="00000000" w14:paraId="000008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reading the chapter, neophyte defenders of the Constitution would have a more than nodding acquaintance with such important principles as stare decisis; incidenter and principaliter; and the commonly heard but often misunderstood certiorari. I am equally sure that seasoned constitutional law lovers would be just as charmed, because they would find depth and breadth in his presentation and analysis.</w:t>
      </w:r>
    </w:p>
    <w:p w:rsidR="00000000" w:rsidDel="00000000" w:rsidP="00000000" w:rsidRDefault="00000000" w:rsidRPr="00000000" w14:paraId="00000851">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Passion for Authority and Certainty</w:t>
      </w:r>
    </w:p>
    <w:p w:rsidR="00000000" w:rsidDel="00000000" w:rsidP="00000000" w:rsidRDefault="00000000" w:rsidRPr="00000000" w14:paraId="000008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Mendoza’s passion for authority and certainly is reflected in his choice of cases to illustrate his teachings: Marbury v. Madison and Angara v. Electoral Commission, as earlier mentioned, for the historical bases of judicial review; and Muskrat v. United States, Halls v. Beals, Alunan v. Mirasol, Kilosbayan v. Morato and Tan v. Macapagal, for the conditions for the exercise of judicial review.</w:t>
      </w:r>
    </w:p>
    <w:p w:rsidR="00000000" w:rsidDel="00000000" w:rsidP="00000000" w:rsidRDefault="00000000" w:rsidRPr="00000000" w14:paraId="000008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latter topic, he explains clearly the requirements of “case and controversy” and the exceptions thereto; namely, “(1) where the case is capable of repetition yet evading review; (2) where it has been rendered moot by the unilateral act of the defendant but there is reasonable ground to believe that the wrong complained of will be repeated; and (3) where the case has collateral consequences.” (p. 107)</w:t>
      </w:r>
    </w:p>
    <w:p w:rsidR="00000000" w:rsidDel="00000000" w:rsidP="00000000" w:rsidRDefault="00000000" w:rsidRPr="00000000" w14:paraId="000008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his gilt-edge ponencias, he emphasizes the need for the “standing” or locus standi of the plaintiff. Again, by a deft choice of cases, he effectively illustrates the crucial ramifications of standing -- be it in relation to citizens’ actions or taxpayers’ suits; or when used to assert the constitutional rights of others; or when employed by a legislator to challenge acts that violate legislative prerogatives. His incisive discussion of what a political question is and what its elements are should be a required reading not only for students, but also for lawyers and judges alike.</w:t>
      </w:r>
    </w:p>
    <w:p w:rsidR="00000000" w:rsidDel="00000000" w:rsidP="00000000" w:rsidRDefault="00000000" w:rsidRPr="00000000" w14:paraId="000008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notes on collateral legal consequences as a bar to mootness (pp. 133-137) are particularly riveting, in the light of the Supreme Court's renewed vigor in discharging its symbolic teaching function along the lines espoused decades earlier by Dean Eugene Rostow of Yale.</w:t>
      </w:r>
    </w:p>
    <w:p w:rsidR="00000000" w:rsidDel="00000000" w:rsidP="00000000" w:rsidRDefault="00000000" w:rsidRPr="00000000" w14:paraId="00000856">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Master and Connoisseur par Excellence</w:t>
      </w:r>
    </w:p>
    <w:p w:rsidR="00000000" w:rsidDel="00000000" w:rsidP="00000000" w:rsidRDefault="00000000" w:rsidRPr="00000000" w14:paraId="000008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cap his authoritative volume, Justice Mendoza quotes liberally from his favorite scholars, including Learned Hand, Herbert Wechsler, Alexander Bickel, and his close friend and co-author Paul A. Freund.</w:t>
      </w:r>
    </w:p>
    <w:p w:rsidR="00000000" w:rsidDel="00000000" w:rsidP="00000000" w:rsidRDefault="00000000" w:rsidRPr="00000000" w14:paraId="000008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due respect, I believe, however, that he did not really need these versed scholars of the law to prove his theses. He has written enough decisions in the Court to demonstrate, without “mystic overtones,” that judicial review by the Court is justified only to decide live cases -- not to answer academic issues of law, much less to satisfy curiosity over political questions. He has shown more than enough intellectual gravitas, such that -- singly and independently -- he can argue convincingly and authoritatively. Indeed, he did not have to point to any authority, for in Philippine constitutional law, he is the master and connoisseur par excellence.</w:t>
      </w:r>
    </w:p>
    <w:p w:rsidR="00000000" w:rsidDel="00000000" w:rsidP="00000000" w:rsidRDefault="00000000" w:rsidRPr="00000000" w14:paraId="000008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I must congratulate Justice Mendoza for his latest opus. In many senses, this book is really a systematic and flawless exposition of what he holds dear in his heart. It is distinctively and characteristically Mr. Justice Mendoza at his finest. I invite all of you, ladies and gentlemen, to pore over and enjoy this intellectual masterpiece, this vital volume from our veracious and venerable magistrate.</w:t>
      </w:r>
    </w:p>
    <w:p w:rsidR="00000000" w:rsidDel="00000000" w:rsidP="00000000" w:rsidRDefault="00000000" w:rsidRPr="00000000" w14:paraId="000008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hanging="288"/>
        <w:jc w:val="both"/>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ind w:firstLine="0"/>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5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Appendix B</w:t>
      </w:r>
    </w:p>
    <w:p w:rsidR="00000000" w:rsidDel="00000000" w:rsidP="00000000" w:rsidRDefault="00000000" w:rsidRPr="00000000" w14:paraId="0000085E">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Brilliant, Versatile and Venerable</w:t>
      </w:r>
    </w:p>
    <w:p w:rsidR="00000000" w:rsidDel="00000000" w:rsidP="00000000" w:rsidRDefault="00000000" w:rsidRPr="00000000" w14:paraId="0000085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Brilliant, versatile and venerable. These three words sum up my overall impression of Father Joaquin G. Bernas, SJ. He is a Jesuit priest, lawyer, educator, author, journalist, constitution maker, spiritual guru, business adviser and civic leader par excellence. One who regularly reads his incisive newspaper columns would think that opinion writing is his main vocation. One who hears his inspiring homilies would easily conclude that priesthood must occupy all his attention. Indeed, he excels in everything he does. The same degree of excellence characterizes his every pursuit.</w:t>
      </w:r>
    </w:p>
    <w:p w:rsidR="00000000" w:rsidDel="00000000" w:rsidP="00000000" w:rsidRDefault="00000000" w:rsidRPr="00000000" w14:paraId="000008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however, I would like to pay tribute to him as a respected gentleman of the law. I am now on my tenth year as a member of the Supreme Court and, during all that time outside the hallowed halls of our highest tribunal, no one else but he has played a more significant role in shaping constitutional law jurisprudence. His monumental treatises on the 1973 and the 1987 Constitution are the virtual political law bibles in our country. No decision touching on the Constitution is ever complete or correct without citing Fr. Bernas.</w:t>
      </w:r>
    </w:p>
    <w:p w:rsidR="00000000" w:rsidDel="00000000" w:rsidP="00000000" w:rsidRDefault="00000000" w:rsidRPr="00000000" w14:paraId="000008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wonder he is the favorite amicus curiae of the Court. Very rare (less than once a year on the average) are the occasions when the Tribunal calls on amici; but on almost all those occasions during my incumbency, he has been invited to enlighten us in tackling the most perplexing litigations.[1] Indeed, during my almost a decade of being a justice, no one else has been invited for as many times.</w:t>
      </w:r>
    </w:p>
    <w:p w:rsidR="00000000" w:rsidDel="00000000" w:rsidP="00000000" w:rsidRDefault="00000000" w:rsidRPr="00000000" w14:paraId="000008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not always agreed with him,[2] but I have always welcomed his views on all important constitutional issues facing the Court. It is easy to agree with him, because he backs up his views with disciplined wisdom, untrammeled authority and methodized logic. By the same token, it is very difficult -- even dangerous -- to disagree with him, lest in the process one is exposed as an unfettered ignoramus; or, worse, as an eclectic fool.</w:t>
      </w:r>
    </w:p>
    <w:p w:rsidR="00000000" w:rsidDel="00000000" w:rsidP="00000000" w:rsidRDefault="00000000" w:rsidRPr="00000000" w14:paraId="000008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firmly believe that Fr. Bernas is extremely qualified to be a member of the Supreme Court. I recall that several years ago, then Chief Justice Andres R. Narvasa -- who also chaired the Judicial and Bar Council -- informally asked the justices for nominations to the vacancy in the Court then. Among the many legal eagles suggested, only one was the unanimous choice: Joaquin G. Bernas. But when informed of the justices’ choice, he respectfully declined.</w:t>
      </w:r>
    </w:p>
    <w:p w:rsidR="00000000" w:rsidDel="00000000" w:rsidP="00000000" w:rsidRDefault="00000000" w:rsidRPr="00000000" w14:paraId="000008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never known for certain why he opted out. However, I can say with personal conviction that his refusal was a testament to his integrity. He did not want to be restricted from expressing his views publicly. He preferred the role of a sage -- a guide for decision-makers in government, in business and in the personal sphere -- unbound by the distance and ethical limitations of a magistrate. And he chose to influence people on a simpler and more personal level.</w:t>
      </w:r>
    </w:p>
    <w:p w:rsidR="00000000" w:rsidDel="00000000" w:rsidP="00000000" w:rsidRDefault="00000000" w:rsidRPr="00000000" w14:paraId="000008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certain that his appointment to the Supreme Court would have been a shining moment in our judicial history. But like the very humble Jesus who is happiest when tending His sheep, he chose to continue dedicating his life to the Lord as a personal shepherd to His flock.</w:t>
      </w:r>
    </w:p>
    <w:p w:rsidR="00000000" w:rsidDel="00000000" w:rsidP="00000000" w:rsidRDefault="00000000" w:rsidRPr="00000000" w14:paraId="0000086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6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Appendix C</w:t>
      </w:r>
    </w:p>
    <w:p w:rsidR="00000000" w:rsidDel="00000000" w:rsidP="00000000" w:rsidRDefault="00000000" w:rsidRPr="00000000" w14:paraId="0000086C">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Century of Service Above Self</w:t>
      </w:r>
    </w:p>
    <w:p w:rsidR="00000000" w:rsidDel="00000000" w:rsidP="00000000" w:rsidRDefault="00000000" w:rsidRPr="00000000" w14:paraId="0000086D">
      <w:pPr>
        <w:pStyle w:val="Heading2"/>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8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your chairman, Governor Guiller E. Tumangan, for this privilege of breaking bread with the Philippine College of Rotary Governors (PCRG), the royal family of Rotary in our country.</w:t>
      </w:r>
    </w:p>
    <w:p w:rsidR="00000000" w:rsidDel="00000000" w:rsidP="00000000" w:rsidRDefault="00000000" w:rsidRPr="00000000" w14:paraId="000008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occasion marks my second invitation from Governor Guiller. The first one was six years ago, on June 29, 1999, when I was guest of honor and inducting officer of his very own District 3830, including the 57 club presidents composing the district. Now, Governor Guiller confers on me even greater honor by requesting me to induct not just one governor, but several governors comprising the officialdom of PCRG.</w:t>
      </w:r>
    </w:p>
    <w:p w:rsidR="00000000" w:rsidDel="00000000" w:rsidP="00000000" w:rsidRDefault="00000000" w:rsidRPr="00000000" w14:paraId="000008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all know, I am a Rotarian. And proud to be one! Prior to my appointment to the Supreme Court ten years ago in 1995, I was active in about fifteen organizations, from all of which I had to resign. By policy and practice, members of the High Court divest themselves of nonjudicial activities upon assuming office.</w:t>
      </w:r>
    </w:p>
    <w:p w:rsidR="00000000" w:rsidDel="00000000" w:rsidP="00000000" w:rsidRDefault="00000000" w:rsidRPr="00000000" w14:paraId="000008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case, however, I begged the Court to allow me to retain my membership in the Rotary Club of Manila (RCM). I explained that although some Rotarians might have pending court litigations, I was sure they would not use their Rotary membership as an excuse to influence judicial decisions. After all, Rotary is not a social club, and membership is not used for selfish or private gain. Besides, prior to my appointment to the Supreme Court, there were other magistrates -- like Justices George Malcolm, Edgardo Paras, and Teodoro Padilla -- who were Manila Rotarians.</w:t>
      </w:r>
    </w:p>
    <w:p w:rsidR="00000000" w:rsidDel="00000000" w:rsidP="00000000" w:rsidRDefault="00000000" w:rsidRPr="00000000" w14:paraId="000008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Incidentally, may I also say that it was in the RCM where I met President Fidel V. Ramos who, upon appointing me to the Court, told me that my being his fellow Rotarian had enabled him to gauge my qualifications at close range. If I had not joined Rotary, perhaps I would never have met our former President, and perhaps I would not be in the highest tribunal now.</w:t>
      </w:r>
    </w:p>
    <w:p w:rsidR="00000000" w:rsidDel="00000000" w:rsidP="00000000" w:rsidRDefault="00000000" w:rsidRPr="00000000" w14:paraId="000008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owe Rotary many things. My only regret is that I never became a governor and, hence, I am not qualified to be a member of your exclusive society of the Rotary elite. I envy several of my classmates, who served during the “Golden Year” of Governor Vince Carlos in 1990-1991 and became governors, like Joc-joc Bolante, Sonny Coloma, Ernie Salas, and Danny Yu.</w:t>
      </w:r>
    </w:p>
    <w:p w:rsidR="00000000" w:rsidDel="00000000" w:rsidP="00000000" w:rsidRDefault="00000000" w:rsidRPr="00000000" w14:paraId="000008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Bagaman ganoon, masaya pa rin ako. Kahit ako’y isang abang Rotarian na hindi karapat dapat maging miyembro ng PCRG, minarapat ninyong ako’y pumarito at makihalubilo sa pambihirang pagkakataong ito -- ang gabi ng parangal sa mga pinakamataas na pinuno ng Rotary sa ating bayan.</w:t>
      </w:r>
    </w:p>
    <w:p w:rsidR="00000000" w:rsidDel="00000000" w:rsidP="00000000" w:rsidRDefault="00000000" w:rsidRPr="00000000" w14:paraId="000008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ten years in our highest court, I am proud to say that no Rotarian has ever tried to use his membership to gain any selfish or private advantage in any pending court litigation. Neither have I been influenced in my decisions, even when I knew that at least one of the parties was a Rotarian.</w:t>
      </w:r>
    </w:p>
    <w:p w:rsidR="00000000" w:rsidDel="00000000" w:rsidP="00000000" w:rsidRDefault="00000000" w:rsidRPr="00000000" w14:paraId="000008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such are the rules we live by. My years as a Rotarian[1] and as Rotary president[2] have crystallized the Rotarian credos of truth, fairness, goodwill, better friendship and beneficial service. It has likewise rooted in me the motto all Rotarians know and practice by heart, which is “Service Above Self.”</w:t>
      </w:r>
    </w:p>
    <w:p w:rsidR="00000000" w:rsidDel="00000000" w:rsidP="00000000" w:rsidRDefault="00000000" w:rsidRPr="00000000" w14:paraId="000008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Rotary values imbedded in our Four-Way Test have served me well in the judiciary and continued to be my guiding lights in my personal quest for service, excellence and truth (SET). Over the years, these ideals have been distilled into an advocacy I refer to as the “Three Es” -- Excellence, Ethics and Eternity.</w:t>
      </w:r>
    </w:p>
    <w:p w:rsidR="00000000" w:rsidDel="00000000" w:rsidP="00000000" w:rsidRDefault="00000000" w:rsidRPr="00000000" w14:paraId="000008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than just an amalgam of ideas, to me the Three Es represent a life philosophy and a work ethic that characterize every great and noble endeavor. In that sense, the Three Es embody the Rotarian spirit of service. As my message tonight, let me explain the Three E values one by one.</w:t>
      </w:r>
    </w:p>
    <w:p w:rsidR="00000000" w:rsidDel="00000000" w:rsidP="00000000" w:rsidRDefault="00000000" w:rsidRPr="00000000" w14:paraId="00000879">
      <w:pPr>
        <w:pStyle w:val="Heading2"/>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Excellence: Aiming for the Best</w:t>
      </w:r>
    </w:p>
    <w:p w:rsidR="00000000" w:rsidDel="00000000" w:rsidP="00000000" w:rsidRDefault="00000000" w:rsidRPr="00000000" w14:paraId="000008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take up excellence. Rotary demands not only service for others, but service above self. That means the best service possible. It is service devoted to excellence – service born of love and sacrifice.</w:t>
      </w:r>
    </w:p>
    <w:p w:rsidR="00000000" w:rsidDel="00000000" w:rsidP="00000000" w:rsidRDefault="00000000" w:rsidRPr="00000000" w14:paraId="000008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Rotary work is voluntary, it is undertaken without expectation of any reward or compensation. Members perform their civic and humanitarian endeavors, not out of a sense of compulsion, but out of a voluntary desire to do them.</w:t>
      </w:r>
    </w:p>
    <w:p w:rsidR="00000000" w:rsidDel="00000000" w:rsidP="00000000" w:rsidRDefault="00000000" w:rsidRPr="00000000" w14:paraId="000008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giving the best in themselves, Rotarians also inspire the best in others. Excellence is the hallmark of awards sponsored and/or supported by the Rotary, such as those for outstanding journalists, workers and teachers; scholarship grants to deserving students; exchange study teams; and various oratorical, essay-writing and choral contests. Indeed, excellence is the essence of our four avenues of service.</w:t>
      </w:r>
    </w:p>
    <w:p w:rsidR="00000000" w:rsidDel="00000000" w:rsidP="00000000" w:rsidRDefault="00000000" w:rsidRPr="00000000" w14:paraId="000008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7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Ethics: Service with a Conscience</w:t>
      </w:r>
    </w:p>
    <w:p w:rsidR="00000000" w:rsidDel="00000000" w:rsidP="00000000" w:rsidRDefault="00000000" w:rsidRPr="00000000" w14:paraId="000008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excellence is not enough. I believe that in addition to doing their best, Rotarians must observe the second E which stands for ethics. The “ABCs of Rotary,” authored by past Rotary International (RI) President Cliff Dochterman, is a testament to this truth, because Rotary “encourages high ethical standards in all vocations.”</w:t>
      </w:r>
    </w:p>
    <w:p w:rsidR="00000000" w:rsidDel="00000000" w:rsidP="00000000" w:rsidRDefault="00000000" w:rsidRPr="00000000" w14:paraId="000008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said that there is no better time to test ethical conduct than during periods of great stress and adversity. Herbert J. Taylor’s 24-word Rotary Code of Conduct, now known as the Four-Way Test, was born of the Great Depression of the 30s in the United States. Then at the helm of the near-bankrupt Club Aluminum Company, Rotarian Taylor had used the test as an ethical compass in dealing with employees, customers, dealers and suppliers. Enthused by the spirit of ethical and fair dealings, the company turned its back on businesses that failed one or more of the four standards. Nonetheless, the fortunes of the company turned around. It paid off its debts. Over the next 15 years, it became profitable enough to pay out $1 million in dividends. It also rebuilt itself with a net worth of $2 million. Today, these amounts translate to hundreds of millions of dollars.</w:t>
      </w:r>
    </w:p>
    <w:p w:rsidR="00000000" w:rsidDel="00000000" w:rsidP="00000000" w:rsidRDefault="00000000" w:rsidRPr="00000000" w14:paraId="000008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 Depression years, our recent circumstances in this country are similarly trying, even perplexing. In these times of self-centeredness and selfishness, rising above perverted norms and distorted structures is a tall order. But not impossible. We only need to look at our recent history for assurance that men and women could tower over adversity and selflessly give of themselves to others in spite of the great costs.</w:t>
      </w:r>
    </w:p>
    <w:p w:rsidR="00000000" w:rsidDel="00000000" w:rsidP="00000000" w:rsidRDefault="00000000" w:rsidRPr="00000000" w14:paraId="000008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our world of shortcuts and make-believe, society has bastardized ethics into public relations techniques. Instead of emphasizing the Ethical Standards Law, our so-called leaders display double standards -- one for kin and friends, another for the rest of mankind; engage in doublespeak or talk of one thing and do quite another; and employ so-called “spin doctors” who try to create for them an image of public acceptability, without a change of old habits and ways.</w:t>
      </w:r>
    </w:p>
    <w:p w:rsidR="00000000" w:rsidDel="00000000" w:rsidP="00000000" w:rsidRDefault="00000000" w:rsidRPr="00000000" w14:paraId="000008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these leaders are projected as great orators, when they merely memorize ghost-written speeches they barely understand; as charitable persons giving alms to the poor, when in truth they are merely dishing out crumbs from ill-gotten money; and as model spouses or parents, when all the while they are cohabiting with several lovers with whom they have several children.</w:t>
      </w:r>
    </w:p>
    <w:p w:rsidR="00000000" w:rsidDel="00000000" w:rsidP="00000000" w:rsidRDefault="00000000" w:rsidRPr="00000000" w14:paraId="000008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duplicity is fundamentally flawed. Instead of being a beacon of success and happiness, pretension is really a source of anxiety and frustration, because the subject knows that the public image is false or dishonest. It does not represent reality. Yes, duplicity is the opposite of integrity. It is a malaise that befuddles the inner fabric of society and is the cause of many national ills. As a result, our character as a people has been subverted.</w:t>
      </w:r>
    </w:p>
    <w:p w:rsidR="00000000" w:rsidDel="00000000" w:rsidP="00000000" w:rsidRDefault="00000000" w:rsidRPr="00000000" w14:paraId="000008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interesting to note that more than 90 percent of our people are Christians who profess to know, to follow and to serve Jesus Christ -- the God who preached that the truth shall set us free; the God who condemned violence, adultery, selfishness and corruption. In more secular language, we note that our core institutions in the Philippines are theoretically unassailable, as they are well-rooted. Thus, our people are devoted to democracy, our media is free, our nongovernment groups are militant, our economy liberalized and our judiciary independent.</w:t>
      </w:r>
    </w:p>
    <w:p w:rsidR="00000000" w:rsidDel="00000000" w:rsidP="00000000" w:rsidRDefault="00000000" w:rsidRPr="00000000" w14:paraId="000008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Why, then, is our country one of the poorest, most graft-ridden and most violent in this part of the world? The Catholic Church’s answer to this question is that Christians lead dichotomized lives: they are Christians only in their thoughts, but not in their actions; Christians only in their faith, but not in their deeds; Christians only while worshipping inside the churches, but not while working in their offices.</w:t>
      </w:r>
    </w:p>
    <w:p w:rsidR="00000000" w:rsidDel="00000000" w:rsidP="00000000" w:rsidRDefault="00000000" w:rsidRPr="00000000" w14:paraId="000008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secular language, our leaders live duplicitous lives -- lives shaped by public relations techniques, not by ethics; by pretension, not by truth; by deceit, not by integrity. The result is not only personal disillusionment of the individual, but degradation of society as well.</w:t>
      </w:r>
    </w:p>
    <w:p w:rsidR="00000000" w:rsidDel="00000000" w:rsidP="00000000" w:rsidRDefault="00000000" w:rsidRPr="00000000" w14:paraId="000008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solution? A return to ethics -- to the “old- fashioned” ethical values of integrity, courage, hard work, humility, honor and rectitude. To change society, to change our government, what we need is not just a change of leaders during periodic elections, but a change in leaders from the inside out. The change we are looking for embraces the whole person -- the head, so as to know which traits and habits have to be reformed; the heart, so as to have the will and the courage to change; and hands and feet, so as to actually implement the reforms willed.</w:t>
      </w:r>
    </w:p>
    <w:p w:rsidR="00000000" w:rsidDel="00000000" w:rsidP="00000000" w:rsidRDefault="00000000" w:rsidRPr="00000000" w14:paraId="0000088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8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Eternity: for the Hereafter and Forever</w:t>
      </w:r>
    </w:p>
    <w:p w:rsidR="00000000" w:rsidDel="00000000" w:rsidP="00000000" w:rsidRDefault="00000000" w:rsidRPr="00000000" w14:paraId="000008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work in the Rotary is our joy not only for the here and now, but really and truly for our anointment in the hereafter and forever. At the end of the day, our lives will be measured not in terms of how much money we have accumulated, how many titles and diplomas we have received, or what high government positions we have occupied. In no time, these things will escape the memories of those we leave behind. Rather, our deeds will be quantified by how many times we went the extra mile and beyond ourselves in helping the marginalized, feeding the hungry, sheltering the homeless, healing the sick and protecting the oppressed.</w:t>
      </w:r>
    </w:p>
    <w:p w:rsidR="00000000" w:rsidDel="00000000" w:rsidP="00000000" w:rsidRDefault="00000000" w:rsidRPr="00000000" w14:paraId="000008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are the essentials that live on forever. All Rotarians believe in eternity. That is why we start our meetings with an “Invocation” or a “Doxology.” We never for a moment believe that our lives on earth are the only ones we have been gifted with by our God. Rather, we believe that there is life after death, that there is eternity where our final destiny lies.</w:t>
      </w:r>
    </w:p>
    <w:p w:rsidR="00000000" w:rsidDel="00000000" w:rsidP="00000000" w:rsidRDefault="00000000" w:rsidRPr="00000000" w14:paraId="000008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there are human and physical laws, there are also spiritual laws. Just as there are sanctions for the violation of human and physical laws, there are penalties for the transgression of God’s commands. For example, civil law protects contracts; a person who breaks them may be liable for damages. In the same manner, one who injures another violates criminal or penal laws and is jailed as a consequence. So, too, violation of the laws of physics impels consequences; hence, one who jumps out of a window falls to the ground and injures oneself in accordance with the law of gravity.</w:t>
      </w:r>
    </w:p>
    <w:p w:rsidR="00000000" w:rsidDel="00000000" w:rsidP="00000000" w:rsidRDefault="00000000" w:rsidRPr="00000000" w14:paraId="000008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spiritual laws operate on our spirits whether we like it or not. When one transgresses the spiritual laws, one’s spirit suffers the necessary consequences by being damned for eternity. But just as there are reparations for violations of human and physical laws, there is also salvation from our sins -- through repentance, restitution and reformation.</w:t>
      </w:r>
    </w:p>
    <w:p w:rsidR="00000000" w:rsidDel="00000000" w:rsidP="00000000" w:rsidRDefault="00000000" w:rsidRPr="00000000" w14:paraId="000008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 we Rotarians believe that life here on earth is only a brief sojourn in our journey to eternal life. This realization is powerfully enlightening and liberating. Enlightening, because it makes us more conscious of who we really are, what we are here for, and how we must act to merit eternal happiness. Liberating, because it allows us to break free from the narrow confines and concerns of temporal beings and to project ourselves towards everlasting life.</w:t>
      </w:r>
    </w:p>
    <w:p w:rsidR="00000000" w:rsidDel="00000000" w:rsidP="00000000" w:rsidRDefault="00000000" w:rsidRPr="00000000" w14:paraId="000008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Rotary enters a new century of service to humanity, I am certain that its mission will be continually fired up by the same spirit of everlasting service above self, which has inflamed the PCRG since its creation in 1971.</w:t>
      </w:r>
    </w:p>
    <w:p w:rsidR="00000000" w:rsidDel="00000000" w:rsidP="00000000" w:rsidRDefault="00000000" w:rsidRPr="00000000" w14:paraId="000008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may I reiterate my congratulations to Governor Guiller E. Tumangan and his fellow officers for the renewal of their commitment to another century of service above self. I would like to believe that the E in Governor Guiller’s name stands not only for his mother’s surname, but also for the three enduring values of excellence, ethics and eternity.</w:t>
      </w:r>
    </w:p>
    <w:p w:rsidR="00000000" w:rsidDel="00000000" w:rsidP="00000000" w:rsidRDefault="00000000" w:rsidRPr="00000000" w14:paraId="000008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Mabuhay po kayong lahat!</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16" w:right="0" w:hanging="216"/>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16" w:right="0" w:hanging="216"/>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sectPr>
      <w:footerReference r:id="rId9" w:type="default"/>
      <w:pgSz w:h="15840" w:w="12240" w:orient="portrait"/>
      <w:pgMar w:bottom="1123" w:top="1123"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252.00000000000003"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00" w:lineRule="auto"/>
      <w:jc w:val="center"/>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before="200" w:lineRule="auto"/>
      <w:jc w:val="left"/>
    </w:pPr>
    <w:rPr>
      <w:rFonts w:ascii="Calibri" w:cs="Calibri" w:eastAsia="Calibri" w:hAnsi="Calibri"/>
      <w:b w:val="1"/>
      <w:bCs w:val="1"/>
      <w:color w:val="4f81bd"/>
      <w:sz w:val="25"/>
      <w:szCs w:val="25"/>
    </w:rPr>
  </w:style>
  <w:style w:type="paragraph" w:styleId="Heading3">
    <w:name w:val="heading 3"/>
    <w:basedOn w:val="Normal"/>
    <w:next w:val="Normal"/>
    <w:pPr>
      <w:keepNext w:val="1"/>
      <w:keepLines w:val="1"/>
      <w:spacing w:after="160" w:before="200" w:lineRule="auto"/>
      <w:jc w:val="center"/>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200" w:line="240" w:lineRule="auto"/>
      <w:jc w:val="center"/>
    </w:pPr>
    <w:rPr>
      <w:rFonts w:ascii="Calibri" w:cs="Calibri" w:eastAsia="Calibri" w:hAnsi="Calibri"/>
      <w:b w:val="1"/>
      <w:bCs w:val="1"/>
      <w:color w:val="17365d"/>
      <w:sz w:val="46"/>
      <w:szCs w:val="4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ootnoteBlock" w:customStyle="1">
    <w:name w:val="Footnote Block"/>
    <w:pPr>
      <w:spacing w:after="40"/>
      <w:ind w:left="288"/>
      <w:jc w:val="both"/>
    </w:pPr>
    <w:rPr>
      <w:rFonts w:ascii="Times New Roman" w:eastAsia="Times New Roman" w:hAnsi="Times New Roman"/>
      <w:sz w:val="17"/>
    </w:rPr>
  </w:style>
  <w:style w:type="paragraph" w:styleId="IndexEntry" w:customStyle="1">
    <w:name w:val="Index Entry"/>
    <w:pPr>
      <w:spacing w:after="0" w:line="228" w:lineRule="auto"/>
      <w:ind w:left="216"/>
    </w:pPr>
    <w:rPr>
      <w:rFonts w:ascii="Times New Roman" w:eastAsia="Times New Roman" w:hAnsi="Times New Roman"/>
      <w:sz w:val="18"/>
    </w:rPr>
  </w:style>
  <w:style w:type="paragraph" w:styleId="Subtitle">
    <w:name w:val="Subtitle"/>
    <w:basedOn w:val="Normal"/>
    <w:next w:val="Normal"/>
    <w:pPr>
      <w:ind w:firstLine="360"/>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www.supremecourt.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EuIj3iLO8EAFwjXJORGyWgmyw==">CgMxLjAyDWguMmU5ZGxwNG45cXc4AHIhMU43REZkYjRqOHpKczRQUEVEVUtMVC1BQU1NRzBLd0JN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Justice Artemio V. Panganiban</dc:creator>
</cp:coreProperties>
</file>