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196850</wp:posOffset>
            </wp:positionH>
            <wp:positionV relativeFrom="paragraph">
              <wp:posOffset>158750</wp:posOffset>
            </wp:positionV>
            <wp:extent cx="5384800" cy="7848727"/>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4800" cy="7848727"/>
                    </a:xfrm>
                    <a:prstGeom prst="rect"/>
                    <a:ln/>
                  </pic:spPr>
                </pic:pic>
              </a:graphicData>
            </a:graphic>
          </wp:anchor>
        </w:drawing>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0" w:before="120" w:lineRule="auto"/>
        <w:jc w:val="left"/>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left"/>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D">
      <w:pPr>
        <w:spacing w:before="1440" w:lineRule="auto"/>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1E">
      <w:pPr>
        <w:spacing w:after="120" w:before="120" w:lineRule="auto"/>
        <w:jc w:val="center"/>
        <w:rPr>
          <w:rFonts w:ascii="Georgia" w:cs="Georgia" w:eastAsia="Georgia" w:hAnsi="Georgia"/>
          <w:b w:val="1"/>
          <w:bCs w:val="1"/>
          <w:sz w:val="54"/>
          <w:szCs w:val="54"/>
        </w:rPr>
      </w:pPr>
      <w:r w:rsidDel="00000000" w:rsidR="00000000" w:rsidRPr="00000000">
        <w:rPr>
          <w:rFonts w:ascii="Georgia" w:cs="Georgia" w:eastAsia="Georgia" w:hAnsi="Georgia"/>
          <w:b w:val="1"/>
          <w:bCs w:val="1"/>
          <w:sz w:val="54"/>
          <w:szCs w:val="54"/>
          <w:rtl w:val="0"/>
        </w:rPr>
        <w:t xml:space="preserve">THE BIO-AGE </w:t>
      </w:r>
    </w:p>
    <w:p w:rsidR="00000000" w:rsidDel="00000000" w:rsidP="00000000" w:rsidRDefault="00000000" w:rsidRPr="00000000" w14:paraId="0000001F">
      <w:pPr>
        <w:spacing w:after="120" w:before="120" w:lineRule="auto"/>
        <w:jc w:val="center"/>
        <w:rPr>
          <w:rFonts w:ascii="Georgia" w:cs="Georgia" w:eastAsia="Georgia" w:hAnsi="Georgia"/>
          <w:b w:val="1"/>
          <w:bCs w:val="1"/>
          <w:sz w:val="54"/>
          <w:szCs w:val="54"/>
        </w:rPr>
      </w:pPr>
      <w:r w:rsidDel="00000000" w:rsidR="00000000" w:rsidRPr="00000000">
        <w:rPr>
          <w:rFonts w:ascii="Georgia" w:cs="Georgia" w:eastAsia="Georgia" w:hAnsi="Georgia"/>
          <w:b w:val="1"/>
          <w:bCs w:val="1"/>
          <w:sz w:val="54"/>
          <w:szCs w:val="54"/>
          <w:rtl w:val="0"/>
        </w:rPr>
        <w:t xml:space="preserve">DAWNS ON THE </w:t>
      </w:r>
    </w:p>
    <w:p w:rsidR="00000000" w:rsidDel="00000000" w:rsidP="00000000" w:rsidRDefault="00000000" w:rsidRPr="00000000" w14:paraId="00000020">
      <w:pPr>
        <w:spacing w:after="120" w:before="120" w:lineRule="auto"/>
        <w:jc w:val="center"/>
        <w:rPr>
          <w:rFonts w:ascii="Georgia" w:cs="Georgia" w:eastAsia="Georgia" w:hAnsi="Georgia"/>
          <w:sz w:val="54"/>
          <w:szCs w:val="54"/>
        </w:rPr>
      </w:pPr>
      <w:r w:rsidDel="00000000" w:rsidR="00000000" w:rsidRPr="00000000">
        <w:rPr>
          <w:rFonts w:ascii="Georgia" w:cs="Georgia" w:eastAsia="Georgia" w:hAnsi="Georgia"/>
          <w:b w:val="1"/>
          <w:bCs w:val="1"/>
          <w:sz w:val="54"/>
          <w:szCs w:val="54"/>
          <w:rtl w:val="0"/>
        </w:rPr>
        <w:t xml:space="preserve">JUDICIARY</w:t>
      </w:r>
      <w:r w:rsidDel="00000000" w:rsidR="00000000" w:rsidRPr="00000000">
        <w:rPr>
          <w:rtl w:val="0"/>
        </w:rPr>
      </w:r>
    </w:p>
    <w:p w:rsidR="00000000" w:rsidDel="00000000" w:rsidP="00000000" w:rsidRDefault="00000000" w:rsidRPr="00000000" w14:paraId="00000021">
      <w:pPr>
        <w:spacing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2">
      <w:pPr>
        <w:spacing w:befor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by</w:t>
      </w:r>
    </w:p>
    <w:p w:rsidR="00000000" w:rsidDel="00000000" w:rsidP="00000000" w:rsidRDefault="00000000" w:rsidRPr="00000000" w14:paraId="00000023">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Justice ARTEMIO V. PANGANIBAN</w:t>
      </w:r>
    </w:p>
    <w:p w:rsidR="00000000" w:rsidDel="00000000" w:rsidP="00000000" w:rsidRDefault="00000000" w:rsidRPr="00000000" w14:paraId="00000024">
      <w:pPr>
        <w:spacing w:befor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5">
      <w:pPr>
        <w:spacing w:after="120" w:before="120"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26">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center"/>
        <w:rPr>
          <w:rFonts w:ascii="Georgia" w:cs="Georgia" w:eastAsia="Georgia" w:hAnsi="Georgia"/>
          <w:color w:val="000000"/>
          <w:sz w:val="30"/>
          <w:szCs w:val="30"/>
        </w:rPr>
      </w:pPr>
      <w:r w:rsidDel="00000000" w:rsidR="00000000" w:rsidRPr="00000000">
        <w:rPr>
          <w:rFonts w:ascii="Georgia" w:cs="Georgia" w:eastAsia="Georgia" w:hAnsi="Georgia"/>
          <w:color w:val="000000"/>
          <w:sz w:val="30"/>
          <w:szCs w:val="30"/>
          <w:rtl w:val="0"/>
        </w:rPr>
        <w:t xml:space="preserve">Foreword</w:t>
      </w:r>
    </w:p>
    <w:p w:rsidR="00000000" w:rsidDel="00000000" w:rsidP="00000000" w:rsidRDefault="00000000" w:rsidRPr="00000000" w14:paraId="00000028">
      <w:pPr>
        <w:spacing w:after="120" w:before="120" w:lineRule="auto"/>
        <w:jc w:val="center"/>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29">
      <w:pPr>
        <w:spacing w:after="120" w:before="12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ab/>
        <w:t xml:space="preserve">           FROM THE CHAMBERS OF </w:t>
      </w:r>
    </w:p>
    <w:p w:rsidR="00000000" w:rsidDel="00000000" w:rsidP="00000000" w:rsidRDefault="00000000" w:rsidRPr="00000000" w14:paraId="0000002A">
      <w:pPr>
        <w:spacing w:after="120" w:before="120" w:lineRule="auto"/>
        <w:ind w:left="0" w:firstLine="0"/>
        <w:jc w:val="left"/>
        <w:rPr>
          <w:rFonts w:ascii="Georgia" w:cs="Georgia" w:eastAsia="Georgia" w:hAnsi="Georgia"/>
          <w:b w:val="1"/>
          <w:bCs w:val="1"/>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       Hilario G. Davide Jr.</w:t>
      </w:r>
    </w:p>
    <w:p w:rsidR="00000000" w:rsidDel="00000000" w:rsidP="00000000" w:rsidRDefault="00000000" w:rsidRPr="00000000" w14:paraId="0000002B">
      <w:pPr>
        <w:spacing w:after="120" w:before="120" w:lineRule="auto"/>
        <w:ind w:left="0" w:firstLine="0"/>
        <w:jc w:val="left"/>
        <w:rPr>
          <w:rFonts w:ascii="Georgia" w:cs="Georgia" w:eastAsia="Georgia" w:hAnsi="Georgia"/>
          <w:sz w:val="18"/>
          <w:szCs w:val="18"/>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8"/>
          <w:szCs w:val="18"/>
          <w:rtl w:val="0"/>
        </w:rPr>
        <w:t xml:space="preserve">CHIEF JUSTICE</w:t>
      </w:r>
    </w:p>
    <w:p w:rsidR="00000000" w:rsidDel="00000000" w:rsidP="00000000" w:rsidRDefault="00000000" w:rsidRPr="00000000" w14:paraId="0000002C">
      <w:pPr>
        <w:spacing w:after="80" w:before="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2D">
      <w:pPr>
        <w:spacing w:after="80" w:before="80" w:lineRule="auto"/>
        <w:ind w:left="0" w:firstLine="720"/>
        <w:jc w:val="both"/>
        <w:rPr>
          <w:rFonts w:ascii="Georgia" w:cs="Georgia" w:eastAsia="Georgia" w:hAnsi="Georgia"/>
          <w:i w:val="1"/>
          <w:iCs w:val="1"/>
        </w:rPr>
      </w:pPr>
      <w:r w:rsidDel="00000000" w:rsidR="00000000" w:rsidRPr="00000000">
        <w:rPr>
          <w:rFonts w:ascii="Georgia" w:cs="Georgia" w:eastAsia="Georgia" w:hAnsi="Georgia"/>
          <w:rtl w:val="0"/>
        </w:rPr>
        <w:t xml:space="preserve">Innovations and new discoveries in science and technology have been occurring at virtually the “speed of thought," to adopt Bill Gates’ colorful phrase. That statement is not entirely an exaggeration when one ponders the wonders of the human mind’s creativity and inventiveness. Our laws and judicial doctrines would, sooner rather than later, be tested to the limits in adapting to a rapidly changing world. The Judiciary must be on its toes to keep in step with these developments so that it can successfully grapple with complex scientific and technological issues. Unfortunately, there is, as yet, no body of legal literature which addresses  this looming challenge to the knowledge and skills of our brethren in the Bench and Bar. Happily, however, this is the subject of Justice Artemio V. Panganiban’s latest book, </w:t>
      </w:r>
      <w:r w:rsidDel="00000000" w:rsidR="00000000" w:rsidRPr="00000000">
        <w:rPr>
          <w:rFonts w:ascii="Georgia" w:cs="Georgia" w:eastAsia="Georgia" w:hAnsi="Georgia"/>
          <w:i w:val="1"/>
          <w:iCs w:val="1"/>
          <w:rtl w:val="0"/>
        </w:rPr>
        <w:t xml:space="preserve">The Bio-age Dawns on the Judiciary.</w:t>
      </w:r>
    </w:p>
    <w:p w:rsidR="00000000" w:rsidDel="00000000" w:rsidP="00000000" w:rsidRDefault="00000000" w:rsidRPr="00000000" w14:paraId="0000002E">
      <w:pPr>
        <w:spacing w:after="80" w:before="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The uneasy relationship between science and jurisprudence is immediately juxtaposed in the very first chapter of this book when Justice Panganiban tackles the role of the courts in the dawning of the bio-age with its myriad of legal, technological, and ethical problems and consequences. Dissecting a fictional case framed by Dr. Franklin M. Zweig on  "human cloning, genetic engineering, cell-line development, and patenting of genes,” Justice Panganiban  "Filipinized" the case and discusses its legal mutations and possible implications in the administration of justice and the rule of law. It may easily be overwhelming to be confronted by the unfamiliar argot of the bio-sciences and their novel repercussions on the body politic.</w:t>
      </w:r>
    </w:p>
    <w:p w:rsidR="00000000" w:rsidDel="00000000" w:rsidP="00000000" w:rsidRDefault="00000000" w:rsidRPr="00000000" w14:paraId="0000002F">
      <w:pPr>
        <w:spacing w:after="80" w:before="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As in his previous books, Part II (consisting of eight chapters) is a first person account of what this jurist had previously termed as the “judicial jousts” in which he has played a prominent, if not the leading, role. Evoking the image of white knights in their shining armor, the justices are also portrayed as dragon-slayers of the evils that bedevil our country and people.</w:t>
      </w:r>
    </w:p>
    <w:p w:rsidR="00000000" w:rsidDel="00000000" w:rsidP="00000000" w:rsidRDefault="00000000" w:rsidRPr="00000000" w14:paraId="00000030">
      <w:pPr>
        <w:spacing w:after="80" w:before="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Indeed, the Supreme Court recently promulgated its landmark decision in the impeachment case against the Chief Justice. The decision is a tribute to the strength and fortitude of our democratic institutions and their leaders who have reaffirmed their faith and confidence in the Supreme Court as the sole arbiter of constitutional questions. Still following the months of incessant assault on the independence and integrity of the Supreme Court, the publication and release of Justice Panganiban’s book is timely, and reading it provides a welcome diversionary pre-occupation.</w:t>
      </w:r>
    </w:p>
    <w:p w:rsidR="00000000" w:rsidDel="00000000" w:rsidP="00000000" w:rsidRDefault="00000000" w:rsidRPr="00000000" w14:paraId="00000031">
      <w:pPr>
        <w:spacing w:after="80" w:before="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As Justice Panganiban’s seventh book as a sitting magistrate, The Bio-age Dawns on the Judiciary faithfully chronicles the events in the immediately preceding twelve months of his eighth anniversary in the Supreme Court. It has been a source of amazement to me and our colleagues how he has managed this while writing many ponencias and separate opinions, plus hundreds of minute resolutions. We are grateful for his energy as we benefit from his display of his prolificacy and mental dexterity in this legal treatise which extricates the possible from the hypothetical, the emerging from the established, the literature in science, and the law in art. </w:t>
      </w:r>
    </w:p>
    <w:p w:rsidR="00000000" w:rsidDel="00000000" w:rsidP="00000000" w:rsidRDefault="00000000" w:rsidRPr="00000000" w14:paraId="00000032">
      <w:pPr>
        <w:spacing w:after="80" w:before="80" w:lineRule="auto"/>
        <w:ind w:left="0"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33">
      <w:pPr>
        <w:spacing w:after="120" w:before="1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34">
      <w:pPr>
        <w:spacing w:after="120" w:before="1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                                                                                                            Hilario G. Davide Jr.</w:t>
      </w:r>
    </w:p>
    <w:p w:rsidR="00000000" w:rsidDel="00000000" w:rsidP="00000000" w:rsidRDefault="00000000" w:rsidRPr="00000000" w14:paraId="00000035">
      <w:pPr>
        <w:pStyle w:val="Heading1"/>
        <w:jc w:val="center"/>
        <w:rPr>
          <w:rFonts w:ascii="Georgia" w:cs="Georgia" w:eastAsia="Georgia" w:hAnsi="Georgia"/>
        </w:rPr>
      </w:pPr>
      <w:bookmarkStart w:colFirst="0" w:colLast="0" w:name="_heading=h.nwki44t8p62y" w:id="0"/>
      <w:bookmarkEnd w:id="0"/>
      <w:r w:rsidDel="00000000" w:rsidR="00000000" w:rsidRPr="00000000">
        <w:rPr>
          <w:rFonts w:ascii="Georgia" w:cs="Georgia" w:eastAsia="Georgia" w:hAnsi="Georgia"/>
          <w:color w:val="000000"/>
          <w:sz w:val="30"/>
          <w:szCs w:val="30"/>
          <w:rtl w:val="0"/>
        </w:rPr>
        <w:t xml:space="preserve">PREFACE</w:t>
      </w:r>
      <w:r w:rsidDel="00000000" w:rsidR="00000000" w:rsidRPr="00000000">
        <w:rPr>
          <w:rtl w:val="0"/>
        </w:rPr>
      </w:r>
    </w:p>
    <w:p w:rsidR="00000000" w:rsidDel="00000000" w:rsidP="00000000" w:rsidRDefault="00000000" w:rsidRPr="00000000" w14:paraId="00000036">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      As my small contribution to transparency, I try to report on my work as a member of the Supreme Court yearly, in book form. The present volume covers the salient events during my eighth year in office, from October 10, 2002 to October 10, 2003.</w:t>
      </w:r>
    </w:p>
    <w:p w:rsidR="00000000" w:rsidDel="00000000" w:rsidP="00000000" w:rsidRDefault="00000000" w:rsidRPr="00000000" w14:paraId="00000037">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   As its title suggests, this book aims to call attention to the new biosciences and biotechnologies, especially how they affect the judiciary's work of decision-making. </w:t>
      </w:r>
    </w:p>
    <w:p w:rsidR="00000000" w:rsidDel="00000000" w:rsidP="00000000" w:rsidRDefault="00000000" w:rsidRPr="00000000" w14:paraId="00000038">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     It has often been said that law is a jealous mistress that demands constant attention and continuous study. It requires understanding and appreciation, not only of its own disciplines and rules, but also of every facet of life and learning. Consequently, jurists and lawyers should not be merely walking computers of the Constitution, the codes and jurisprudence; they should also have a working knowledge of all branches of human endeavors, including the arts, economics, accounting, mathematics, finance, health, computers, political science, medicine, history, and the latest sciences and technologies.</w:t>
      </w:r>
    </w:p>
    <w:p w:rsidR="00000000" w:rsidDel="00000000" w:rsidP="00000000" w:rsidRDefault="00000000" w:rsidRPr="00000000" w14:paraId="00000039">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      In the distant past, the preoccupation was feeding and sheltering the population. Hence, the main concern of the world during the agricultural age was land and food production. As a consequence, law and jurisprudence also concentrated on these two subjects.</w:t>
      </w:r>
    </w:p>
    <w:p w:rsidR="00000000" w:rsidDel="00000000" w:rsidP="00000000" w:rsidRDefault="00000000" w:rsidRPr="00000000" w14:paraId="0000003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during the industrial revolution, the world's attention shifted to factories, machineries and tools that were used in the production of wealth. Thus, the judiciary had to adjust to new norms in commercial transactions, corporate structures, taxation, economic indicators and labor requirements.</w:t>
      </w:r>
    </w:p>
    <w:p w:rsidR="00000000" w:rsidDel="00000000" w:rsidP="00000000" w:rsidRDefault="00000000" w:rsidRPr="00000000" w14:paraId="0000003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third wave of civilization - the information age revolutionized the world through computerization, miniaturization, digitization, satellite communications, fiber optics and the Internet. All these developments, taken together, integrate knowledge on a worldwide scale. As I said in my book </w:t>
      </w:r>
      <w:r w:rsidDel="00000000" w:rsidR="00000000" w:rsidRPr="00000000">
        <w:rPr>
          <w:rFonts w:ascii="Georgia" w:cs="Georgia" w:eastAsia="Georgia" w:hAnsi="Georgia"/>
          <w:i w:val="1"/>
          <w:iCs w:val="1"/>
          <w:rtl w:val="0"/>
        </w:rPr>
        <w:t xml:space="preserve">Transparency, Unanimity &amp; Diversity</w:t>
      </w:r>
      <w:r w:rsidDel="00000000" w:rsidR="00000000" w:rsidRPr="00000000">
        <w:rPr>
          <w:rFonts w:ascii="Georgia" w:cs="Georgia" w:eastAsia="Georgia" w:hAnsi="Georgia"/>
          <w:rtl w:val="0"/>
        </w:rPr>
        <w:t xml:space="preserve">, these massive technologies "changed not only the economic face of the globe, but also everything else that matters - political systems, lifestyles, work habits, sciences, philosophies, and yes, even the normally reclusive and exclusive enclave of decision-making."</w:t>
      </w:r>
    </w:p>
    <w:p w:rsidR="00000000" w:rsidDel="00000000" w:rsidP="00000000" w:rsidRDefault="00000000" w:rsidRPr="00000000" w14:paraId="0000003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And now, while still trying to adjust to the transformational shifts of the information age, the world is once more buffeted by a new phenomenon - the completion of the human genome sequence on April 14, 2003. This is a momentous scientific achievement of far-reaching consequence to all of humankind, including the men and women of the judiciary.</w:t>
      </w:r>
    </w:p>
    <w:p w:rsidR="00000000" w:rsidDel="00000000" w:rsidP="00000000" w:rsidRDefault="00000000" w:rsidRPr="00000000" w14:paraId="0000003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term "genome" refers to the totality of genetic information in a human being. Because of the completion of the sequencing project, scientists now have a complete list of the relevant parts of the human gene. It is as if all the parts of an airplane have been inventoried, thereby presaging the inevitability of assembling them into a new flying machine or - if such machine has already been assembled - of scientifically repairing a worn-out one. The completion of the project makes it possible for scientists to study, experiment on, modify or alter genetic structures to prolong life" and hasten the pace of evolution. </w:t>
      </w:r>
    </w:p>
    <w:p w:rsidR="00000000" w:rsidDel="00000000" w:rsidP="00000000" w:rsidRDefault="00000000" w:rsidRPr="00000000" w14:paraId="0000003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our Supreme Court, the awareness of these momentous scientific developments heightened on November 14, 2000, when Dr. Franklin M. Zweig delivered a paper on "Life Technologies and the Rule of Law" as part of the Centenary Lecture Series conducted in 2000-2001 to celebrate the 100th anniversary of the Court.</w:t>
      </w:r>
    </w:p>
    <w:p w:rsidR="00000000" w:rsidDel="00000000" w:rsidP="00000000" w:rsidRDefault="00000000" w:rsidRPr="00000000" w14:paraId="0000003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the Philippine judiciary as a whole, I believe that the defining event that ushered the dawn of the bio-age was the Conference-Workshop on Bioscience and Biotechnology held on August 26-29, 2003 in Tagaytay City, because it involved not only the Supreme Court but also selected lower court judges nationwide. It was during this event that the backbone of the judicial system - the trial courts - learned of the impact of the new sciences on decision-making. </w:t>
      </w:r>
    </w:p>
    <w:p w:rsidR="00000000" w:rsidDel="00000000" w:rsidP="00000000" w:rsidRDefault="00000000" w:rsidRPr="00000000" w14:paraId="0000004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personal participation in this seminar is discussed in Chapter 1, "Enter the Bio-Age." This initial part of the book assesses the intricacies of the new sciences and the applicability, the relevancy and the adequacy of current laws and jurisprudence to meet their challenges. </w:t>
      </w:r>
    </w:p>
    <w:p w:rsidR="00000000" w:rsidDel="00000000" w:rsidP="00000000" w:rsidRDefault="00000000" w:rsidRPr="00000000" w14:paraId="0000004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those interested in a more in-depth discussion of the new sciences and technologies and their impact on jurisprudence, I have included as Appendices to this book - with the permission of the authors - selected papers submitted during the Tagaytay Conference by Justice Leonardo A. Quisumbing, Dr. Pacifico A. Agabin and Fr. Ranhilio C. Aquino. I have also reprinted an Appendix of Dr. Franklin M. Zweig's paper entitled “Life Technologies and the Rule of Law," delivered during the Supreme Court Centenary Lecture Series. These dissertations, I believe, are essential to a well-rounded understanding of the bio-age as it dawns on the Philippine judiciary.</w:t>
      </w:r>
    </w:p>
    <w:p w:rsidR="00000000" w:rsidDel="00000000" w:rsidP="00000000" w:rsidRDefault="00000000" w:rsidRPr="00000000" w14:paraId="0000004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Chapter 2 was my lecture during the First Australasia Judicial Educators Forum. It speaks of paradigm shifts in law brought about by the gigantic strides in other fields of human knowledge, especially the informational and technological revolution, unfolding in the world. Here, I tried to interrelate the information age with the incoming bio-era. I also discussed the many Supreme Court Decisions issued in response to new questions raised by the information age.</w:t>
      </w:r>
    </w:p>
    <w:p w:rsidR="00000000" w:rsidDel="00000000" w:rsidP="00000000" w:rsidRDefault="00000000" w:rsidRPr="00000000" w14:paraId="0000004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rest of Part I speaks of the relevance of legal education and legal practice in the evolution of knowledge in various fields. It also contains "A Primer on the APJR" to keep the readers informed of developments in this major program of the Davide Court.</w:t>
      </w:r>
    </w:p>
    <w:p w:rsidR="00000000" w:rsidDel="00000000" w:rsidP="00000000" w:rsidRDefault="00000000" w:rsidRPr="00000000" w14:paraId="0000004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Part II, on the other hand, discusses the controversial cases rendered by the Court during this same one-year period (2002-2003), in which I took an active part as </w:t>
      </w:r>
      <w:r w:rsidDel="00000000" w:rsidR="00000000" w:rsidRPr="00000000">
        <w:rPr>
          <w:rFonts w:ascii="Georgia" w:cs="Georgia" w:eastAsia="Georgia" w:hAnsi="Georgia"/>
          <w:i w:val="1"/>
          <w:iCs w:val="1"/>
          <w:rtl w:val="0"/>
        </w:rPr>
        <w:t xml:space="preserve">ponente </w:t>
      </w:r>
      <w:r w:rsidDel="00000000" w:rsidR="00000000" w:rsidRPr="00000000">
        <w:rPr>
          <w:rFonts w:ascii="Georgia" w:cs="Georgia" w:eastAsia="Georgia" w:hAnsi="Georgia"/>
          <w:rtl w:val="0"/>
        </w:rPr>
        <w:t xml:space="preserve">or as the writer of a separate, concurring or dissenting opinion. It also includes my Dissenting Opinion in the Resolution of the Court promulgating the new "Rule on Declaration of Absolute Nullity of Void Marriages and Annulment of Voidable Marriages." </w:t>
      </w:r>
    </w:p>
    <w:p w:rsidR="00000000" w:rsidDel="00000000" w:rsidP="00000000" w:rsidRDefault="00000000" w:rsidRPr="00000000" w14:paraId="0000004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May I also report in all humility that I was able to write over 100 full-length decisions and six separate opinions during this one-year period, thus bringing my grand total during all of my eight years in office, as of October 10, 2003, at more than 860 ponencias (full-length, signed decisions) and 74 separate opinions. This count does not include the thousands of unsigned minute resolutions I have also penned during those eight years. </w:t>
      </w:r>
    </w:p>
    <w:p w:rsidR="00000000" w:rsidDel="00000000" w:rsidP="00000000" w:rsidRDefault="00000000" w:rsidRPr="00000000" w14:paraId="0000004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net effect of this production is that all the cases assigned to me have been decided within the two-year constitutional mandate. In other words, I have no backlog. </w:t>
      </w:r>
    </w:p>
    <w:p w:rsidR="00000000" w:rsidDel="00000000" w:rsidP="00000000" w:rsidRDefault="00000000" w:rsidRPr="00000000" w14:paraId="0000004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July 1, 2003, I was transferred from the Senate Electoral Tribunal (SET) to the House of Representatives Electoral Tribunal (HRET). Like the SET, the HRET is composed of three senior SC justices (who, aside from me, are Justices Reynato S. Puno and Consuelo Ynares-Santiago); and six House members - Reps. Douglas R. A. Cagas, Zenaida G. Cruz-Ducut, Oscar S. Rodriguez, Salacnib F. Baterina, Enrico R. Echiverri and Joaquin M. Chipeco Jr. Under the Constitution, the Senate Electoral Tribunal and the House of Representatives Electoral Tribunal shall be the sole judges of all contests relating to the election, the returns and the qualifications of members of Congress. </w:t>
      </w:r>
    </w:p>
    <w:p w:rsidR="00000000" w:rsidDel="00000000" w:rsidP="00000000" w:rsidRDefault="00000000" w:rsidRPr="00000000" w14:paraId="0000004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one-year period that is the subject of this book, Justice Vicente V. Mendoza retired on April 5, 2003. In his place was appointed Justice Dante O. Tinga. On November 13, 2003, Justice Josue N. Bellosillo also left the Court. Under the Constitution, his replacement shall be named within ninety days from his retirement.</w:t>
      </w:r>
    </w:p>
    <w:p w:rsidR="00000000" w:rsidDel="00000000" w:rsidP="00000000" w:rsidRDefault="00000000" w:rsidRPr="00000000" w14:paraId="0000004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close this Preface with gratitude to my colleagues in the Court. I have learned a lot from their ponencias, opinions and other writings. I believe that our collegial deliberations, both written and verbal, have molded and tested my own philosophy of law, decision-writing and jurisprudential outlook. As I said during my tribute to Justice Vicente V. Mendoza on the occasion of his retirement, "the Supreme Court thrives in a kettle of free ideas where truth, fairness and justice can be distilled only after all sides, including the most outlandish ones, have been pored and percolated." And although justices disagree on ideas, philosophies and other matters of the mind, they rarely carry those differences on a personal plane, much less on an emotional level. Their differences are focused on arguments, not on personalities. I am grateful to my colleagues for maintaining this atmosphere of cordiality amidst the intellectual battles in the Court. </w:t>
      </w:r>
    </w:p>
    <w:p w:rsidR="00000000" w:rsidDel="00000000" w:rsidP="00000000" w:rsidRDefault="00000000" w:rsidRPr="00000000" w14:paraId="0000004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May I also extend my appreciation to some Court officials and my legal staff for their assistance in producing this book.</w:t>
      </w:r>
    </w:p>
    <w:p w:rsidR="00000000" w:rsidDel="00000000" w:rsidP="00000000" w:rsidRDefault="00000000" w:rsidRPr="00000000" w14:paraId="0000004B">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October 10, 2003.</w:t>
      </w:r>
    </w:p>
    <w:p w:rsidR="00000000" w:rsidDel="00000000" w:rsidP="00000000" w:rsidRDefault="00000000" w:rsidRPr="00000000" w14:paraId="0000004C">
      <w:pPr>
        <w:spacing w:after="80" w:before="80" w:lineRule="auto"/>
        <w:ind w:left="5040" w:firstLine="360"/>
        <w:rPr>
          <w:rFonts w:ascii="Georgia" w:cs="Georgia" w:eastAsia="Georgia" w:hAnsi="Georgia"/>
        </w:rPr>
      </w:pPr>
      <w:r w:rsidDel="00000000" w:rsidR="00000000" w:rsidRPr="00000000">
        <w:rPr>
          <w:rFonts w:ascii="Georgia" w:cs="Georgia" w:eastAsia="Georgia" w:hAnsi="Georgia"/>
          <w:rtl w:val="0"/>
        </w:rPr>
        <w:t xml:space="preserve">ARTEMIO V. PANGANIBAN</w:t>
      </w:r>
    </w:p>
    <w:p w:rsidR="00000000" w:rsidDel="00000000" w:rsidP="00000000" w:rsidRDefault="00000000" w:rsidRPr="00000000" w14:paraId="0000004D">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04E">
      <w:pPr>
        <w:rPr>
          <w:rFonts w:ascii="Georgia" w:cs="Georgia" w:eastAsia="Georgia" w:hAnsi="Georgia"/>
        </w:rPr>
      </w:pPr>
      <w:r w:rsidDel="00000000" w:rsidR="00000000" w:rsidRPr="00000000">
        <w:rPr>
          <w:rtl w:val="0"/>
        </w:rPr>
      </w:r>
    </w:p>
    <w:p w:rsidR="00000000" w:rsidDel="00000000" w:rsidP="00000000" w:rsidRDefault="00000000" w:rsidRPr="00000000" w14:paraId="0000004F">
      <w:pPr>
        <w:rPr>
          <w:rFonts w:ascii="Georgia" w:cs="Georgia" w:eastAsia="Georgia" w:hAnsi="Georgia"/>
        </w:rPr>
      </w:pPr>
      <w:r w:rsidDel="00000000" w:rsidR="00000000" w:rsidRPr="00000000">
        <w:rPr>
          <w:rtl w:val="0"/>
        </w:rPr>
      </w:r>
    </w:p>
    <w:p w:rsidR="00000000" w:rsidDel="00000000" w:rsidP="00000000" w:rsidRDefault="00000000" w:rsidRPr="00000000" w14:paraId="00000050">
      <w:pPr>
        <w:rPr>
          <w:rFonts w:ascii="Georgia" w:cs="Georgia" w:eastAsia="Georgia" w:hAnsi="Georgia"/>
        </w:rPr>
      </w:pPr>
      <w:r w:rsidDel="00000000" w:rsidR="00000000" w:rsidRPr="00000000">
        <w:rPr>
          <w:rtl w:val="0"/>
        </w:rPr>
      </w:r>
    </w:p>
    <w:p w:rsidR="00000000" w:rsidDel="00000000" w:rsidP="00000000" w:rsidRDefault="00000000" w:rsidRPr="00000000" w14:paraId="00000051">
      <w:pPr>
        <w:rPr>
          <w:rFonts w:ascii="Georgia" w:cs="Georgia" w:eastAsia="Georgia" w:hAnsi="Georgia"/>
        </w:rPr>
      </w:pPr>
      <w:r w:rsidDel="00000000" w:rsidR="00000000" w:rsidRPr="00000000">
        <w:rPr>
          <w:rtl w:val="0"/>
        </w:rPr>
      </w:r>
    </w:p>
    <w:p w:rsidR="00000000" w:rsidDel="00000000" w:rsidP="00000000" w:rsidRDefault="00000000" w:rsidRPr="00000000" w14:paraId="00000052">
      <w:pPr>
        <w:rPr>
          <w:rFonts w:ascii="Georgia" w:cs="Georgia" w:eastAsia="Georgia" w:hAnsi="Georgia"/>
        </w:rPr>
      </w:pPr>
      <w:r w:rsidDel="00000000" w:rsidR="00000000" w:rsidRPr="00000000">
        <w:rPr>
          <w:rtl w:val="0"/>
        </w:rPr>
      </w:r>
    </w:p>
    <w:p w:rsidR="00000000" w:rsidDel="00000000" w:rsidP="00000000" w:rsidRDefault="00000000" w:rsidRPr="00000000" w14:paraId="00000053">
      <w:pPr>
        <w:rPr>
          <w:rFonts w:ascii="Georgia" w:cs="Georgia" w:eastAsia="Georgia" w:hAnsi="Georgia"/>
        </w:rPr>
      </w:pPr>
      <w:r w:rsidDel="00000000" w:rsidR="00000000" w:rsidRPr="00000000">
        <w:rPr>
          <w:rtl w:val="0"/>
        </w:rPr>
      </w:r>
    </w:p>
    <w:p w:rsidR="00000000" w:rsidDel="00000000" w:rsidP="00000000" w:rsidRDefault="00000000" w:rsidRPr="00000000" w14:paraId="00000054">
      <w:pPr>
        <w:rPr>
          <w:rFonts w:ascii="Georgia" w:cs="Georgia" w:eastAsia="Georgia" w:hAnsi="Georgia"/>
        </w:rPr>
      </w:pPr>
      <w:r w:rsidDel="00000000" w:rsidR="00000000" w:rsidRPr="00000000">
        <w:rPr>
          <w:rtl w:val="0"/>
        </w:rPr>
      </w:r>
    </w:p>
    <w:p w:rsidR="00000000" w:rsidDel="00000000" w:rsidP="00000000" w:rsidRDefault="00000000" w:rsidRPr="00000000" w14:paraId="00000055">
      <w:pPr>
        <w:rPr>
          <w:rFonts w:ascii="Georgia" w:cs="Georgia" w:eastAsia="Georgia" w:hAnsi="Georgia"/>
        </w:rPr>
      </w:pPr>
      <w:r w:rsidDel="00000000" w:rsidR="00000000" w:rsidRPr="00000000">
        <w:rPr>
          <w:rtl w:val="0"/>
        </w:rPr>
      </w:r>
    </w:p>
    <w:p w:rsidR="00000000" w:rsidDel="00000000" w:rsidP="00000000" w:rsidRDefault="00000000" w:rsidRPr="00000000" w14:paraId="00000056">
      <w:pPr>
        <w:rPr>
          <w:rFonts w:ascii="Georgia" w:cs="Georgia" w:eastAsia="Georgia" w:hAnsi="Georgia"/>
        </w:rPr>
      </w:pPr>
      <w:r w:rsidDel="00000000" w:rsidR="00000000" w:rsidRPr="00000000">
        <w:rPr>
          <w:rtl w:val="0"/>
        </w:rPr>
      </w:r>
    </w:p>
    <w:p w:rsidR="00000000" w:rsidDel="00000000" w:rsidP="00000000" w:rsidRDefault="00000000" w:rsidRPr="00000000" w14:paraId="00000057">
      <w:pPr>
        <w:rPr>
          <w:rFonts w:ascii="Georgia" w:cs="Georgia" w:eastAsia="Georgia" w:hAnsi="Georgia"/>
        </w:rPr>
      </w:pPr>
      <w:r w:rsidDel="00000000" w:rsidR="00000000" w:rsidRPr="00000000">
        <w:rPr>
          <w:rtl w:val="0"/>
        </w:rPr>
      </w:r>
    </w:p>
    <w:p w:rsidR="00000000" w:rsidDel="00000000" w:rsidP="00000000" w:rsidRDefault="00000000" w:rsidRPr="00000000" w14:paraId="00000058">
      <w:pPr>
        <w:rPr>
          <w:rFonts w:ascii="Georgia" w:cs="Georgia" w:eastAsia="Georgia" w:hAnsi="Georgia"/>
        </w:rPr>
      </w:pPr>
      <w:r w:rsidDel="00000000" w:rsidR="00000000" w:rsidRPr="00000000">
        <w:rPr>
          <w:rtl w:val="0"/>
        </w:rPr>
      </w:r>
    </w:p>
    <w:p w:rsidR="00000000" w:rsidDel="00000000" w:rsidP="00000000" w:rsidRDefault="00000000" w:rsidRPr="00000000" w14:paraId="00000059">
      <w:pPr>
        <w:rPr>
          <w:rFonts w:ascii="Georgia" w:cs="Georgia" w:eastAsia="Georgia" w:hAnsi="Georgia"/>
        </w:rPr>
      </w:pPr>
      <w:r w:rsidDel="00000000" w:rsidR="00000000" w:rsidRPr="00000000">
        <w:rPr>
          <w:rtl w:val="0"/>
        </w:rPr>
      </w:r>
    </w:p>
    <w:p w:rsidR="00000000" w:rsidDel="00000000" w:rsidP="00000000" w:rsidRDefault="00000000" w:rsidRPr="00000000" w14:paraId="0000005A">
      <w:pPr>
        <w:rPr>
          <w:rFonts w:ascii="Georgia" w:cs="Georgia" w:eastAsia="Georgia" w:hAnsi="Georgia"/>
        </w:rPr>
      </w:pPr>
      <w:r w:rsidDel="00000000" w:rsidR="00000000" w:rsidRPr="00000000">
        <w:rPr>
          <w:rtl w:val="0"/>
        </w:rPr>
      </w:r>
    </w:p>
    <w:p w:rsidR="00000000" w:rsidDel="00000000" w:rsidP="00000000" w:rsidRDefault="00000000" w:rsidRPr="00000000" w14:paraId="0000005B">
      <w:pPr>
        <w:rPr>
          <w:rFonts w:ascii="Georgia" w:cs="Georgia" w:eastAsia="Georgia" w:hAnsi="Georgia"/>
        </w:rPr>
      </w:pPr>
      <w:r w:rsidDel="00000000" w:rsidR="00000000" w:rsidRPr="00000000">
        <w:rPr>
          <w:rtl w:val="0"/>
        </w:rPr>
      </w:r>
    </w:p>
    <w:p w:rsidR="00000000" w:rsidDel="00000000" w:rsidP="00000000" w:rsidRDefault="00000000" w:rsidRPr="00000000" w14:paraId="0000005C">
      <w:pPr>
        <w:rPr>
          <w:rFonts w:ascii="Georgia" w:cs="Georgia" w:eastAsia="Georgia" w:hAnsi="Georgia"/>
        </w:rPr>
      </w:pPr>
      <w:r w:rsidDel="00000000" w:rsidR="00000000" w:rsidRPr="00000000">
        <w:rPr>
          <w:rtl w:val="0"/>
        </w:rPr>
      </w:r>
    </w:p>
    <w:p w:rsidR="00000000" w:rsidDel="00000000" w:rsidP="00000000" w:rsidRDefault="00000000" w:rsidRPr="00000000" w14:paraId="0000005D">
      <w:pPr>
        <w:rPr>
          <w:rFonts w:ascii="Georgia" w:cs="Georgia" w:eastAsia="Georgia" w:hAnsi="Georgia"/>
        </w:rPr>
      </w:pPr>
      <w:r w:rsidDel="00000000" w:rsidR="00000000" w:rsidRPr="00000000">
        <w:rPr>
          <w:rtl w:val="0"/>
        </w:rPr>
      </w:r>
    </w:p>
    <w:p w:rsidR="00000000" w:rsidDel="00000000" w:rsidP="00000000" w:rsidRDefault="00000000" w:rsidRPr="00000000" w14:paraId="0000005E">
      <w:pPr>
        <w:rPr>
          <w:rFonts w:ascii="Georgia" w:cs="Georgia" w:eastAsia="Georgia" w:hAnsi="Georgia"/>
        </w:rPr>
      </w:pPr>
      <w:r w:rsidDel="00000000" w:rsidR="00000000" w:rsidRPr="00000000">
        <w:rPr>
          <w:rtl w:val="0"/>
        </w:rPr>
      </w:r>
    </w:p>
    <w:p w:rsidR="00000000" w:rsidDel="00000000" w:rsidP="00000000" w:rsidRDefault="00000000" w:rsidRPr="00000000" w14:paraId="0000005F">
      <w:pPr>
        <w:rPr>
          <w:rFonts w:ascii="Georgia" w:cs="Georgia" w:eastAsia="Georgia" w:hAnsi="Georgia"/>
        </w:rPr>
      </w:pPr>
      <w:r w:rsidDel="00000000" w:rsidR="00000000" w:rsidRPr="00000000">
        <w:rPr>
          <w:rtl w:val="0"/>
        </w:rPr>
      </w:r>
    </w:p>
    <w:p w:rsidR="00000000" w:rsidDel="00000000" w:rsidP="00000000" w:rsidRDefault="00000000" w:rsidRPr="00000000" w14:paraId="00000060">
      <w:pPr>
        <w:rPr>
          <w:rFonts w:ascii="Georgia" w:cs="Georgia" w:eastAsia="Georgia" w:hAnsi="Georgia"/>
        </w:rPr>
      </w:pPr>
      <w:r w:rsidDel="00000000" w:rsidR="00000000" w:rsidRPr="00000000">
        <w:rPr>
          <w:rtl w:val="0"/>
        </w:rPr>
      </w:r>
    </w:p>
    <w:p w:rsidR="00000000" w:rsidDel="00000000" w:rsidP="00000000" w:rsidRDefault="00000000" w:rsidRPr="00000000" w14:paraId="00000061">
      <w:pPr>
        <w:rPr>
          <w:rFonts w:ascii="Georgia" w:cs="Georgia" w:eastAsia="Georgia" w:hAnsi="Georgia"/>
        </w:rPr>
      </w:pPr>
      <w:r w:rsidDel="00000000" w:rsidR="00000000" w:rsidRPr="00000000">
        <w:rPr>
          <w:rtl w:val="0"/>
        </w:rPr>
      </w:r>
    </w:p>
    <w:p w:rsidR="00000000" w:rsidDel="00000000" w:rsidP="00000000" w:rsidRDefault="00000000" w:rsidRPr="00000000" w14:paraId="00000062">
      <w:pPr>
        <w:rPr>
          <w:rFonts w:ascii="Georgia" w:cs="Georgia" w:eastAsia="Georgia" w:hAnsi="Georgia"/>
        </w:rPr>
      </w:pPr>
      <w:r w:rsidDel="00000000" w:rsidR="00000000" w:rsidRPr="00000000">
        <w:rPr>
          <w:rtl w:val="0"/>
        </w:rPr>
      </w:r>
    </w:p>
    <w:p w:rsidR="00000000" w:rsidDel="00000000" w:rsidP="00000000" w:rsidRDefault="00000000" w:rsidRPr="00000000" w14:paraId="00000063">
      <w:pPr>
        <w:rPr>
          <w:rFonts w:ascii="Georgia" w:cs="Georgia" w:eastAsia="Georgia" w:hAnsi="Georgia"/>
        </w:rPr>
      </w:pPr>
      <w:r w:rsidDel="00000000" w:rsidR="00000000" w:rsidRPr="00000000">
        <w:rPr>
          <w:rtl w:val="0"/>
        </w:rPr>
      </w:r>
    </w:p>
    <w:p w:rsidR="00000000" w:rsidDel="00000000" w:rsidP="00000000" w:rsidRDefault="00000000" w:rsidRPr="00000000" w14:paraId="00000064">
      <w:pPr>
        <w:rPr>
          <w:rFonts w:ascii="Georgia" w:cs="Georgia" w:eastAsia="Georgia" w:hAnsi="Georgia"/>
        </w:rPr>
      </w:pPr>
      <w:r w:rsidDel="00000000" w:rsidR="00000000" w:rsidRPr="00000000">
        <w:rPr>
          <w:rtl w:val="0"/>
        </w:rPr>
      </w:r>
    </w:p>
    <w:p w:rsidR="00000000" w:rsidDel="00000000" w:rsidP="00000000" w:rsidRDefault="00000000" w:rsidRPr="00000000" w14:paraId="00000065">
      <w:pPr>
        <w:rPr>
          <w:rFonts w:ascii="Georgia" w:cs="Georgia" w:eastAsia="Georgia" w:hAnsi="Georgia"/>
        </w:rPr>
      </w:pPr>
      <w:r w:rsidDel="00000000" w:rsidR="00000000" w:rsidRPr="00000000">
        <w:rPr>
          <w:rtl w:val="0"/>
        </w:rPr>
      </w:r>
    </w:p>
    <w:p w:rsidR="00000000" w:rsidDel="00000000" w:rsidP="00000000" w:rsidRDefault="00000000" w:rsidRPr="00000000" w14:paraId="00000066">
      <w:pPr>
        <w:rPr>
          <w:rFonts w:ascii="Georgia" w:cs="Georgia" w:eastAsia="Georgia" w:hAnsi="Georgia"/>
        </w:rPr>
      </w:pPr>
      <w:r w:rsidDel="00000000" w:rsidR="00000000" w:rsidRPr="00000000">
        <w:rPr>
          <w:rtl w:val="0"/>
        </w:rPr>
      </w:r>
    </w:p>
    <w:p w:rsidR="00000000" w:rsidDel="00000000" w:rsidP="00000000" w:rsidRDefault="00000000" w:rsidRPr="00000000" w14:paraId="00000067">
      <w:pPr>
        <w:rPr>
          <w:rFonts w:ascii="Georgia" w:cs="Georgia" w:eastAsia="Georgia" w:hAnsi="Georgia"/>
        </w:rPr>
      </w:pPr>
      <w:r w:rsidDel="00000000" w:rsidR="00000000" w:rsidRPr="00000000">
        <w:rPr>
          <w:rtl w:val="0"/>
        </w:rPr>
      </w:r>
    </w:p>
    <w:p w:rsidR="00000000" w:rsidDel="00000000" w:rsidP="00000000" w:rsidRDefault="00000000" w:rsidRPr="00000000" w14:paraId="00000068">
      <w:pPr>
        <w:rPr>
          <w:rFonts w:ascii="Georgia" w:cs="Georgia" w:eastAsia="Georgia" w:hAnsi="Georgia"/>
        </w:rPr>
      </w:pPr>
      <w:r w:rsidDel="00000000" w:rsidR="00000000" w:rsidRPr="00000000">
        <w:rPr>
          <w:rtl w:val="0"/>
        </w:rPr>
      </w:r>
    </w:p>
    <w:p w:rsidR="00000000" w:rsidDel="00000000" w:rsidP="00000000" w:rsidRDefault="00000000" w:rsidRPr="00000000" w14:paraId="00000069">
      <w:pPr>
        <w:rPr>
          <w:rFonts w:ascii="Georgia" w:cs="Georgia" w:eastAsia="Georgia" w:hAnsi="Georgia"/>
        </w:rPr>
      </w:pPr>
      <w:r w:rsidDel="00000000" w:rsidR="00000000" w:rsidRPr="00000000">
        <w:rPr>
          <w:rtl w:val="0"/>
        </w:rPr>
      </w:r>
    </w:p>
    <w:p w:rsidR="00000000" w:rsidDel="00000000" w:rsidP="00000000" w:rsidRDefault="00000000" w:rsidRPr="00000000" w14:paraId="0000006A">
      <w:pPr>
        <w:rPr>
          <w:rFonts w:ascii="Georgia" w:cs="Georgia" w:eastAsia="Georgia" w:hAnsi="Georgia"/>
        </w:rPr>
      </w:pPr>
      <w:r w:rsidDel="00000000" w:rsidR="00000000" w:rsidRPr="00000000">
        <w:rPr>
          <w:rtl w:val="0"/>
        </w:rPr>
      </w:r>
    </w:p>
    <w:p w:rsidR="00000000" w:rsidDel="00000000" w:rsidP="00000000" w:rsidRDefault="00000000" w:rsidRPr="00000000" w14:paraId="0000006B">
      <w:pPr>
        <w:rPr>
          <w:rFonts w:ascii="Georgia" w:cs="Georgia" w:eastAsia="Georgia" w:hAnsi="Georgia"/>
        </w:rPr>
      </w:pPr>
      <w:r w:rsidDel="00000000" w:rsidR="00000000" w:rsidRPr="00000000">
        <w:rPr>
          <w:rtl w:val="0"/>
        </w:rPr>
      </w:r>
    </w:p>
    <w:p w:rsidR="00000000" w:rsidDel="00000000" w:rsidP="00000000" w:rsidRDefault="00000000" w:rsidRPr="00000000" w14:paraId="0000006C">
      <w:pPr>
        <w:rPr>
          <w:rFonts w:ascii="Georgia" w:cs="Georgia" w:eastAsia="Georgia" w:hAnsi="Georgia"/>
        </w:rPr>
      </w:pPr>
      <w:r w:rsidDel="00000000" w:rsidR="00000000" w:rsidRPr="00000000">
        <w:rPr>
          <w:rtl w:val="0"/>
        </w:rPr>
      </w:r>
    </w:p>
    <w:p w:rsidR="00000000" w:rsidDel="00000000" w:rsidP="00000000" w:rsidRDefault="00000000" w:rsidRPr="00000000" w14:paraId="0000006D">
      <w:pPr>
        <w:rPr>
          <w:rFonts w:ascii="Georgia" w:cs="Georgia" w:eastAsia="Georgia" w:hAnsi="Georgia"/>
        </w:rPr>
      </w:pPr>
      <w:r w:rsidDel="00000000" w:rsidR="00000000" w:rsidRPr="00000000">
        <w:rPr>
          <w:rtl w:val="0"/>
        </w:rPr>
      </w:r>
    </w:p>
    <w:p w:rsidR="00000000" w:rsidDel="00000000" w:rsidP="00000000" w:rsidRDefault="00000000" w:rsidRPr="00000000" w14:paraId="0000006E">
      <w:pPr>
        <w:rPr>
          <w:rFonts w:ascii="Georgia" w:cs="Georgia" w:eastAsia="Georgia" w:hAnsi="Georgia"/>
        </w:rPr>
      </w:pPr>
      <w:r w:rsidDel="00000000" w:rsidR="00000000" w:rsidRPr="00000000">
        <w:rPr>
          <w:rtl w:val="0"/>
        </w:rPr>
      </w:r>
    </w:p>
    <w:p w:rsidR="00000000" w:rsidDel="00000000" w:rsidP="00000000" w:rsidRDefault="00000000" w:rsidRPr="00000000" w14:paraId="0000006F">
      <w:pPr>
        <w:rPr>
          <w:rFonts w:ascii="Georgia" w:cs="Georgia" w:eastAsia="Georgia" w:hAnsi="Georgia"/>
        </w:rPr>
      </w:pPr>
      <w:r w:rsidDel="00000000" w:rsidR="00000000" w:rsidRPr="00000000">
        <w:rPr>
          <w:rtl w:val="0"/>
        </w:rPr>
      </w:r>
    </w:p>
    <w:p w:rsidR="00000000" w:rsidDel="00000000" w:rsidP="00000000" w:rsidRDefault="00000000" w:rsidRPr="00000000" w14:paraId="00000070">
      <w:pPr>
        <w:rPr>
          <w:rFonts w:ascii="Georgia" w:cs="Georgia" w:eastAsia="Georgia" w:hAnsi="Georgia"/>
        </w:rPr>
      </w:pPr>
      <w:r w:rsidDel="00000000" w:rsidR="00000000" w:rsidRPr="00000000">
        <w:rPr>
          <w:rtl w:val="0"/>
        </w:rPr>
      </w:r>
    </w:p>
    <w:p w:rsidR="00000000" w:rsidDel="00000000" w:rsidP="00000000" w:rsidRDefault="00000000" w:rsidRPr="00000000" w14:paraId="00000071">
      <w:pPr>
        <w:rPr>
          <w:rFonts w:ascii="Georgia" w:cs="Georgia" w:eastAsia="Georgia" w:hAnsi="Georgia"/>
        </w:rPr>
      </w:pPr>
      <w:r w:rsidDel="00000000" w:rsidR="00000000" w:rsidRPr="00000000">
        <w:rPr>
          <w:rtl w:val="0"/>
        </w:rPr>
      </w:r>
    </w:p>
    <w:p w:rsidR="00000000" w:rsidDel="00000000" w:rsidP="00000000" w:rsidRDefault="00000000" w:rsidRPr="00000000" w14:paraId="00000072">
      <w:pPr>
        <w:rPr>
          <w:rFonts w:ascii="Georgia" w:cs="Georgia" w:eastAsia="Georgia" w:hAnsi="Georgia"/>
        </w:rPr>
      </w:pPr>
      <w:r w:rsidDel="00000000" w:rsidR="00000000" w:rsidRPr="00000000">
        <w:rPr>
          <w:rtl w:val="0"/>
        </w:rPr>
      </w:r>
    </w:p>
    <w:p w:rsidR="00000000" w:rsidDel="00000000" w:rsidP="00000000" w:rsidRDefault="00000000" w:rsidRPr="00000000" w14:paraId="00000073">
      <w:pPr>
        <w:rPr>
          <w:rFonts w:ascii="Georgia" w:cs="Georgia" w:eastAsia="Georgia" w:hAnsi="Georgia"/>
        </w:rPr>
      </w:pPr>
      <w:r w:rsidDel="00000000" w:rsidR="00000000" w:rsidRPr="00000000">
        <w:rPr>
          <w:rtl w:val="0"/>
        </w:rPr>
      </w:r>
    </w:p>
    <w:p w:rsidR="00000000" w:rsidDel="00000000" w:rsidP="00000000" w:rsidRDefault="00000000" w:rsidRPr="00000000" w14:paraId="00000074">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PART I</w:t>
      </w:r>
    </w:p>
    <w:p w:rsidR="00000000" w:rsidDel="00000000" w:rsidP="00000000" w:rsidRDefault="00000000" w:rsidRPr="00000000" w14:paraId="00000075">
      <w:pPr>
        <w:pStyle w:val="Heading1"/>
        <w:rPr>
          <w:rFonts w:ascii="Georgia" w:cs="Georgia" w:eastAsia="Georgia" w:hAnsi="Georgia"/>
        </w:rPr>
      </w:pPr>
      <w:r w:rsidDel="00000000" w:rsidR="00000000" w:rsidRPr="00000000">
        <w:rPr>
          <w:rFonts w:ascii="Georgia" w:cs="Georgia" w:eastAsia="Georgia" w:hAnsi="Georgia"/>
          <w:color w:val="000000"/>
          <w:sz w:val="22"/>
          <w:szCs w:val="22"/>
          <w:rtl w:val="0"/>
        </w:rPr>
        <w:t xml:space="preserve">Chapter 1. Enter the Bio-Age</w:t>
      </w:r>
      <w:r w:rsidDel="00000000" w:rsidR="00000000" w:rsidRPr="00000000">
        <w:rPr>
          <w:rtl w:val="0"/>
        </w:rPr>
      </w:r>
    </w:p>
    <w:p w:rsidR="00000000" w:rsidDel="00000000" w:rsidP="00000000" w:rsidRDefault="00000000" w:rsidRPr="00000000" w14:paraId="0000007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Many years ago, Dr. Christian Barnard thrilled the world with the first successful heart transplant. Even before that, however, kidneys had been routinely excised from healthy donors and surgically implanted in patients with renal failures. Only recently, a Filipino senator was the recipient of a liver transplant from his son. </w:t>
      </w:r>
    </w:p>
    <w:p w:rsidR="00000000" w:rsidDel="00000000" w:rsidP="00000000" w:rsidRDefault="00000000" w:rsidRPr="00000000" w14:paraId="0000007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astounding surgeries, however, are always hounded by the danger of rejection. The human body is naturally conditioned to expel any foreign object artificially embedded in its loins. Whether it be an organ donated from another human or an artifice made of plastic or titanium, the net response of the body is to reject the foreign even if well-intentioned invader. </w:t>
      </w:r>
    </w:p>
    <w:p w:rsidR="00000000" w:rsidDel="00000000" w:rsidP="00000000" w:rsidRDefault="00000000" w:rsidRPr="00000000" w14:paraId="00000078">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Healing Miracles </w:t>
      </w:r>
    </w:p>
    <w:p w:rsidR="00000000" w:rsidDel="00000000" w:rsidP="00000000" w:rsidRDefault="00000000" w:rsidRPr="00000000" w14:paraId="00000079">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Via the Biosciences </w:t>
      </w:r>
    </w:p>
    <w:p w:rsidR="00000000" w:rsidDel="00000000" w:rsidP="00000000" w:rsidRDefault="00000000" w:rsidRPr="00000000" w14:paraId="0000007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Would it not be marvelous if, instead of transplanting organs and tissues via complicated surgeries and medical procedures, the heart or the pancreas may be coaxed to repair and regenerate itself internally? This is precisely the thrust of new sciences - to enable our body or any of its many organs and tissues to repair itself or to accept new parts made from its own cells. Now, stem cell research shows credible evidence of lasting cures - not only for defective body organs but also for Alzheimer's, Parkinson's and countless other deadly diseases. </w:t>
      </w:r>
    </w:p>
    <w:p w:rsidR="00000000" w:rsidDel="00000000" w:rsidP="00000000" w:rsidRDefault="00000000" w:rsidRPr="00000000" w14:paraId="0000007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Scientists have amply demonstrated "manufacturing" or "repairing" body parts by means of cells from - either embryonic or adult stem cells —"incubated" from the same person is not only possible but is in fact already being experimented on in many places in the world.</w:t>
      </w:r>
    </w:p>
    <w:p w:rsidR="00000000" w:rsidDel="00000000" w:rsidP="00000000" w:rsidRDefault="00000000" w:rsidRPr="00000000" w14:paraId="0000007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Researchers have also shown that hair-width electrodes attached to the motor cortex of the brain can carry electronic signals detectable by a computer? This phenomenon makes it possible for more sophisticated gadgetry to bypass spinal cord injuries and make paralyzed people move their arms and legs again.</w:t>
      </w:r>
    </w:p>
    <w:p w:rsidR="00000000" w:rsidDel="00000000" w:rsidP="00000000" w:rsidRDefault="00000000" w:rsidRPr="00000000" w14:paraId="0000007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Modification of </w:t>
      </w:r>
    </w:p>
    <w:p w:rsidR="00000000" w:rsidDel="00000000" w:rsidP="00000000" w:rsidRDefault="00000000" w:rsidRPr="00000000" w14:paraId="0000007E">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Human Conduct</w:t>
      </w:r>
    </w:p>
    <w:p w:rsidR="00000000" w:rsidDel="00000000" w:rsidP="00000000" w:rsidRDefault="00000000" w:rsidRPr="00000000" w14:paraId="0000007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the biosciences extend beyond the healing of physical diseases. Their incursions into the mental faculties are even more dramatic, because they enhance knowledge of and the ability to manipulate the brain - the source of all human behaviors. For this reason, they are able to influence, if not control, social conduct and human relationships.</w:t>
      </w:r>
    </w:p>
    <w:p w:rsidR="00000000" w:rsidDel="00000000" w:rsidP="00000000" w:rsidRDefault="00000000" w:rsidRPr="00000000" w14:paraId="0000008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healing diseases, prolonging human life, relieving pain and manipulating behavior, the new sciences can change demographics, population densities and economic indicators. Moreover, by tinkering with human behavior through genetics, they may also trigger major societal and political changes. Indeed, intelligence, crime proclivity and sexuality - three higher-level behaviors with genetic roots - may be enhanced or depressed via manipulations of the brain.</w:t>
      </w:r>
    </w:p>
    <w:p w:rsidR="00000000" w:rsidDel="00000000" w:rsidP="00000000" w:rsidRDefault="00000000" w:rsidRPr="00000000" w14:paraId="0000008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Already, there are brand-name medicines that alter human conduct by re-circuiting neurotransmitters in the brain. Some of these are Prozac, manufactured by Eli Lilly; Zoloft, by Pfizer; and Paxil by Smithkline Beecham. These antidepressants effect miraculous changes in the "most central of political emotions, the feeling of self-worth, or self esteem." In this sense, Prozac is a kind of "happiness pill" for millions of people with aggression or depression syndrome. </w:t>
      </w:r>
    </w:p>
    <w:p w:rsidR="00000000" w:rsidDel="00000000" w:rsidP="00000000" w:rsidRDefault="00000000" w:rsidRPr="00000000" w14:paraId="0000008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drug, Ritalin, increases attention span, creates a sense of euphoria and builds up energy levels.' It is useful for restless young people who cannot sit still in classrooms. It nudges them into more socially correct behavior.</w:t>
      </w:r>
    </w:p>
    <w:p w:rsidR="00000000" w:rsidDel="00000000" w:rsidP="00000000" w:rsidRDefault="00000000" w:rsidRPr="00000000" w14:paraId="0000008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will not exaggerate by advocating that the State should exercise social control through genetic engineering and miracle medicines reminiscent of the </w:t>
      </w:r>
      <w:r w:rsidDel="00000000" w:rsidR="00000000" w:rsidRPr="00000000">
        <w:rPr>
          <w:rFonts w:ascii="Georgia" w:cs="Georgia" w:eastAsia="Georgia" w:hAnsi="Georgia"/>
          <w:i w:val="1"/>
          <w:iCs w:val="1"/>
          <w:rtl w:val="0"/>
        </w:rPr>
        <w:t xml:space="preserve">Boys from Brazil, </w:t>
      </w:r>
      <w:r w:rsidDel="00000000" w:rsidR="00000000" w:rsidRPr="00000000">
        <w:rPr>
          <w:rFonts w:ascii="Georgia" w:cs="Georgia" w:eastAsia="Georgia" w:hAnsi="Georgia"/>
          <w:rtl w:val="0"/>
        </w:rPr>
        <w:t xml:space="preserve">but it is equally possible to imagine that mind-altering drugs could be used or even misused by social players other than the State - parents, teachers, employers and others who have an interest in how people behave.</w:t>
      </w:r>
    </w:p>
    <w:p w:rsidR="00000000" w:rsidDel="00000000" w:rsidP="00000000" w:rsidRDefault="00000000" w:rsidRPr="00000000" w14:paraId="0000008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is not to say that bio-genetics is the be-all and end-all of the human essence. The perennial debate about which is more potent - nature or nurture - is not settled as yet. Not to be overlooked is the ethical and moral issue of whether genetic modification should be undertaken at all. The point for now, however, is that humankind is able to change itself not only by improving the environment, but also by altering genetic make-up. In other words, our uniqueness as individuals is dictated by our genome (the totality of our genetic information) which in turn is affected by nutrition, upbringing, environment and education. </w:t>
      </w:r>
    </w:p>
    <w:p w:rsidR="00000000" w:rsidDel="00000000" w:rsidP="00000000" w:rsidRDefault="00000000" w:rsidRPr="00000000" w14:paraId="0000008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Enhancement of </w:t>
      </w:r>
    </w:p>
    <w:p w:rsidR="00000000" w:rsidDel="00000000" w:rsidP="00000000" w:rsidRDefault="00000000" w:rsidRPr="00000000" w14:paraId="00000086">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Food Production</w:t>
      </w:r>
    </w:p>
    <w:p w:rsidR="00000000" w:rsidDel="00000000" w:rsidP="00000000" w:rsidRDefault="00000000" w:rsidRPr="00000000" w14:paraId="0000008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Moreover, </w:t>
      </w:r>
      <w:r w:rsidDel="00000000" w:rsidR="00000000" w:rsidRPr="00000000">
        <w:rPr>
          <w:rFonts w:ascii="Georgia" w:cs="Georgia" w:eastAsia="Georgia" w:hAnsi="Georgia"/>
          <w:i w:val="1"/>
          <w:iCs w:val="1"/>
          <w:rtl w:val="0"/>
        </w:rPr>
        <w:t xml:space="preserve">biotechnology</w:t>
      </w:r>
      <w:r w:rsidDel="00000000" w:rsidR="00000000" w:rsidRPr="00000000">
        <w:rPr>
          <w:rFonts w:ascii="Georgia" w:cs="Georgia" w:eastAsia="Georgia" w:hAnsi="Georgia"/>
          <w:rtl w:val="0"/>
        </w:rPr>
        <w:t xml:space="preserve"> makes it possible to enhance agricultural products through genetic modification. Already, this scientific advance is evident in the Philippines through successful experiments on hybrid rice and corn, which are claimed to be superior not only in nutrition but also in their easy and short planting requirements. This mutation translates to benefits for both producers and consumers in terms of lower prices and greater product availability. </w:t>
      </w:r>
    </w:p>
    <w:p w:rsidR="00000000" w:rsidDel="00000000" w:rsidP="00000000" w:rsidRDefault="00000000" w:rsidRPr="00000000" w14:paraId="0000008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realize that the use of genetically altered organisms and foods is still controversial. One set of advocates rejects these products because of the risks they pose to the health of those who ingest them, whether they are people or livestock. On the opposite camp are those who claim that these genetically modified (GM) foods are the answer to the urgent need to feed the burgeoning world population. In the Philippines as elsewhere, this controversy goes on not only in scientific laboratories but also in street marches, legislative deliberations and even in pulpits.</w:t>
      </w:r>
    </w:p>
    <w:p w:rsidR="00000000" w:rsidDel="00000000" w:rsidP="00000000" w:rsidRDefault="00000000" w:rsidRPr="00000000" w14:paraId="0000008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are basically three science issues in this debate: allergenicity, gene transfer and outcrossing. The first concerns the possible allergic effects GM foods may bring to consumers; the second involves the possibility of gene transfer from GM foods to the cells of the consumers, particularly if antibiotic-resistant genes used in GMOs are transfused; and the third refers to the mixing of genes from GM plants with those "in the wild," such as when GMOs good only as feeds for livestock appear in products for human consumption.</w:t>
      </w:r>
    </w:p>
    <w:p w:rsidR="00000000" w:rsidDel="00000000" w:rsidP="00000000" w:rsidRDefault="00000000" w:rsidRPr="00000000" w14:paraId="0000008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biotechnological controversy is also relevant to environmental protection. For example, a genetically modified bacterium may be applied to the banks of a river to clean up waste and mining sludge. But after slurping the waste, what would the organisms do to the environment? Will they devastate it and produce a problem more difficult to assess and to solve than the original one? </w:t>
      </w:r>
    </w:p>
    <w:p w:rsidR="00000000" w:rsidDel="00000000" w:rsidP="00000000" w:rsidRDefault="00000000" w:rsidRPr="00000000" w14:paraId="0000008B">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Judicial Awareness </w:t>
      </w:r>
    </w:p>
    <w:p w:rsidR="00000000" w:rsidDel="00000000" w:rsidP="00000000" w:rsidRDefault="00000000" w:rsidRPr="00000000" w14:paraId="0000008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of the Biosciences </w:t>
      </w:r>
    </w:p>
    <w:p w:rsidR="00000000" w:rsidDel="00000000" w:rsidP="00000000" w:rsidRDefault="00000000" w:rsidRPr="00000000" w14:paraId="0000008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controversies aside, it is obvious that the gigantic strides in life sciences and life technologies will change human behavior and social interaction. That is certain. These resulting alterations will, in turn, require new modes of governance and, for us in the judiciary, new jurisprudential norms without precedents. For this reason, the Supreme Court has been monitoring these epochal transformations, wrought by biosciences and biotechnologies, and the need to keep our judiciary attuned to them. How has this awareness of the Philippine judiciary come about? </w:t>
      </w:r>
    </w:p>
    <w:p w:rsidR="00000000" w:rsidDel="00000000" w:rsidP="00000000" w:rsidRDefault="00000000" w:rsidRPr="00000000" w14:paraId="0000008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the Court invited Dr. Franklin M. Zweig, president of the Einstein Institute for Science, Health and the Courts (EINSHAC), to orient it on the new sciences and how they could affect judicial decision-making. As a participant in the Supreme Court Centenary Lecture Series, Dr. Zweig delivered his talk entitled "Life Technologies and the Rule of Law" on November 14, 2000.</w:t>
      </w:r>
    </w:p>
    <w:p w:rsidR="00000000" w:rsidDel="00000000" w:rsidP="00000000" w:rsidRDefault="00000000" w:rsidRPr="00000000" w14:paraId="0000008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Our guest lecturer explained a brief overview of the “unprecedented rise, expansion and pervasiveness of biological technologies,” which will demand jurisprudential answers with no precedent or analogy. The study of human genetics may show “significant  limitations to human abilities to exercise free will." Thus, the "variations in the degrees of freedom that chemistry confers upon individuals" are likely to provide new defenses in criminal and civil cases. "My genes made me do it," can scientifically become a "respectable claim in criminal justice proceedings.”</w:t>
      </w:r>
    </w:p>
    <w:p w:rsidR="00000000" w:rsidDel="00000000" w:rsidP="00000000" w:rsidRDefault="00000000" w:rsidRPr="00000000" w14:paraId="0000009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another level, the distinguished lawyer-scientist added that genetic tests might be used to pre-screen appointees or candidates for public office. The possibility is imminent, considering that the new sciences may arguably show a predisposition to Alzheimer's disease, cancer, diabetes or other defects and illnesses.</w:t>
      </w:r>
    </w:p>
    <w:p w:rsidR="00000000" w:rsidDel="00000000" w:rsidP="00000000" w:rsidRDefault="00000000" w:rsidRPr="00000000" w14:paraId="0000009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whole, his lecture opened new vistas that may indeed alter our traditional concepts of dispute settlement.</w:t>
      </w:r>
    </w:p>
    <w:p w:rsidR="00000000" w:rsidDel="00000000" w:rsidP="00000000" w:rsidRDefault="00000000" w:rsidRPr="00000000" w14:paraId="0000009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Second, at EINSHAC's invitation, several Supreme Court justices participated in two international “conversations” on biosciences and biotechnologies as they affect the courts. One was held in Kona, Hawaii from June 30 to July 4, 2001; and the other, in Ottawa, Canada from June 17 to 21, 2002. As of this writing, there is a more than even chance that one of these international "conversations" may be held in the Philippines in the foreseeable future, perhaps in a year or two.</w:t>
      </w:r>
    </w:p>
    <w:p w:rsidR="00000000" w:rsidDel="00000000" w:rsidP="00000000" w:rsidRDefault="00000000" w:rsidRPr="00000000" w14:paraId="0000009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these international gatherings, scientists and academicians well-versed in the new sciences freely conversed with jurists and explained how DNA, as the elemental building block of nature, could be altered to change life-styles and societal phenomena, which in turn would necessitate new jurisprudence. In A Centenary of Justice, which came out in 2001, I included as Chapter 10 the talk I delivered during the Kona round entitled "Ready for the Bio-Age." Likewise, in Reforming the Judiciary, published in 2002, I incorporated, as Chapter 7, "Transparency, the Key to Sound Judgments," my remarks during a panel discussion in the Ottawa meeting. </w:t>
      </w:r>
    </w:p>
    <w:p w:rsidR="00000000" w:rsidDel="00000000" w:rsidP="00000000" w:rsidRDefault="00000000" w:rsidRPr="00000000" w14:paraId="0000009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All in all, these two international meetings provided the Supreme Court delegation with sufficient introductory knowledge that excited and enabled it to appreciate the relevance of the biosciences to the work of the judiciary.</w:t>
      </w:r>
    </w:p>
    <w:p w:rsidR="00000000" w:rsidDel="00000000" w:rsidP="00000000" w:rsidRDefault="00000000" w:rsidRPr="00000000" w14:paraId="0000009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Supreme Court </w:t>
      </w:r>
    </w:p>
    <w:p w:rsidR="00000000" w:rsidDel="00000000" w:rsidP="00000000" w:rsidRDefault="00000000" w:rsidRPr="00000000" w14:paraId="00000096">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Decisions on DNA</w:t>
      </w:r>
    </w:p>
    <w:p w:rsidR="00000000" w:rsidDel="00000000" w:rsidP="00000000" w:rsidRDefault="00000000" w:rsidRPr="00000000" w14:paraId="0000009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Third, in </w:t>
      </w:r>
      <w:r w:rsidDel="00000000" w:rsidR="00000000" w:rsidRPr="00000000">
        <w:rPr>
          <w:rFonts w:ascii="Georgia" w:cs="Georgia" w:eastAsia="Georgia" w:hAnsi="Georgia"/>
          <w:i w:val="1"/>
          <w:iCs w:val="1"/>
          <w:rtl w:val="0"/>
        </w:rPr>
        <w:t xml:space="preserve">Tijing v. Court of Appeals</w:t>
      </w:r>
      <w:r w:rsidDel="00000000" w:rsidR="00000000" w:rsidRPr="00000000">
        <w:rPr>
          <w:rFonts w:ascii="Georgia" w:cs="Georgia" w:eastAsia="Georgia" w:hAnsi="Georgia"/>
          <w:rtl w:val="0"/>
        </w:rPr>
        <w:t xml:space="preserve">, the Supreme Court (Second Division) for the first time - even if only as an obiter - said that "we now have the facility and expertise in using DNA tests for identification and parentage test.” It, however, cautioned that "being a novel scientific technique, the use of DNA test as evidence is still open to challenge. Eventually, as the appropriate case comes, courts should not hesitate to rule on the admissibility of DNA evidence. For it was said that courts should apply the results of science when competently obtained in aid of situations presented, since to reject said result is to deny progress. Though it is not necessary in this case to resort to DNA testing, in future it would be useful to all concerned in the prompt resolution of parentage and identity disputes." </w:t>
      </w:r>
    </w:p>
    <w:p w:rsidR="00000000" w:rsidDel="00000000" w:rsidP="00000000" w:rsidRDefault="00000000" w:rsidRPr="00000000" w14:paraId="0000009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year later, in </w:t>
      </w:r>
      <w:r w:rsidDel="00000000" w:rsidR="00000000" w:rsidRPr="00000000">
        <w:rPr>
          <w:rFonts w:ascii="Georgia" w:cs="Georgia" w:eastAsia="Georgia" w:hAnsi="Georgia"/>
          <w:i w:val="1"/>
          <w:iCs w:val="1"/>
          <w:rtl w:val="0"/>
        </w:rPr>
        <w:t xml:space="preserve">People v. Vallejo</w:t>
      </w:r>
      <w:r w:rsidDel="00000000" w:rsidR="00000000" w:rsidRPr="00000000">
        <w:rPr>
          <w:rFonts w:ascii="Georgia" w:cs="Georgia" w:eastAsia="Georgia" w:hAnsi="Georgia"/>
          <w:rtl w:val="0"/>
        </w:rPr>
        <w:t xml:space="preserve">, the Court en banc was more definitive in unanimously acknowledging the probative value of deoxyribonucleic acid (DNA) testing as a means of identification. "When a crime is committed, material is collected from the scene of the crime or from the victim's body for the suspect's DNA. This x x x evidence sample x x x is then matched with the reference sample taken from the suspect and the victim," the Court added.</w:t>
      </w:r>
    </w:p>
    <w:p w:rsidR="00000000" w:rsidDel="00000000" w:rsidP="00000000" w:rsidRDefault="00000000" w:rsidRPr="00000000" w14:paraId="0000009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Then the Court discussed the possible results of DNA testing and its forensic uses, as follows:</w:t>
      </w:r>
    </w:p>
    <w:p w:rsidR="00000000" w:rsidDel="00000000" w:rsidP="00000000" w:rsidRDefault="00000000" w:rsidRPr="00000000" w14:paraId="0000009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purpose of DNA testing is to ascertain whether an association exists between the evidence sample and the reference sample. The samples collected are subjected to various chemical processes to establish their profile. The test may yield three possible results: </w:t>
      </w:r>
    </w:p>
    <w:p w:rsidR="00000000" w:rsidDel="00000000" w:rsidP="00000000" w:rsidRDefault="00000000" w:rsidRPr="00000000" w14:paraId="0000009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samples are different and therefore must have originated from different sources (exclusion). This conclusion is absolute and requires no further analysis or discussion;</w:t>
      </w:r>
    </w:p>
    <w:p w:rsidR="00000000" w:rsidDel="00000000" w:rsidP="00000000" w:rsidRDefault="00000000" w:rsidRPr="00000000" w14:paraId="0000009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It is not possible to be sure, based on the results of the test, whether the samples have similar DNA types (inconclusive). This might occur for a variety of reasons including degradation, contamination, or failure of some aspect of the protocol. Various parts of the analysis might then be repeated with the same or a different sample, to obtain a more conclusive result; or </w:t>
      </w:r>
    </w:p>
    <w:p w:rsidR="00000000" w:rsidDel="00000000" w:rsidP="00000000" w:rsidRDefault="00000000" w:rsidRPr="00000000" w14:paraId="0000009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samples are similar, and could have originated from the same source (inclusion). In such a case, the samples are found to be similar, the analyst proceeds to determine the statistical significance of the similarity.</w:t>
      </w:r>
    </w:p>
    <w:p w:rsidR="00000000" w:rsidDel="00000000" w:rsidP="00000000" w:rsidRDefault="00000000" w:rsidRPr="00000000" w14:paraId="0000009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assessing the probative value of DNA evidence, therefore, courts should consider, among other things, the following data: how the were collected, how they were handled, the possibility of contamination of the samples, the procedure followed in analyzing the  samples, whether the proper standards and procedures were followed in conducting the tests, and the qualification of the analyst who conducted the tests." (Citations omitted.)</w:t>
      </w:r>
    </w:p>
    <w:p w:rsidR="00000000" w:rsidDel="00000000" w:rsidP="00000000" w:rsidRDefault="00000000" w:rsidRPr="00000000" w14:paraId="0000009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Philippines, "DNA has been successfully isolated from biological materials such as blood and bloodstains, saliva, semen and seminal stains, vaginal smears/ swabs, tissues and organs, bones and hair with follicles." In trial courts, these specimens have been used in cases - both civil and criminal - involving questioned parentage and identities of suspects.</w:t>
      </w:r>
    </w:p>
    <w:p w:rsidR="00000000" w:rsidDel="00000000" w:rsidP="00000000" w:rsidRDefault="00000000" w:rsidRPr="00000000" w14:paraId="000000A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Supreme Court </w:t>
      </w:r>
    </w:p>
    <w:p w:rsidR="00000000" w:rsidDel="00000000" w:rsidP="00000000" w:rsidRDefault="00000000" w:rsidRPr="00000000" w14:paraId="000000A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Bioscience Conference</w:t>
      </w:r>
    </w:p>
    <w:p w:rsidR="00000000" w:rsidDel="00000000" w:rsidP="00000000" w:rsidRDefault="00000000" w:rsidRPr="00000000" w14:paraId="000000A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Fourth and more pervadingly, the Supreme Court, the Philippine Judicial Academy and EINSHAC, with a grant from the US Agency for International Development (US AID) co-sponsored the "Conference-Workshop on Biosciences and Biotechnology" for Philippine magistrates on August 26-29, 2003 in Tagaytay City.</w:t>
      </w:r>
    </w:p>
    <w:p w:rsidR="00000000" w:rsidDel="00000000" w:rsidP="00000000" w:rsidRDefault="00000000" w:rsidRPr="00000000" w14:paraId="000000A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Attending this novel seminar in Tagaytay were several judges from selected regional trial courts nationwide. A team of EINSHAC scientists - Dr. Franklin M. Zweig, Dr. Lynn B. Jorde and Dr. Alan McHughen - and an American jurist, Justice Thomas E. Hollenhorst of the California Court of Appeals, came to reinforce the intellectual content of the program. </w:t>
      </w:r>
    </w:p>
    <w:p w:rsidR="00000000" w:rsidDel="00000000" w:rsidP="00000000" w:rsidRDefault="00000000" w:rsidRPr="00000000" w14:paraId="000000A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Also participating as guest speakers, resource persons, lecturers, panel members or session moderators were Chief Justice Hilario G. Davide Jr., Justice Artemio V. Panganiban, Justice Leonardo A. Quisumbing, Justice Angelina S. Gutierrez, Justice Dante O. Tinga, Justice Ameurfina A. of Melencio Herrera (Philja chancellor), Mr. Robert Wuertz of US AID, Undersecretary Rogelio A. Panlasigue of Department of Science and Technology, Solicitor General Alfredo L. Benipayo, Court of Appeals Justice Jose L. Sabio Jr., Commission on Human Rights Chair Purificacion V. Quisumbing, retired Sandiganbayan Presiding Justice Francis E. Garchitorena, Fr. Ranhilio C. Aquino, Dr. Marie Dunn Ricciardone, Dr. Ernelea P. Cao, Dr. Raquel R. Fortun, Dr. Maria Corazon A. de Ungria, Dr. Pacifico A. Agabin, Comm. Teresita Dy-Liacco Flores, Dr. Nita G. Barzaga, Dr. Carmencita Padilla, Dr. Evelyn Mae Mendoza, Dr. Kenneth Hartigan-Go, Dr. Saturnina C. Halos, Dr. Reynaldo Ebora, Prof. Jose Maria A. Ochave, Prof. Sedfrey M. Candelaria, and Attorney Ivan John E. Uy. </w:t>
      </w:r>
    </w:p>
    <w:p w:rsidR="00000000" w:rsidDel="00000000" w:rsidP="00000000" w:rsidRDefault="00000000" w:rsidRPr="00000000" w14:paraId="000000A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four major events brought awareness of the new biosciences and biotechnologies to our country. But I believe that it was the fourth item, the Conference-Workshop in Tagaytay, which completed the dawn of the bio-age in the Philippine judiciary. Its radiant scientific rays erased whatever dark doubts there may have been on the new sciences and their effects on law and decision-making. </w:t>
      </w:r>
    </w:p>
    <w:p w:rsidR="00000000" w:rsidDel="00000000" w:rsidP="00000000" w:rsidRDefault="00000000" w:rsidRPr="00000000" w14:paraId="000000A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this workshop, there were many lectures and papers submitted by scientists, jurists and lawyers. To show how far-ranging the discussions were, I have included, as Appendices to this book, the submissions of Justice Leonardo A. Quisumbing on biotechnology, Dr. Pacifico A. Agabin on DNA as it is used in evidence, and Fr. Ranhilio C. Aquino on ethical issues concerning the biosciences.      </w:t>
      </w:r>
    </w:p>
    <w:p w:rsidR="00000000" w:rsidDel="00000000" w:rsidP="00000000" w:rsidRDefault="00000000" w:rsidRPr="00000000" w14:paraId="000000A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through lectures, case studies, workshops and discussion groups, the Conference tackled the role of the courts in the genomics age. I will not attempt to summarize and report on the entire conference; I will just concentrate on the subject of human cloning, cell-line development, genetic engineering and patenting of genes - the subject assigned to me. Instead of the usual lecture-open forum, these topics were taken up via a fictional case scenario, printed copies of which were distributed to the attendees in advance. The "facts" of the case were originally prepared by Dr. Zweig, and discussed during the Ottawa round of the EINSHAC "conversations" For the Philippine seminar, I changed the scenario slightly by "Filipinizing" it to make it relevant and interesting to the Filipino judges attending the meeting. </w:t>
      </w:r>
    </w:p>
    <w:p w:rsidR="00000000" w:rsidDel="00000000" w:rsidP="00000000" w:rsidRDefault="00000000" w:rsidRPr="00000000" w14:paraId="000000A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the aid of "powerpoint" audiovisuals, I discussed the legal issues arising from the scenario. Thereafter, an open forum and a group discussion followed. Here are the "facts" of the case.</w:t>
      </w:r>
    </w:p>
    <w:p w:rsidR="00000000" w:rsidDel="00000000" w:rsidP="00000000" w:rsidRDefault="00000000" w:rsidRPr="00000000" w14:paraId="000000A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Human Cloning, Genetic Engineering, </w:t>
      </w:r>
    </w:p>
    <w:p w:rsidR="00000000" w:rsidDel="00000000" w:rsidP="00000000" w:rsidRDefault="00000000" w:rsidRPr="00000000" w14:paraId="000000AA">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Cell-Line Development and Patenting of Genes: </w:t>
      </w:r>
    </w:p>
    <w:p w:rsidR="00000000" w:rsidDel="00000000" w:rsidP="00000000" w:rsidRDefault="00000000" w:rsidRPr="00000000" w14:paraId="000000AB">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 Fictional Case Scenario </w:t>
      </w:r>
    </w:p>
    <w:p w:rsidR="00000000" w:rsidDel="00000000" w:rsidP="00000000" w:rsidRDefault="00000000" w:rsidRPr="00000000" w14:paraId="000000A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1998, Pedro Santos (a Filipino) and Maria Mancini (an Italian) exchanged marital vows in a well-publicized wedding held at the Santuario de San Antonio in Makati. Pedro was a biological software engineer working for a multinational pharmaceutical firm, while Maria was a jeweler who catered to the rich and famous. They lived in a beautiful house in Forbes Park and enjoyed all the blessings and bounties that money could buy. Everything seemed perfect, until they were told by their obstetrician that Maria was incapable of conceiving a child. The young couple was devastated. The revelation caused a lot of frustration, anxiety and pressure on their relationship as husband and wife. As a result, they decided to separate for a while, although the marriage remained.</w:t>
      </w:r>
    </w:p>
    <w:p w:rsidR="00000000" w:rsidDel="00000000" w:rsidP="00000000" w:rsidRDefault="00000000" w:rsidRPr="00000000" w14:paraId="000000A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zealously researching on the Internet, Maria learned of a new development in reproductive technology. That innovation was known as somatic cell nuclear transfer, otherwise referred to as reproductive cloning. The technology involves the extraction of a cell nucleus containing virtually the entire cell's DNA from a donor's tissue - for example, skin or mammary tissue. This extracted nucleus is then inserted into an egg cell whose original nucleus has been removed. After chemical and electronic stimulation successfully coaxes the reconstituted cell to divide, it can then be implanted into a human uterus.</w:t>
      </w:r>
    </w:p>
    <w:p w:rsidR="00000000" w:rsidDel="00000000" w:rsidP="00000000" w:rsidRDefault="00000000" w:rsidRPr="00000000" w14:paraId="000000A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Amazed and inspired by this new technology, Maria told her husband Pedro of her interest in undertaking this alternative reproductive method. Pedro vehemently opposed the idea and expressed his apprehensions regarding Maria's plan. Wanting so much to have a baby, Maria, accompanied by her best friend, Katrina Bond - a British lady married to Juan de la Cruz, a Filipino physician - went to a fertility clinic in Hong Kong to avail herself of the new reproductive procedure, even against her husband's wishes.</w:t>
      </w:r>
    </w:p>
    <w:p w:rsidR="00000000" w:rsidDel="00000000" w:rsidP="00000000" w:rsidRDefault="00000000" w:rsidRPr="00000000" w14:paraId="000000A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Hong Kong, Maria submitted herself to pre-implantation genetic tests. The initial testing revealed no known inherited diseases or genetic predisposition for developing any other defects or ailments. After a cell nucleus had been extracted from Maria's skin tissue and inserted into an egg cell that had already been denucleated, the resulting zygote or fertilized egg began to divide. Later, over the vehement objections of Juan, it was transferred to the womb of Katrina who served as a surrogate mother for the developing fetus.</w:t>
      </w:r>
    </w:p>
    <w:p w:rsidR="00000000" w:rsidDel="00000000" w:rsidP="00000000" w:rsidRDefault="00000000" w:rsidRPr="00000000" w14:paraId="000000B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Shortly after the baby was born, Maria and Katrina, together with the cloned child Carmina, returned to the Philippines. They resided in Ayala Alabang, separately from their Filipino husbands. The cloned child was raised jointly by the two women, who decided to live together.</w:t>
      </w:r>
    </w:p>
    <w:p w:rsidR="00000000" w:rsidDel="00000000" w:rsidP="00000000" w:rsidRDefault="00000000" w:rsidRPr="00000000" w14:paraId="000000B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Three years later, an emergency arose. Carmina, now a toddler, was left for a week in the care of Pedro, because Maria and Katrina had to attend a conference in Europe for a work-related convention. There had only been sporadic prior contact between the child and Pedro, and no legal arrangements had been made for custody or child support. On the second morning thereafter, Pedro noticed that the child manifested an unusually large amount of cranial hair loss. He systematically collected hair follicles from the child's bed clothes and pillow during the week that she was in his care. Maria and Katrina returned from their European trip and took the child back from Pedro. They had no idea that he had taken hair and follicle samples from Carmina.</w:t>
      </w:r>
    </w:p>
    <w:p w:rsidR="00000000" w:rsidDel="00000000" w:rsidP="00000000" w:rsidRDefault="00000000" w:rsidRPr="00000000" w14:paraId="000000B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Shortly after this baby-sitting episode, Pedro accepted a position in New Delhi, India, with a major Indian pharmaceutical corporation, IndoPharma. He then relocated to India and immediately assumed the functions of his new job. Working with a computational biologist, a structural biologist and a toxico-geneticist at IndoPharma, he analyzed Carmina's hair follicle cells from carefully preserved samples that he had brought with him from the Philippines. His scientific research team found abundant amounts of a previously unreported protein, which they named Rejectin-1 They demonstrated that it was encoded by a gene located on chromosome 6. This gene had a single-base mutation in Carmina. Private animal studies earlier conducted by IndoPharma had suggested that Rejectin-1 limited progesterone production during pregnancy.</w:t>
      </w:r>
    </w:p>
    <w:p w:rsidR="00000000" w:rsidDel="00000000" w:rsidP="00000000" w:rsidRDefault="00000000" w:rsidRPr="00000000" w14:paraId="000000B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Working with another IndoPharma reproductive technology team, the group found that Rejectin-1 was present in 80 percent of the women tested for spontaneous reproductive rejection. IndoPharma won India and US patents for Rejectin-1 and its gene-precursor. With the drug firm's approval, Pedro and his research colleagues formed an Australian-based company called AustroPharma, the primary business purpose of which was to license Rejectin- 1-producing cell lines for research derived from Carmina's hair follicles, the process for which an Australian patent was granted. AustroPharma was 40 percent owned by IndoPharma; the remaining 60 percent was owned equally by Pedro and Juan. </w:t>
      </w:r>
    </w:p>
    <w:p w:rsidR="00000000" w:rsidDel="00000000" w:rsidP="00000000" w:rsidRDefault="00000000" w:rsidRPr="00000000" w14:paraId="000000B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Two years after its founding, AustroPharma developed a gene therapy procedure to repair Rejectin-1 mutations. The firm obtained from the California Institute of Technology (CalTech) a license for "antisense oligonucleotide," a small piece of DNA that would bind to and neutralize the mutant gene, thereby infecting the cell by means of a lentivirus that carried the DNA "repair kit." CalTech reported this molecule as a successful repair mechanism. With its viral vector in a supportive solution, AustroPharma patented a vaccine named "ARO." The vaccine not only reduced Rejectin-1 levels, but also detected the latter's expression in uterine tissue by micro-array analysis. AustroPharma's confidential laboratory and clinical findings reported that uterine tissues could be fully targeted by one administration of intramuscular ARO. Further research determined that ARO administration substantially reduced implantation rejection among rabbits and mice with induced Rejectin-1 mutations.</w:t>
      </w:r>
    </w:p>
    <w:p w:rsidR="00000000" w:rsidDel="00000000" w:rsidP="00000000" w:rsidRDefault="00000000" w:rsidRPr="00000000" w14:paraId="000000B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a vacation trip to the Philippines, Pedro decided to visit Carmina. During this visit, he administered the ARO vaccine to the cloned child without the knowledge and consent of Maria and Katrina. A few weeks later, Carmina's hair loss ceased and replacement hair grew. After a year, she was diagnosed by a doctor to be afflicted with B-Thalessemia. Prior to the administration of the ARO vaccine, Maria had secured a life insurance contract for Carmina valued at P50 million, with Pedro as beneficiary.</w:t>
      </w:r>
    </w:p>
    <w:p w:rsidR="00000000" w:rsidDel="00000000" w:rsidP="00000000" w:rsidRDefault="00000000" w:rsidRPr="00000000" w14:paraId="000000B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meantime, AustroPharma generated massive income from sales of the cell lines and their derivative products and procedures. With these earnings, it bought Gentox, a laboratory located in the United States and incorporated in the State of Delaware. Gentox had had much experience in applying to the Philippine and the US Food and Drug Administrations (FDAs) for clinical trials of investigational biologics with human subjects. Gentox applied for a phase-one clinical trial permit to test ARO's toxicity on human beings for both infertility treatment and hair restoration purposes. Through Gentox, the Philippine and the US FDAs were provided all of AustroPharma's data. A large number of fertility and in-vitro fertilization clinics at   and dermatologists organizations endorsed the proposal and offered their participation. </w:t>
      </w:r>
    </w:p>
    <w:p w:rsidR="00000000" w:rsidDel="00000000" w:rsidP="00000000" w:rsidRDefault="00000000" w:rsidRPr="00000000" w14:paraId="000000B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course of issuing its approval for a phase-one clinical trial, the FDAs posted on their respective websites substantial information regarded by AustroPharma and Gentox to be their trade secrets. Specific, non-patent intellectual property regarding uterine targeting was  disclosed. AustroPharma valued this disclosure at an operating loss of $US 1.5 billion over the next five years. The second disclosure was that a cloned child was the source of the cell line, from which the gene therapy vaccine had been derived. Media frenzy ensued. Legal systems geared up for criminal prosecutions and civil actions, including damage/ injury/liability suits and reviews of administrative decisions by the Philippine and the US FDAs. </w:t>
      </w:r>
    </w:p>
    <w:p w:rsidR="00000000" w:rsidDel="00000000" w:rsidP="00000000" w:rsidRDefault="00000000" w:rsidRPr="00000000" w14:paraId="000000B8">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Legal Issues </w:t>
      </w:r>
    </w:p>
    <w:p w:rsidR="00000000" w:rsidDel="00000000" w:rsidP="00000000" w:rsidRDefault="00000000" w:rsidRPr="00000000" w14:paraId="000000B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conference, I took up the legal and judicial issues arising from the foregoing fictional case scenario, as follows: </w:t>
      </w:r>
    </w:p>
    <w:p w:rsidR="00000000" w:rsidDel="00000000" w:rsidP="00000000" w:rsidRDefault="00000000" w:rsidRPr="00000000" w14:paraId="000000B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Is a Clone </w:t>
      </w:r>
    </w:p>
    <w:p w:rsidR="00000000" w:rsidDel="00000000" w:rsidP="00000000" w:rsidRDefault="00000000" w:rsidRPr="00000000" w14:paraId="000000B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"Person"?.</w:t>
      </w:r>
    </w:p>
    <w:p w:rsidR="00000000" w:rsidDel="00000000" w:rsidP="00000000" w:rsidRDefault="00000000" w:rsidRPr="00000000" w14:paraId="000000B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start with, is Carmina, the cloned child, a "person" in legal contemplation? Or is she merely an "extension" of a human cell and tissue that have evolved into human form?</w:t>
      </w:r>
    </w:p>
    <w:p w:rsidR="00000000" w:rsidDel="00000000" w:rsidP="00000000" w:rsidRDefault="00000000" w:rsidRPr="00000000" w14:paraId="000000B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Article 40 of the Civil Code, "birth determines personality." But this determination seems to refer only to a "conceived child." Is Article 40 then not applicable to one who was not "conceived"; that is, one who was not the result of the normal fertilization of a human egg by a human sperm? Since the human clone is first a fetus before being born, is it not entitled to be accorded "birth" and "personality" - qualities that are "favorable to it" under Article 41? </w:t>
      </w:r>
    </w:p>
    <w:p w:rsidR="00000000" w:rsidDel="00000000" w:rsidP="00000000" w:rsidRDefault="00000000" w:rsidRPr="00000000" w14:paraId="000000B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Carmina is a "person," when was she conceived? How was her "intra-uterine" life determined? Who is her mother? Maria from whose cell she originated? Or Katrina from whose womb she was physically carried, nurtured and born?</w:t>
      </w:r>
    </w:p>
    <w:p w:rsidR="00000000" w:rsidDel="00000000" w:rsidP="00000000" w:rsidRDefault="00000000" w:rsidRPr="00000000" w14:paraId="000000C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Who is her father - Pedro? Juan? Is she legitimate or illegitimate? How can her filiation be established? Will a DNA test sustain her identity and parentage? </w:t>
      </w:r>
    </w:p>
    <w:p w:rsidR="00000000" w:rsidDel="00000000" w:rsidP="00000000" w:rsidRDefault="00000000" w:rsidRPr="00000000" w14:paraId="000000C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Carmina is merely an extension of an original person, are we prepared to say that a being that is capable of breathing, thinking, talking and working like any other human can be considered merely as an object? Or is she a sister of Maria and therefore, like her, the daughter of Maria's parents, since she possesses the chromosomes of these forebears?</w:t>
      </w:r>
    </w:p>
    <w:p w:rsidR="00000000" w:rsidDel="00000000" w:rsidP="00000000" w:rsidRDefault="00000000" w:rsidRPr="00000000" w14:paraId="000000C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view of the new science of cloning, are we prepared to classify parents as legal, biological, surrogate or adoptive? ? </w:t>
      </w:r>
    </w:p>
    <w:p w:rsidR="00000000" w:rsidDel="00000000" w:rsidP="00000000" w:rsidRDefault="00000000" w:rsidRPr="00000000" w14:paraId="000000C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Filiation of a </w:t>
      </w:r>
    </w:p>
    <w:p w:rsidR="00000000" w:rsidDel="00000000" w:rsidP="00000000" w:rsidRDefault="00000000" w:rsidRPr="00000000" w14:paraId="000000C4">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Human Clone</w:t>
      </w:r>
    </w:p>
    <w:p w:rsidR="00000000" w:rsidDel="00000000" w:rsidP="00000000" w:rsidRDefault="00000000" w:rsidRPr="00000000" w14:paraId="000000C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Family Code provides that the filiation of children may be by nature or by adoption. It also states that children conceived or born during the marriage of the parents are legitimate. If the child is conceived through artificial insemination with the sperm of the husband or a donor, the child shall likewise be considered a legitimate child of the husband and the wife, provided that both spouses authorized or ratified the insemination process in a written instrument executed before the birth of the child. On the other hand, it also mandates that children conceived or born outside a valid marriage are considered illegitimate. </w:t>
      </w:r>
    </w:p>
    <w:p w:rsidR="00000000" w:rsidDel="00000000" w:rsidP="00000000" w:rsidRDefault="00000000" w:rsidRPr="00000000" w14:paraId="000000C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our case study, the means by which Carmina was born - reproductive cloning - can hardly be described as natural. The procedure utilized for the conception of the cloned child was not artificial insemination, as it did not involve the sperm of Pedro or any sperm for that matter. Neither was there a written instrument, ratifying or authorizing such a reproductive procedure, executed by Pedro or Maria prior to the birth of Carmina. In view of the foregoing, was the conception or birth of Carmina within or outside the validly existing marriage of Pedro and Maria? How about Juan and Katrina?</w:t>
      </w:r>
    </w:p>
    <w:p w:rsidR="00000000" w:rsidDel="00000000" w:rsidP="00000000" w:rsidRDefault="00000000" w:rsidRPr="00000000" w14:paraId="000000C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important consideration of the child. Article 15 of the Civil Code states that laws relating to family rights and duties; or to the status, the condition or the legal capacity of persons, are binding upon citizens of the Philippines, even though living abroad. The Philippine law on citizenship adheres to the principle of jus sanguinis. Hence, a child follows the nationality of the parents regardless of the place of birth, as opposed to the doctrine of jus soli which determines nationality or citizenship on the basis of the place of birth. Is Carmina a Filipino? Assuming that both Italy and Britain follow</w:t>
      </w:r>
      <w:r w:rsidDel="00000000" w:rsidR="00000000" w:rsidRPr="00000000">
        <w:rPr>
          <w:rFonts w:ascii="Georgia" w:cs="Georgia" w:eastAsia="Georgia" w:hAnsi="Georgia"/>
          <w:i w:val="1"/>
          <w:iCs w:val="1"/>
          <w:rtl w:val="0"/>
        </w:rPr>
        <w:t xml:space="preserve"> jus soli</w:t>
      </w:r>
      <w:r w:rsidDel="00000000" w:rsidR="00000000" w:rsidRPr="00000000">
        <w:rPr>
          <w:rFonts w:ascii="Georgia" w:cs="Georgia" w:eastAsia="Georgia" w:hAnsi="Georgia"/>
          <w:rtl w:val="0"/>
        </w:rPr>
        <w:t xml:space="preserve">, may she still be considered a Filipino? Does she possess dual citizenship under our laws?</w:t>
      </w:r>
    </w:p>
    <w:p w:rsidR="00000000" w:rsidDel="00000000" w:rsidP="00000000" w:rsidRDefault="00000000" w:rsidRPr="00000000" w14:paraId="000000C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Parental Authority </w:t>
      </w:r>
    </w:p>
    <w:p w:rsidR="00000000" w:rsidDel="00000000" w:rsidP="00000000" w:rsidRDefault="00000000" w:rsidRPr="00000000" w14:paraId="000000C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Over a Human Clone </w:t>
      </w:r>
    </w:p>
    <w:p w:rsidR="00000000" w:rsidDel="00000000" w:rsidP="00000000" w:rsidRDefault="00000000" w:rsidRPr="00000000" w14:paraId="000000C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the resolution of these underlying issues come several other civil law questions. Specifically, who should exercise parental authority over Carmina? Who should have custody over her?                      </w:t>
      </w:r>
    </w:p>
    <w:p w:rsidR="00000000" w:rsidDel="00000000" w:rsidP="00000000" w:rsidRDefault="00000000" w:rsidRPr="00000000" w14:paraId="000000C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Note that under the Family Code, the father and the mother jointly exercise parental authority over their children; but in case of disagreement, the decision of the father prevails. Corollary to this, Article 220 of the Family Code provides that parents exercising parental authority have the right, among other rights, to keep their children in their company.26 Verily, parental authority stands to include the right and the duty to the custody of the child - excepting, of course, only what might otherwise be best for the child's welfare. The paternity issue could become even more complicated if, in a suit for support, the putative father refuses to acknowledge or recognize the child for having been conceived and born without his sperm or his adoption. On the other hand, may the fact of "living together" on the part of Maria and Katrina be characterized as " scandalous" and disqualify them from exercising parental authority over the clone? </w:t>
      </w:r>
    </w:p>
    <w:p w:rsidR="00000000" w:rsidDel="00000000" w:rsidP="00000000" w:rsidRDefault="00000000" w:rsidRPr="00000000" w14:paraId="000000C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Ownership </w:t>
      </w:r>
    </w:p>
    <w:p w:rsidR="00000000" w:rsidDel="00000000" w:rsidP="00000000" w:rsidRDefault="00000000" w:rsidRPr="00000000" w14:paraId="000000C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of Derivatives </w:t>
      </w:r>
    </w:p>
    <w:p w:rsidR="00000000" w:rsidDel="00000000" w:rsidP="00000000" w:rsidRDefault="00000000" w:rsidRPr="00000000" w14:paraId="000000C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narrated in the facts, Pedro was able to obtain discarded hair follicle samples from Carmina - samples from which were discovered and developed derivative products and procedures. Given this factual scenario, does Carmina have a cause of action to file a suit for damages against Pedro, Juan, IndoPharma, AustroPharma and Gentox for the conversion of her "property" into cell lines and gene therapy protocols and vaccines? How about Maria and Katrina - can they, instead, sue on the premise that the cell lines derived from Carmina, which were presumably Maria's, were unlawfully converted to commercial use by Pedro and by companies involved in the development of the vaccine and of the gene therapy procedures?</w:t>
      </w:r>
    </w:p>
    <w:p w:rsidR="00000000" w:rsidDel="00000000" w:rsidP="00000000" w:rsidRDefault="00000000" w:rsidRPr="00000000" w14:paraId="000000C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Looking at the other side of the contention, can Pedro argue that he is entitled to the hair follicles, considering that Maria and Carmina are his wife and daughter respectively? In this connection, I refer you to the Family Code provision with respect to legal guardianship of the child’s property - both parents exercise legal guardianship even without a court appointment to that effect. And just like the rule on parental authority, the decision of the father generally prevails.</w:t>
      </w:r>
    </w:p>
    <w:p w:rsidR="00000000" w:rsidDel="00000000" w:rsidP="00000000" w:rsidRDefault="00000000" w:rsidRPr="00000000" w14:paraId="000000D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is also the need to determine whether the discarded hair follicles, the cell lines and their derivative products/procedures are susceptible to ownership under our laws. Will the Civil Code provisions on property and ownership apply to the peculiar circumstances in the case study? Will the hair follicles not be considered as abandoned and thus capable of being owned by the finder? How about the cell lines, can they be deemed abandoned also? Your analyses and conclusions on these points will establish the property rights of the protagonists in our story and determine the course of their respective legal actions.</w:t>
      </w:r>
    </w:p>
    <w:p w:rsidR="00000000" w:rsidDel="00000000" w:rsidP="00000000" w:rsidRDefault="00000000" w:rsidRPr="00000000" w14:paraId="000000D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Causes of Action </w:t>
      </w:r>
    </w:p>
    <w:p w:rsidR="00000000" w:rsidDel="00000000" w:rsidP="00000000" w:rsidRDefault="00000000" w:rsidRPr="00000000" w14:paraId="000000D2">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for Damages</w:t>
      </w:r>
      <w:r w:rsidDel="00000000" w:rsidR="00000000" w:rsidRPr="00000000">
        <w:rPr>
          <w:rFonts w:ascii="Georgia" w:cs="Georgia" w:eastAsia="Georgia" w:hAnsi="Georgia"/>
          <w:i w:val="1"/>
          <w:iCs w:val="1"/>
          <w:rtl w:val="0"/>
        </w:rPr>
        <w:t xml:space="preserve"> </w:t>
      </w:r>
    </w:p>
    <w:p w:rsidR="00000000" w:rsidDel="00000000" w:rsidP="00000000" w:rsidRDefault="00000000" w:rsidRPr="00000000" w14:paraId="000000D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Insofar as entitlement to damages is concerned, the Civil Code provides that actual or compensatory damages may be awarded to any person suffering pecuniary loss. 03 Likewise, compensable damages include not only the value of the loss suffered, but also the profits that were not realized.13 Did Carmina or Maria or Katrina suffer pecuniary loss or compensable injuries from the acts of Pedro and his associates as would warrant indemnification for actual or compensatory damages? Can a cloned child actually suffer compensable personal injury? Can the three ladies singly or collectively sue for violation of their privacy rights or for damages under Article 26 of the Civil Code? </w:t>
      </w:r>
    </w:p>
    <w:p w:rsidR="00000000" w:rsidDel="00000000" w:rsidP="00000000" w:rsidRDefault="00000000" w:rsidRPr="00000000" w14:paraId="000000D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Assuming </w:t>
      </w:r>
      <w:r w:rsidDel="00000000" w:rsidR="00000000" w:rsidRPr="00000000">
        <w:rPr>
          <w:rFonts w:ascii="Georgia" w:cs="Georgia" w:eastAsia="Georgia" w:hAnsi="Georgia"/>
          <w:i w:val="1"/>
          <w:iCs w:val="1"/>
          <w:rtl w:val="0"/>
        </w:rPr>
        <w:t xml:space="preserve">arguendo</w:t>
      </w:r>
      <w:r w:rsidDel="00000000" w:rsidR="00000000" w:rsidRPr="00000000">
        <w:rPr>
          <w:rFonts w:ascii="Georgia" w:cs="Georgia" w:eastAsia="Georgia" w:hAnsi="Georgia"/>
          <w:rtl w:val="0"/>
        </w:rPr>
        <w:t xml:space="preserve"> that Carmina does have a cause of action for damages against Pedro, does she have the legal or juridical capacity to sue? Should she be represented by Maria or Katrina, or should Maria or Katrina file the case in their respective personal capacities?</w:t>
      </w:r>
    </w:p>
    <w:p w:rsidR="00000000" w:rsidDel="00000000" w:rsidP="00000000" w:rsidRDefault="00000000" w:rsidRPr="00000000" w14:paraId="000000D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Insurance Subjects </w:t>
      </w:r>
    </w:p>
    <w:p w:rsidR="00000000" w:rsidDel="00000000" w:rsidP="00000000" w:rsidRDefault="00000000" w:rsidRPr="00000000" w14:paraId="000000D6">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and Beneficiaries </w:t>
      </w:r>
    </w:p>
    <w:p w:rsidR="00000000" w:rsidDel="00000000" w:rsidP="00000000" w:rsidRDefault="00000000" w:rsidRPr="00000000" w14:paraId="000000D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connection with the insurance policy taken on the life of Carmina, may I pose the following questions: Can a cloned child be the subject of a life insurance policy? Or should the clone be insured as personal property of the donor? Does Maria or Pedro have an insurable interest in the life of Carmina? </w:t>
      </w:r>
    </w:p>
    <w:p w:rsidR="00000000" w:rsidDel="00000000" w:rsidP="00000000" w:rsidRDefault="00000000" w:rsidRPr="00000000" w14:paraId="000000D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One is said to have insurable interest when one has a relationship or connection with the insured; or a concern that one will derive pecuniary benefit or advantage from its preservation and will suffer pecuniary loss or damage from its destruction, termination or injury by the occurrence of the event insured against. Likewise, Section 10 (1) of the interest in one's life and health, spouse and children.</w:t>
      </w:r>
    </w:p>
    <w:p w:rsidR="00000000" w:rsidDel="00000000" w:rsidP="00000000" w:rsidRDefault="00000000" w:rsidRPr="00000000" w14:paraId="000000D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Other questions on the subject of insurance include the following: Was it proper for Maria to designate Pedro as the beneficiary? Can Maria subsequently revoke his designation as such? What if Carmina dies as a result of B-Thalessemia, which she developed after the ARO vaccine was administered to her? Can Pedro still recover the proceeds of the insurance contract? To answer these questions, there is need to consult the Insurance Code.35 Under Section 12 thereof, the interest of the beneficiary may be forfeited if he willfully brings about the death of the insured.</w:t>
      </w:r>
    </w:p>
    <w:p w:rsidR="00000000" w:rsidDel="00000000" w:rsidP="00000000" w:rsidRDefault="00000000" w:rsidRPr="00000000" w14:paraId="000000D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Laws on Patents and </w:t>
      </w:r>
    </w:p>
    <w:p w:rsidR="00000000" w:rsidDel="00000000" w:rsidP="00000000" w:rsidRDefault="00000000" w:rsidRPr="00000000" w14:paraId="000000DB">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Intellectual Property </w:t>
      </w:r>
    </w:p>
    <w:p w:rsidR="00000000" w:rsidDel="00000000" w:rsidP="00000000" w:rsidRDefault="00000000" w:rsidRPr="00000000" w14:paraId="000000D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Moving on to patents and intellectual property laws, may I pose the following inquiries: Can Pedro apply for a patent to the Rejectin-1 protein, the ARO vaccine and the gene therapy method here in the Philippines? Can Maria, Katrina or Carmina file an action to invalidate or cancel these patents if ever they are acquired? Can Pedro argue that the derivative products and procedures (the ARO vaccine, the gene therapy method, and so on) were merely inspired by the early analysis of Carmina's hair follicles, but were developed mainly through his own industry and scientific research?</w:t>
      </w:r>
    </w:p>
    <w:p w:rsidR="00000000" w:rsidDel="00000000" w:rsidP="00000000" w:rsidRDefault="00000000" w:rsidRPr="00000000" w14:paraId="000000D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Philippine law, the right of ownership over intellectual creation is recognized. Specific provisions in the Civil Code and special laws afford the necessary protection against possible infringement thereof. Specifically, Article 721 of the Civil Code provides that scientists and technologists acquire ownership of their discoveries or inventions. Likewise, Article 722 states that such ownership exists even before the patents are granted. On the other hand, Sections 21 and 22 of RA 82933 (the Intellectual Property Code) defines patentable and non-patentable inventions.</w:t>
      </w:r>
    </w:p>
    <w:p w:rsidR="00000000" w:rsidDel="00000000" w:rsidP="00000000" w:rsidRDefault="00000000" w:rsidRPr="00000000" w14:paraId="000000D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Can we now say that ownership of the foregoing patentable products and procedures belongs entirely to Pedro, even when he could not have developed these without the cell lines of Carmina and Maria? Take note that per Section 61 of RA 8293,37 a patent may be cancelled if it is "contrary to public order or morality."</w:t>
      </w:r>
    </w:p>
    <w:p w:rsidR="00000000" w:rsidDel="00000000" w:rsidP="00000000" w:rsidRDefault="00000000" w:rsidRPr="00000000" w14:paraId="000000D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related incident with considerable legal consequences is the Philippine Food and Drug Administration's posting on its website of information on the ARO vaccine and its development - information that AustroPharma and Gentox consider trade secrets. Did the disclosure of such secrets amount to an infringement of intellectual property? Can the courts compel the Philippine FDA to compensate AustroPharma and Gentox for their alleged losses?</w:t>
      </w:r>
    </w:p>
    <w:p w:rsidR="00000000" w:rsidDel="00000000" w:rsidP="00000000" w:rsidRDefault="00000000" w:rsidRPr="00000000" w14:paraId="000000E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be able to answer these questions, it would be advisable to look into the provisions of the new Intellectual Property Code, which has superseded and / or expanded the coverage, the application and some of the provisions of the Patent Law.</w:t>
      </w:r>
    </w:p>
    <w:p w:rsidR="00000000" w:rsidDel="00000000" w:rsidP="00000000" w:rsidRDefault="00000000" w:rsidRPr="00000000" w14:paraId="000000E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Criminal Liability </w:t>
      </w:r>
    </w:p>
    <w:p w:rsidR="00000000" w:rsidDel="00000000" w:rsidP="00000000" w:rsidRDefault="00000000" w:rsidRPr="00000000" w14:paraId="000000E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We now come to the criminal law aspect of our case study. From the given set of facts, Pedro took hair follicle samples from Carmina without her knowledge and consent.</w:t>
      </w:r>
    </w:p>
    <w:p w:rsidR="00000000" w:rsidDel="00000000" w:rsidP="00000000" w:rsidRDefault="00000000" w:rsidRPr="00000000" w14:paraId="000000E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Did this "taking" constitute theft? Can there be theft of abandoned or discarded hair follicles? Was the alleged theft committed against the clone Carmina or the donor Maria? Who would be the complainant? In the first place, can Pedro commit theft against his "daughter" or his wife?</w:t>
      </w:r>
    </w:p>
    <w:p w:rsidR="00000000" w:rsidDel="00000000" w:rsidP="00000000" w:rsidRDefault="00000000" w:rsidRPr="00000000" w14:paraId="000000E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Before you even begin to identify the elements of the crime of theft, you may want to refer to Article 332 of the Revised Penal Code which exempts spouses, ascendants and descendants from any criminal liability for theft, swindling and malicious mischief.</w:t>
      </w:r>
    </w:p>
    <w:p w:rsidR="00000000" w:rsidDel="00000000" w:rsidP="00000000" w:rsidRDefault="00000000" w:rsidRPr="00000000" w14:paraId="000000E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Relevant to the civil and the criminal actions against Pedro are the rules on evidence. Can Maria, the wife, testify against him, given the prohibitions/ disqualifications in Section 22 of Rule 130 of the Rules of Court? Suppose the case is instituted by Maria as the legal representative of Carmina; will these disqualifications and prohibitions still apply?</w:t>
      </w:r>
    </w:p>
    <w:p w:rsidR="00000000" w:rsidDel="00000000" w:rsidP="00000000" w:rsidRDefault="00000000" w:rsidRPr="00000000" w14:paraId="000000E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administering the ARO vaccine to Carmina, is Pedro liable for physical injuries? Can his act be considered criminal, considering that his intentions were noble, having been done for the benefit of the child? Of particular interest in connection with this inquiry is Article 264 of the Revised Penal Code, which punishes the act of knowingly administering any injurious substance or beverage to another even without any intent to kill. </w:t>
      </w:r>
    </w:p>
    <w:p w:rsidR="00000000" w:rsidDel="00000000" w:rsidP="00000000" w:rsidRDefault="00000000" w:rsidRPr="00000000" w14:paraId="000000E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What if the Carmina dies from the disease developed? Can Pedro be held criminally liable for the resulting death? Would the charge be for murder, homicide or parricide? Is the killing of a clone considered destruction of human life or merely of property?</w:t>
      </w:r>
    </w:p>
    <w:p w:rsidR="00000000" w:rsidDel="00000000" w:rsidP="00000000" w:rsidRDefault="00000000" w:rsidRPr="00000000" w14:paraId="000000E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Even the provisions of our tax laws will be affected. Can cloned children be considered dependents, for which additional exemptions can be claimed by a taxpayer? Can the nucleus derived from a donor's tissue, which is not susceptible of appropriation, be considered as a donation subject to a donor's tax?</w:t>
      </w:r>
    </w:p>
    <w:p w:rsidR="00000000" w:rsidDel="00000000" w:rsidP="00000000" w:rsidRDefault="00000000" w:rsidRPr="00000000" w14:paraId="000000E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Conclusion</w:t>
      </w:r>
    </w:p>
    <w:p w:rsidR="00000000" w:rsidDel="00000000" w:rsidP="00000000" w:rsidRDefault="00000000" w:rsidRPr="00000000" w14:paraId="000000E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Given the wide and deep range of legal issues I have raised, you - the judges-participants - may by now be suffering from an overdose. You may be more bewildered now than when I first started this talk. Consequently, during your group discussions, there will probably be a wide divergence of views and spectrum of theories that you may not be able to reconcile.</w:t>
      </w:r>
    </w:p>
    <w:p w:rsidR="00000000" w:rsidDel="00000000" w:rsidP="00000000" w:rsidRDefault="00000000" w:rsidRPr="00000000" w14:paraId="000000E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However, do not despair or be disheartened, for even the Supreme Court may not have ready answers to the legal dilemmas posed by our case study - at least, not yet. Remember that our purpose in this exercise is to be able to understand the intricacies of the new sciences and to be able to assess the applicability of existing laws and jurisprudence as well as the readiness of our courts to meet the exciting challenges of the dawning bio-era.</w:t>
      </w:r>
    </w:p>
    <w:p w:rsidR="00000000" w:rsidDel="00000000" w:rsidP="00000000" w:rsidRDefault="00000000" w:rsidRPr="00000000" w14:paraId="000000E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this date, I am unaware of Philippine laws or statutes that have been proposed, much less enacted, to address these legal challenges. In some jurisdictions, current legislations refer only to restrictions on the development of cloning technology and the provision of criminal sanctions for violations of declared prohibitions. Moreover, I have yet to find any local jurisprudence that can directly guide us in the resolution of novel issues on human cloning, genetic research and other life technologies.</w:t>
      </w:r>
    </w:p>
    <w:p w:rsidR="00000000" w:rsidDel="00000000" w:rsidP="00000000" w:rsidRDefault="00000000" w:rsidRPr="00000000" w14:paraId="000000E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Dr. Franklin M. Zweig, in his lecture entitled "Life Technologies and the Rule of Law, "41 explained the dilemma in this wise:</w:t>
      </w:r>
    </w:p>
    <w:p w:rsidR="00000000" w:rsidDel="00000000" w:rsidP="00000000" w:rsidRDefault="00000000" w:rsidRPr="00000000" w14:paraId="000000E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"Imposed on our global society by the unprecedented rise, expansion and pervasiveness of biological technologies, we should anticipate, analyze and deliberate on cases and controversies for which historically we have no precedent, [and] no analogy.”</w:t>
      </w:r>
    </w:p>
    <w:p w:rsidR="00000000" w:rsidDel="00000000" w:rsidP="00000000" w:rsidRDefault="00000000" w:rsidRPr="00000000" w14:paraId="000000E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legal issues involved in cloning and stem cell technology are inherently complex. There are many baffling areas where we may not have firm answers as yet. But we must still grapple with the realities of the new bio-sciences and learn to cope with the long-term and far-reaching effects they will have on our legal system and dispensation of justice. After all, under our Civil Code, the silence, the obscurity or the insufficiency of our laws is not an excuse to avoid rendering judgments in appropriate cases. </w:t>
      </w:r>
    </w:p>
    <w:p w:rsidR="00000000" w:rsidDel="00000000" w:rsidP="00000000" w:rsidRDefault="00000000" w:rsidRPr="00000000" w14:paraId="000000F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F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F2">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2 </w:t>
      </w:r>
    </w:p>
    <w:p w:rsidR="00000000" w:rsidDel="00000000" w:rsidP="00000000" w:rsidRDefault="00000000" w:rsidRPr="00000000" w14:paraId="000000F3">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Judicial Globalization</w:t>
      </w:r>
    </w:p>
    <w:p w:rsidR="00000000" w:rsidDel="00000000" w:rsidP="00000000" w:rsidRDefault="00000000" w:rsidRPr="00000000" w14:paraId="000000F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F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congratulate the Philippine Judicial Academy (Philja) - led by its eminent chancellor, Madame Justice Ameurfina A. Melencio Herrera - for spearheading the First Australasia Judicial Educators Forum (AJEC). I'his gathering provides judicial educators from 21 countries a venue for exchanging views and experiences. </w:t>
      </w:r>
    </w:p>
    <w:p w:rsidR="00000000" w:rsidDel="00000000" w:rsidP="00000000" w:rsidRDefault="00000000" w:rsidRPr="00000000" w14:paraId="000000F6">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Paradigm Shifts in </w:t>
      </w:r>
    </w:p>
    <w:p w:rsidR="00000000" w:rsidDel="00000000" w:rsidP="00000000" w:rsidRDefault="00000000" w:rsidRPr="00000000" w14:paraId="000000F7">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Law and Legal Philosophy </w:t>
      </w:r>
    </w:p>
    <w:p w:rsidR="00000000" w:rsidDel="00000000" w:rsidP="00000000" w:rsidRDefault="00000000" w:rsidRPr="00000000" w14:paraId="000000F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topic assigned to me this morning is "Paradigm Shifts in Law and Changing Philosophical Perspectives." This assignment requires a study of how the gigantic strides in other fields of human knowledge have affected and continue to affect law in general and judicial doctrines in particular. </w:t>
      </w:r>
    </w:p>
    <w:p w:rsidR="00000000" w:rsidDel="00000000" w:rsidP="00000000" w:rsidRDefault="00000000" w:rsidRPr="00000000" w14:paraId="000000F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turn, I believe that the major transformational shifts in the world have been brought about mainly by the informational and technological revolution unfolding even now as I speak. I refer to computerization, miniaturization, digitization, satellite communications, fiber optics and the Internet - all of which, taken together, tend to integrate knowledge on a worldwide scale. This international integration of knowledge, technologies and systems is referred to as globalization. </w:t>
      </w:r>
    </w:p>
    <w:p w:rsidR="00000000" w:rsidDel="00000000" w:rsidP="00000000" w:rsidRDefault="00000000" w:rsidRPr="00000000" w14:paraId="000000F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According to Thomas L. Friedman in his current best seller, </w:t>
      </w:r>
      <w:r w:rsidDel="00000000" w:rsidR="00000000" w:rsidRPr="00000000">
        <w:rPr>
          <w:rFonts w:ascii="Georgia" w:cs="Georgia" w:eastAsia="Georgia" w:hAnsi="Georgia"/>
          <w:i w:val="1"/>
          <w:iCs w:val="1"/>
          <w:rtl w:val="0"/>
        </w:rPr>
        <w:t xml:space="preserve">The Lexus and the Olive Tree</w:t>
      </w:r>
      <w:r w:rsidDel="00000000" w:rsidR="00000000" w:rsidRPr="00000000">
        <w:rPr>
          <w:rFonts w:ascii="Georgia" w:cs="Georgia" w:eastAsia="Georgia" w:hAnsi="Georgia"/>
          <w:rtl w:val="0"/>
        </w:rPr>
        <w:t xml:space="preserve">, "[t]he challenge in this era of globalization - for countries and individuals - is to find a healthy balance between preserving a sense of identity, home and community, and doing what it takes to survive within the globalization system." Otherwise stated, the need of the hour is to balance national interest with international survival. And for all of us today, the specific task is to find out how globalization has affected judicial decision-making on the national level. </w:t>
      </w:r>
    </w:p>
    <w:p w:rsidR="00000000" w:rsidDel="00000000" w:rsidP="00000000" w:rsidRDefault="00000000" w:rsidRPr="00000000" w14:paraId="000000F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begin with the well-known caveat that, traditionally, laws and judicial decisions are territorial in scope and are binding only within the country of the issuing authority. This concept flows from the centuries-old view that sovereignty is absolute within a state's boundary. However, the advances of science, the cross-pollination of technology, and the realities of our ever-shrinking world have gradually assaulted this doctrine. A new paradigm has emerged, demanding the universalization of laws and of the judicial rulings interpreting them. </w:t>
      </w:r>
    </w:p>
    <w:p w:rsidR="00000000" w:rsidDel="00000000" w:rsidP="00000000" w:rsidRDefault="00000000" w:rsidRPr="00000000" w14:paraId="000000F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Verily, issues concerning diverse subjects like international trade, banking, intellectual property, immigration, human rights, human dignity and criminal law enforcement have built up a burgeoning literature on the subject of judicial globalization. One of the leading academics in this field, Professor Anne-Marie Slaughter of Harvard Law School, says that modern judges should "see one another not only as servants or even representatives of a particular government or party, but as fellow professionals in a profession that transcends national borders." Justice Claire L'Heureux-Dube of the Supreme Court of Canada - in a speech before the "First International Conversation on Enviro-Genetics Disputes and Issues" sponsored by the Einstein Institute for Science, Health and the Courts (EINSHAC) and held in Kona, Hawaii on July 1, 2001 - opined that it is "no longer appropriate to speak of the impact or influence of certain courts on other countries but rather of the place of all courts in the global dialogue on human rights and other common legal questions." </w:t>
      </w:r>
    </w:p>
    <w:p w:rsidR="00000000" w:rsidDel="00000000" w:rsidP="00000000" w:rsidRDefault="00000000" w:rsidRPr="00000000" w14:paraId="000000F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Need for International </w:t>
      </w:r>
    </w:p>
    <w:p w:rsidR="00000000" w:rsidDel="00000000" w:rsidP="00000000" w:rsidRDefault="00000000" w:rsidRPr="00000000" w14:paraId="000000F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b w:val="1"/>
          <w:bCs w:val="1"/>
          <w:i w:val="1"/>
          <w:iCs w:val="1"/>
          <w:rtl w:val="0"/>
        </w:rPr>
        <w:t xml:space="preserve">Judicial Cooperation</w:t>
      </w:r>
      <w:r w:rsidDel="00000000" w:rsidR="00000000" w:rsidRPr="00000000">
        <w:rPr>
          <w:rFonts w:ascii="Georgia" w:cs="Georgia" w:eastAsia="Georgia" w:hAnsi="Georgia"/>
          <w:rtl w:val="0"/>
        </w:rPr>
        <w:t xml:space="preserve"> </w:t>
      </w:r>
    </w:p>
    <w:p w:rsidR="00000000" w:rsidDel="00000000" w:rsidP="00000000" w:rsidRDefault="00000000" w:rsidRPr="00000000" w14:paraId="000000F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Judicial globalization, sometimes referred to as "world constitutionalism" or more simply as "international judicial cooperation," is necessitated by the basic similarities of issues facing many courts all over the world at present. Because of advances in communications, information is now more easily transmitted across borders. Almost all superior courts in the world have        websites from which pronouncements can be accessed easily. As a result, people have become more aware of the decisions of courts in other states and are encouraged to pursue similar suits in other countries .</w:t>
      </w:r>
    </w:p>
    <w:p w:rsidR="00000000" w:rsidDel="00000000" w:rsidP="00000000" w:rsidRDefault="00000000" w:rsidRPr="00000000" w14:paraId="0000010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Consider also that many Constitutions contain similar invocations of basic human rights. Thus, interpretations of these fundamental aspirations in one jurisdiction necessarily influence others, resulting in the rise of an "international human rights law." One shining example is the Universal Declaration of Human Rights, which the Philippines considers to be a set of generally accepted international law principles, and which it has incorporated into its national laws by express constitutional provision. </w:t>
      </w:r>
    </w:p>
    <w:p w:rsidR="00000000" w:rsidDel="00000000" w:rsidP="00000000" w:rsidRDefault="00000000" w:rsidRPr="00000000" w14:paraId="0000010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frequent contacts amongst magistrates and judicial educators, like in the present forum, help crystallize this exchange of judicial wisdom and experience. I am sure that by this gathering, the cause of judicial globalization will be promoted. </w:t>
      </w:r>
    </w:p>
    <w:p w:rsidR="00000000" w:rsidDel="00000000" w:rsidP="00000000" w:rsidRDefault="00000000" w:rsidRPr="00000000" w14:paraId="0000010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further explain the phenomenon of judicial globalization, let me analyze some mega-events in the world. The last century was dominated by an incessant global struggle amongst various ideologies and forces. Before the 20th century ended, however, the world had witnessed the collapse of colonialism and totalitarianism; and the victory of independence, freedom and nationalism. The Cold War and the balance of nuclear terror have ended as well. Only one super power dominates the earth now. Verily, Pax their Americana has prevailed. </w:t>
      </w:r>
    </w:p>
    <w:p w:rsidR="00000000" w:rsidDel="00000000" w:rsidP="00000000" w:rsidRDefault="00000000" w:rsidRPr="00000000" w14:paraId="0000010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we entered into the 21st century, we witnessed the arena for world preeminence shifting from conventional military warfare to a more subtle economic, informational and intellectual one-upmanship amongst great powers like the United States, Europe, Russia and the new economic giant, the People's Republic of China. In this new race, attention has veered from government control to deregulation, from state ownership to privatization and from national sovereignty to liberalization.</w:t>
      </w:r>
    </w:p>
    <w:p w:rsidR="00000000" w:rsidDel="00000000" w:rsidP="00000000" w:rsidRDefault="00000000" w:rsidRPr="00000000" w14:paraId="00000104">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Aberration </w:t>
      </w:r>
    </w:p>
    <w:p w:rsidR="00000000" w:rsidDel="00000000" w:rsidP="00000000" w:rsidRDefault="00000000" w:rsidRPr="00000000" w14:paraId="0000010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of "9/11"</w:t>
      </w:r>
    </w:p>
    <w:p w:rsidR="00000000" w:rsidDel="00000000" w:rsidP="00000000" w:rsidRDefault="00000000" w:rsidRPr="00000000" w14:paraId="0000010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this transformational struggle, however, a new ingredient - call it an aberration or an anomaly if you will - has set in. The September 11, 2001 (9/11) attacks on the World Trade Center in New York and the Pentagon in Washington jarred Pax Americana. "American justice" was swiftly meted out. The Taliban regime in Afghanistan was toppled, while the disarming of Iraq was done in three weeks. In the process, the complexion of traditional warfare is undergoing a metamorphosis, and the rest of the world is getting a crash course on the new meaning of a "just war."</w:t>
      </w:r>
    </w:p>
    <w:p w:rsidR="00000000" w:rsidDel="00000000" w:rsidP="00000000" w:rsidRDefault="00000000" w:rsidRPr="00000000" w14:paraId="0000010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wars on terror in Afghanistan and in Iraq were no longer confined to an external armed aggression launched for the purpose of annexing or occupying territories; it included a more subtle "search and destroy" operation against bands of terrorists wherever they might be found in the world. Indeed, terror supposedly knows no country and is undeterred by territorial boundaries.</w:t>
      </w:r>
    </w:p>
    <w:p w:rsidR="00000000" w:rsidDel="00000000" w:rsidP="00000000" w:rsidRDefault="00000000" w:rsidRPr="00000000" w14:paraId="0000010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the Bush doctrine - as played out in the isolation and the subjugation of Iraq - has revolutionized the traditional concept of a just war, which is essentially a defense against an actual or imminent armed attack. Will the world and the United Nations, despite the intransigence of France, Germany, China and Russia, eventually accept this American theory of preemptive war?</w:t>
      </w:r>
    </w:p>
    <w:p w:rsidR="00000000" w:rsidDel="00000000" w:rsidP="00000000" w:rsidRDefault="00000000" w:rsidRPr="00000000" w14:paraId="0000010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last query requires a grand paper by itself and, thus, I will not attempt any presumptuous answer, but will only say that I will await the world's verdict. In the meantime, let me return to today's topic: the shifting paradigms of law and judicial dispensation brought about by swirling international events and trends, elegantly encapsulated in the so-called "waves" of civilization. </w:t>
      </w:r>
    </w:p>
    <w:p w:rsidR="00000000" w:rsidDel="00000000" w:rsidP="00000000" w:rsidRDefault="00000000" w:rsidRPr="00000000" w14:paraId="0000010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"Waves"</w:t>
      </w:r>
    </w:p>
    <w:p w:rsidR="00000000" w:rsidDel="00000000" w:rsidP="00000000" w:rsidRDefault="00000000" w:rsidRPr="00000000" w14:paraId="0000010B">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of Civilization</w:t>
      </w:r>
    </w:p>
    <w:p w:rsidR="00000000" w:rsidDel="00000000" w:rsidP="00000000" w:rsidRDefault="00000000" w:rsidRPr="00000000" w14:paraId="0000010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mega-shift in legal and judicial concepts from parochialism to internationalism and from isolationism to interdependence is consistent with the history of civilization itself. In his best seller entitled </w:t>
      </w:r>
      <w:r w:rsidDel="00000000" w:rsidR="00000000" w:rsidRPr="00000000">
        <w:rPr>
          <w:rFonts w:ascii="Georgia" w:cs="Georgia" w:eastAsia="Georgia" w:hAnsi="Georgia"/>
          <w:i w:val="1"/>
          <w:iCs w:val="1"/>
          <w:rtl w:val="0"/>
        </w:rPr>
        <w:t xml:space="preserve">The Third Wave,</w:t>
      </w:r>
      <w:r w:rsidDel="00000000" w:rsidR="00000000" w:rsidRPr="00000000">
        <w:rPr>
          <w:rFonts w:ascii="Georgia" w:cs="Georgia" w:eastAsia="Georgia" w:hAnsi="Georgia"/>
          <w:rtl w:val="0"/>
        </w:rPr>
        <w:t xml:space="preserve"> Alvin Toffler divides known civilization into three main parts: "a First Wave agricultural phase, a Second Wave industrial phase and a Third Wave [informational] phase xxx." He explains that "the First Wave of change - the agricultural revolution - took thousands of years to play itself out. The Second Wave - the rise of industrial civilization - took a mere three hundred years. Today, history is even more accelerative, and it is likely that the Third Wave will sweep across history and complete itself in a few decades. x xx. This new civilization x x x will topple bureaucracies, reduce the role of nation states, and give rise to semiautonomous economies in a post imperialist world. It requires governments that are simpler, more effective, yet more democratic than any we know today. It is a civilization with its own distinctive outlook, its own ways of dealing with time, space, logic and causality.</w:t>
      </w:r>
    </w:p>
    <w:p w:rsidR="00000000" w:rsidDel="00000000" w:rsidP="00000000" w:rsidRDefault="00000000" w:rsidRPr="00000000" w14:paraId="0000010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Toffler wrote that earth-shaking prognosis 23 years ago in 1980. When I first read his book I could not imagine how the possession, the digitization and the distribution of information could become more valuable than the production and the sale of food and machines; and how intangibles like electronic data and the Internet could command higher stock prices than gold and real estate. </w:t>
      </w:r>
    </w:p>
    <w:p w:rsidR="00000000" w:rsidDel="00000000" w:rsidP="00000000" w:rsidRDefault="00000000" w:rsidRPr="00000000" w14:paraId="0000010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we now know that the advent of the information age, heralded by the personal computer and the cellular phone, has radically transformed the ways of the world from its mundane eating habits to electronic commerce to scientific research and even to judicial doctrines and tools. </w:t>
      </w:r>
    </w:p>
    <w:p w:rsidR="00000000" w:rsidDel="00000000" w:rsidP="00000000" w:rsidRDefault="00000000" w:rsidRPr="00000000" w14:paraId="0000010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Second Wave - or the industrial revolution - has produced new wealth and propelled mega-entrepreneurs like John Rockefeller, Cornelius Vanderbilt and Henry Ford. It has also caused profound changes in labor, as well as in constitutional, commercial and administrative law.</w:t>
      </w:r>
    </w:p>
    <w:p w:rsidR="00000000" w:rsidDel="00000000" w:rsidP="00000000" w:rsidRDefault="00000000" w:rsidRPr="00000000" w14:paraId="0000011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Likewise, during its comparatively short reign, the Third Wave - or the computer age - has inspired the rise of super billionaires like Bill Gates who became the richest man in the world at age 45; John Morgridge and John Chambers of Cisco Systems, Inc.; and Gordon Moore and Bob Noyce of Intel. It has also influenced the rapid development of international commercial law.</w:t>
      </w:r>
    </w:p>
    <w:p w:rsidR="00000000" w:rsidDel="00000000" w:rsidP="00000000" w:rsidRDefault="00000000" w:rsidRPr="00000000" w14:paraId="0000011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And now, even as I speak, a Fourth Wave - the bio-age - is dawning upon the earth. The very recent phenomenal advances in bio-technology, especially in cloning, stem cell research and germ-line engineering have engendered new issues. These issues include not only the enhancement of health and longevity; but also the alteration and even the manipulation of human behavior, especially three higher forms with genetic roots: those linked to intelligence, crime and sexuality. In short, we are in the midst of a scientific and technological revolution that started in humanity's ability to decode DNA; and is careening towards the more mind-boggling power to manipulate human life, health, behavior, well-being and happiness. Serving as a bridge between these two stages of development is the comprehensive mapping of the human genome, a gargantuan project recently completed way ahead of schedule, in the year 2000. </w:t>
      </w:r>
    </w:p>
    <w:p w:rsidR="00000000" w:rsidDel="00000000" w:rsidP="00000000" w:rsidRDefault="00000000" w:rsidRPr="00000000" w14:paraId="00000112">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Two Questions </w:t>
      </w:r>
    </w:p>
    <w:p w:rsidR="00000000" w:rsidDel="00000000" w:rsidP="00000000" w:rsidRDefault="00000000" w:rsidRPr="00000000" w14:paraId="0000011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for This Forum</w:t>
      </w:r>
    </w:p>
    <w:p w:rsidR="00000000" w:rsidDel="00000000" w:rsidP="00000000" w:rsidRDefault="00000000" w:rsidRPr="00000000" w14:paraId="0000011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this forum, as we contemplate these monumental transformations happening all around us, two questions arise:</w:t>
      </w:r>
    </w:p>
    <w:p w:rsidR="00000000" w:rsidDel="00000000" w:rsidP="00000000" w:rsidRDefault="00000000" w:rsidRPr="00000000" w14:paraId="0000011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Are our judiciaries, especially our highest courts, ready to tackle the opportunities and legal problems wrought by the ongoing computer age and the dawning bio-age? </w:t>
      </w:r>
    </w:p>
    <w:p w:rsidR="00000000" w:rsidDel="00000000" w:rsidP="00000000" w:rsidRDefault="00000000" w:rsidRPr="00000000" w14:paraId="0000011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What has so far been the track record of our judiciaries, especially our highest courts, in confronting the new paradigms brought about by these revolutionary changes?</w:t>
      </w:r>
    </w:p>
    <w:p w:rsidR="00000000" w:rsidDel="00000000" w:rsidP="00000000" w:rsidRDefault="00000000" w:rsidRPr="00000000" w14:paraId="0000011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paper hopes to provide a Philippine answer to both questions. .</w:t>
      </w:r>
    </w:p>
    <w:p w:rsidR="00000000" w:rsidDel="00000000" w:rsidP="00000000" w:rsidRDefault="00000000" w:rsidRPr="00000000" w14:paraId="0000011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1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Judicial Independence </w:t>
      </w:r>
    </w:p>
    <w:p w:rsidR="00000000" w:rsidDel="00000000" w:rsidP="00000000" w:rsidRDefault="00000000" w:rsidRPr="00000000" w14:paraId="0000011A">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and Prerogatives </w:t>
      </w:r>
    </w:p>
    <w:p w:rsidR="00000000" w:rsidDel="00000000" w:rsidP="00000000" w:rsidRDefault="00000000" w:rsidRPr="00000000" w14:paraId="0000011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preface my answer to the first question by saying that a year and a half ago, on June 11, 2001, the Philippine Supreme Court celebrated its 100 birthday. Our wide-ranging centenary celebrations commemorated the founding of our highest court in 1901. For almost 400 years prior to that year, our country had rudimentary courts established by the US military and the Spanish conquistadores. Nonetheless, we reckon the founding of our present Supreme Court only in 1901, because it was only in that year when a tribunal that enjoyed judicial independence, as we understand the concept today, was established. Since then, the Court has functioned separately from the other branches of government - the executive and the legislative.</w:t>
      </w:r>
    </w:p>
    <w:p w:rsidR="00000000" w:rsidDel="00000000" w:rsidP="00000000" w:rsidRDefault="00000000" w:rsidRPr="00000000" w14:paraId="0000011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Patterned after the US model, our country rigorously observes the tripartite separation of powers. Thus, the great powers of government - to make laws, to enforce them and to interpret them - are lodged in three distinct, independent and coequal branches of government. Many of our magistral colleagues in some other Asian countries are surprised to know that the Philippine Supreme Court can, and many times actually did, strike down and reverse actions of the President and of the Congress of the Philippines. Indeed, our Court has done so on the ground that their actions had violated the Constitution of the Philippines or were otherwise tainted with grave abuse of discretion. These reversals did not mean, however, that our Court was higher in authority than our own Chief Executive and our sovereign lawmaking body; rather, these reversals merely meant that the Court was independently discharging its duties to uphold the Constitution and the rule of law in our country.</w:t>
      </w:r>
    </w:p>
    <w:p w:rsidR="00000000" w:rsidDel="00000000" w:rsidP="00000000" w:rsidRDefault="00000000" w:rsidRPr="00000000" w14:paraId="0000011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independence of the highest judicial body in the Philippines is manifested in other ways, especially in the following:</w:t>
      </w:r>
    </w:p>
    <w:p w:rsidR="00000000" w:rsidDel="00000000" w:rsidP="00000000" w:rsidRDefault="00000000" w:rsidRPr="00000000" w14:paraId="0000011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Supreme Court of the Philippines, composed of one Chief Justice and 14 associate justices, is one unified body, which not only reviews the decisions of lower courts and administrative agencies, but also decides with final authority all constitutional issues. In some other countries there exist, aside from the Supreme Court, the high court of arbitration and the constitutional court.</w:t>
      </w:r>
    </w:p>
    <w:p w:rsidR="00000000" w:rsidDel="00000000" w:rsidP="00000000" w:rsidRDefault="00000000" w:rsidRPr="00000000" w14:paraId="0000011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Our Court exercises powers that are not reviewable or reversible by any other entity or agency of government. Its decisions are final and binding on the entire Republic. And whether the President and Congress agree with those d   decisions or not, they are duty-bound to honor, recognize and enforce them. This is the essence of the rule of law - law as interpreted with finality by the Supreme Court. </w:t>
      </w:r>
    </w:p>
    <w:p w:rsidR="00000000" w:rsidDel="00000000" w:rsidP="00000000" w:rsidRDefault="00000000" w:rsidRPr="00000000" w14:paraId="0000012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Its fiscal autonomy is guaranteed by our Constitution. Thus, Congress is constitutionally prohibited from reducing judicial appropriations given the previous year which, once approved, are automatically and regularly released to it by the Executive Department.</w:t>
      </w:r>
    </w:p>
    <w:p w:rsidR="00000000" w:rsidDel="00000000" w:rsidP="00000000" w:rsidRDefault="00000000" w:rsidRPr="00000000" w14:paraId="0000012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Members of the judiciary enjoy security of tenure up to age 70 and also security of compensation, neither of which can be reduced by Congress or by the President. Members of the Supreme Court may be removed from office only by a stringent process of impeachment."* </w:t>
      </w:r>
    </w:p>
    <w:p w:rsidR="00000000" w:rsidDel="00000000" w:rsidP="00000000" w:rsidRDefault="00000000" w:rsidRPr="00000000" w14:paraId="00000122">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Powers and Responsibilities of the </w:t>
      </w:r>
    </w:p>
    <w:p w:rsidR="00000000" w:rsidDel="00000000" w:rsidP="00000000" w:rsidRDefault="00000000" w:rsidRPr="00000000" w14:paraId="0000012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Philippine Supreme Court</w:t>
      </w:r>
    </w:p>
    <w:p w:rsidR="00000000" w:rsidDel="00000000" w:rsidP="00000000" w:rsidRDefault="00000000" w:rsidRPr="00000000" w14:paraId="0000012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meet the challenges of the Third and the Fourth Waves of civilization, our Supreme Court and our entire judiciary have been constitutionally granted not just independence, but also vast powers and heavy responsibilities that can be classified into five general categories as follows:</w:t>
      </w:r>
    </w:p>
    <w:p w:rsidR="00000000" w:rsidDel="00000000" w:rsidP="00000000" w:rsidRDefault="00000000" w:rsidRPr="00000000" w14:paraId="0000012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Similar to most courts elsewhere, our Supreme Court exercises the power of judicial review; that is, the power to pass upon lower court judgments that have been appealed to it. In general, it also has the power to reject appeals that it considers unimportant; or those arising from lower court judgments that are, on their face, error-free.</w:t>
      </w:r>
    </w:p>
    <w:p w:rsidR="00000000" w:rsidDel="00000000" w:rsidP="00000000" w:rsidRDefault="00000000" w:rsidRPr="00000000" w14:paraId="00000126">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Second. By the writ of certiorari, it has the extraordinary power to review and set aside any act of any agency of government including the Presidency and Congress, on the ground of grave abuse of discretion which may consist of any of the following: </w:t>
      </w:r>
    </w:p>
    <w:p w:rsidR="00000000" w:rsidDel="00000000" w:rsidP="00000000" w:rsidRDefault="00000000" w:rsidRPr="00000000" w14:paraId="00000127">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a. Violation of the Constitution, the law or judicial doctrine</w:t>
      </w:r>
    </w:p>
    <w:p w:rsidR="00000000" w:rsidDel="00000000" w:rsidP="00000000" w:rsidRDefault="00000000" w:rsidRPr="00000000" w14:paraId="00000128">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b. Whimsical or arbitrary action arising from manifest bias or personal animosity, of such gravity as to have deprived the losing party of due process </w:t>
      </w:r>
    </w:p>
    <w:p w:rsidR="00000000" w:rsidDel="00000000" w:rsidP="00000000" w:rsidRDefault="00000000" w:rsidRPr="00000000" w14:paraId="0000012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Third. It administratively supervises all lower courts." In many countries, this administrative responsibility is discharged by the executive department through the ministry of justice. But in our country, the executive power over magistrates ends with their appointment. Once they begin discharging their offices, judges look up to the Supreme Court not only for stare decisis, but also for administrative leadership. Lower-court magistrates and court personnel can be fined, suspended or ousted from the service - after proper hearing and due process - only by the Supreme Court.</w:t>
      </w:r>
    </w:p>
    <w:p w:rsidR="00000000" w:rsidDel="00000000" w:rsidP="00000000" w:rsidRDefault="00000000" w:rsidRPr="00000000" w14:paraId="0000012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Conversely, along with administrative supervision, the training of judges and the enhancement of their on-the-job education is a responsibility that resides in the Supreme Court. To accomplish this responsibility, it established the Philippine Judicial Academy, which is tasked with the continuing education of the entire judicial department of our government."</w:t>
      </w:r>
    </w:p>
    <w:p w:rsidR="00000000" w:rsidDel="00000000" w:rsidP="00000000" w:rsidRDefault="00000000" w:rsidRPr="00000000" w14:paraId="0000012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Fourth. The Supreme Court also controls admission to the practice of law and the discipline of erring lawyers.? By conducting the annual bar examinations, it ultimately determines the content and the direction of legal education. </w:t>
      </w:r>
    </w:p>
    <w:p w:rsidR="00000000" w:rsidDel="00000000" w:rsidP="00000000" w:rsidRDefault="00000000" w:rsidRPr="00000000" w14:paraId="0000012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Through its superintendence of the Mandatory Continuing Legal Education (MCLE) Program, it is able to elevate the standards of the legal profession by requiring lawyers to undergo periodic refresher seminars. Through this same power, it has required all lawyers to become compulsory members of one unified association Integrated Bar of the Philippines.</w:t>
      </w:r>
    </w:p>
    <w:p w:rsidR="00000000" w:rsidDel="00000000" w:rsidP="00000000" w:rsidRDefault="00000000" w:rsidRPr="00000000" w14:paraId="0000012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Fifth. The Constitution has also authorized the Supreme Court to prepare and promulgate rules of procedure courts in the country. Consistent with this power, the Supreme Court has promulgated not only the regular Rule of Court in the Philippines; lately, to cover new subjects matters spawned by the e-age, it has also issued special regulations such as the Rule on Electronic Evidence, which was specifically tailored to govern the admissibility and the weight of electronic documents as functional equivalents of their paper-based counterparts. </w:t>
      </w:r>
    </w:p>
    <w:p w:rsidR="00000000" w:rsidDel="00000000" w:rsidP="00000000" w:rsidRDefault="00000000" w:rsidRPr="00000000" w14:paraId="0000012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Alongside this rule-making power, the Court has been</w:t>
      </w:r>
    </w:p>
    <w:p w:rsidR="00000000" w:rsidDel="00000000" w:rsidP="00000000" w:rsidRDefault="00000000" w:rsidRPr="00000000" w14:paraId="0000012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given constitutional authority to promulgate rules concerning the protection and the enforcement of constitutional rights. Normally, the work of issuing laws to enforce such rights is reserved for Congress. But as a special measure of protection for human rights, this additional power has been granted by the Constitution to our high court.</w:t>
      </w:r>
    </w:p>
    <w:p w:rsidR="00000000" w:rsidDel="00000000" w:rsidP="00000000" w:rsidRDefault="00000000" w:rsidRPr="00000000" w14:paraId="0000013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Jurisprudence on Judicial Globalization </w:t>
      </w:r>
    </w:p>
    <w:p w:rsidR="00000000" w:rsidDel="00000000" w:rsidP="00000000" w:rsidRDefault="00000000" w:rsidRPr="00000000" w14:paraId="0000013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will now take up the second question: during the last ten years, what has been the track record of the Philippine Supreme Court in promulgating decisions involving issues that have sprung from the new paradigms brought by the information age and the bio-age? </w:t>
      </w:r>
    </w:p>
    <w:p w:rsidR="00000000" w:rsidDel="00000000" w:rsidP="00000000" w:rsidRDefault="00000000" w:rsidRPr="00000000" w14:paraId="0000013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answer this question, I will discuss how, through specific cases brought before it, the Supreme Court has faced the globalization trend in different fields: economics, politics, elections, human rights, citizenship, criminal law enforcement, labor, environment protection and DNA testing. </w:t>
      </w:r>
    </w:p>
    <w:p w:rsidR="00000000" w:rsidDel="00000000" w:rsidP="00000000" w:rsidRDefault="00000000" w:rsidRPr="00000000" w14:paraId="0000013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34">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New Economy </w:t>
      </w:r>
    </w:p>
    <w:p w:rsidR="00000000" w:rsidDel="00000000" w:rsidP="00000000" w:rsidRDefault="00000000" w:rsidRPr="00000000" w14:paraId="0000013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let me take up the new economy. Up to the end of the early 1980s, states - the Philippines included - depended on the protection of local industries as the main strategy of economic prosperity. To barricade local industries, they set up tariffs, currency controls, quantitative restrictions, preferential treatments, import quotas and tax incentives. The last two decades, however, witnessed the establishment, among others, of the European Community (EC), the North American Free Trade Agreement (NAFTA) and the ASEAN Free Trade Area (AFTA). Member states gradually lifted protectionist barriers, on the theory that trade could be better promoted on a regional rather than on a national basis. </w:t>
      </w:r>
    </w:p>
    <w:p w:rsidR="00000000" w:rsidDel="00000000" w:rsidP="00000000" w:rsidRDefault="00000000" w:rsidRPr="00000000" w14:paraId="0000013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significant to note that in </w:t>
      </w:r>
      <w:r w:rsidDel="00000000" w:rsidR="00000000" w:rsidRPr="00000000">
        <w:rPr>
          <w:rFonts w:ascii="Georgia" w:cs="Georgia" w:eastAsia="Georgia" w:hAnsi="Georgia"/>
          <w:i w:val="1"/>
          <w:iCs w:val="1"/>
          <w:rtl w:val="0"/>
        </w:rPr>
        <w:t xml:space="preserve">Federation of Free Markets v. Bautista</w:t>
      </w:r>
      <w:r w:rsidDel="00000000" w:rsidR="00000000" w:rsidRPr="00000000">
        <w:rPr>
          <w:rFonts w:ascii="Georgia" w:cs="Georgia" w:eastAsia="Georgia" w:hAnsi="Georgia"/>
          <w:rtl w:val="0"/>
        </w:rPr>
        <w:t xml:space="preserve">, the Philippine Supreme Court - in an extended unsigned Resolution - ruled that the "intent of the Philippines" to reduce tariff on rice as mandated by AFTA did not contravene the Constitution, the Agricultural Tariffication Act, or the Magna Carta for Farmers. </w:t>
      </w:r>
    </w:p>
    <w:p w:rsidR="00000000" w:rsidDel="00000000" w:rsidP="00000000" w:rsidRDefault="00000000" w:rsidRPr="00000000" w14:paraId="0000013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Soon enough, however, regionalism was deemed insufficient; economic globalization beckoned. Thus, after much hesitation, the World Trade Organization (WTO) was born. It was the culmination of all efforts to eliminate tariffs and other traditional protectionist barriers altogether; as well as to usher in free trade amongst members, not just of a regional bloc, but of the entire world community. </w:t>
      </w:r>
    </w:p>
    <w:p w:rsidR="00000000" w:rsidDel="00000000" w:rsidP="00000000" w:rsidRDefault="00000000" w:rsidRPr="00000000" w14:paraId="0000013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Tañada v. Angara </w:t>
      </w:r>
    </w:p>
    <w:p w:rsidR="00000000" w:rsidDel="00000000" w:rsidP="00000000" w:rsidRDefault="00000000" w:rsidRPr="00000000" w14:paraId="0000013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on Economic Globalization</w:t>
      </w:r>
    </w:p>
    <w:p w:rsidR="00000000" w:rsidDel="00000000" w:rsidP="00000000" w:rsidRDefault="00000000" w:rsidRPr="00000000" w14:paraId="0000013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Philippine membership in WTO was concurred in by the Senate on December 14, 1994. The ink on the ratification documents had barely dried up when, on December 29, 1994, several Philippine legislators challenged the constitutionality of the Philippine adherence to the WTO Agreement. Thus was born Tañada v. Angara. </w:t>
      </w:r>
    </w:p>
    <w:p w:rsidR="00000000" w:rsidDel="00000000" w:rsidP="00000000" w:rsidRDefault="00000000" w:rsidRPr="00000000" w14:paraId="0000013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en banc unanimously ruled that in affirming Philippine membership in the WTO, the Senate was not violating the economic nationalism or "Filipino First" provisions of the fundamental law. These provisions, which are included in the "Declaration of Principles and State Policies of the Constitution," are not self-executing. They are merely guides for the exercise of judicial review and for the enactment of laws. More importantly, such provisions should be read together with other constitution pronouncements, in order to attain a balanced development of the economy. </w:t>
      </w:r>
    </w:p>
    <w:p w:rsidR="00000000" w:rsidDel="00000000" w:rsidP="00000000" w:rsidRDefault="00000000" w:rsidRPr="00000000" w14:paraId="0000013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ruled: "While the Constitution has a bias in favor of Filipino goods, services, labor and enterprises, at the same time, it recognizes the need for business exchange with the rest of the world on the bases of equality and reciprocity, and limits protection of Philippine enterprises only against foreign competition and trade practices that are unfair. </w:t>
      </w:r>
    </w:p>
    <w:p w:rsidR="00000000" w:rsidDel="00000000" w:rsidP="00000000" w:rsidRDefault="00000000" w:rsidRPr="00000000" w14:paraId="0000013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bottom, the Court upheld the constitutionality of the Philippine adherence to the WTO Agreement because of petitioners' failure to show grave abuse of discretion on the part of the Senate. The Decision concluded:</w:t>
      </w:r>
    </w:p>
    <w:p w:rsidR="00000000" w:rsidDel="00000000" w:rsidP="00000000" w:rsidRDefault="00000000" w:rsidRPr="00000000" w14:paraId="0000013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the Senate, after deliberation and voting, voluntarily and overwhelmingly gave its consent to the WTO Agreement thereby making it 'a part of the law of the land' is a legitimate exercise of its sovereign duty and power. We find no 'patent and gross' arbitrariness or despotism 'by reason of passion or personal hostility' in such exercise. It is not impossible to surmise that this Court, or at least some of its members, may even agree with petitioners that it is more advantageous to the national interest to strike down Senate Resolution No. 97. But that is not a legal reason to attribute grave abuse of discretion to the Senate and to nullify its decision. To do so would constitute grave abuse in the exercise of our own judicial power and duty. Ineludibly, what the Senate did was a valid exercise of its authority. As to whether such exercise was wise, beneficial or viable is outside the realm of judicial inquiry and review. That is a matter between the elected policy makers and the people. xxx." (Citations omitted.)</w:t>
      </w:r>
    </w:p>
    <w:p w:rsidR="00000000" w:rsidDel="00000000" w:rsidP="00000000" w:rsidRDefault="00000000" w:rsidRPr="00000000" w14:paraId="0000013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an aftermath of the Philippine membership in the WTO, specifically in connection with the annexed "Agreement on Trade-Related Aspects of Intellectual Property Rights" or TRIPs, Congress enacted the Intellectual Property Code of 1998 "to strengthen the intellectual and industrial property system in the Philippines.'" More interestingly, in </w:t>
      </w:r>
      <w:r w:rsidDel="00000000" w:rsidR="00000000" w:rsidRPr="00000000">
        <w:rPr>
          <w:rFonts w:ascii="Georgia" w:cs="Georgia" w:eastAsia="Georgia" w:hAnsi="Georgia"/>
          <w:i w:val="1"/>
          <w:iCs w:val="1"/>
          <w:rtl w:val="0"/>
        </w:rPr>
        <w:t xml:space="preserve">Mirpuri v. Court</w:t>
      </w:r>
      <w:r w:rsidDel="00000000" w:rsidR="00000000" w:rsidRPr="00000000">
        <w:rPr>
          <w:rFonts w:ascii="Georgia" w:cs="Georgia" w:eastAsia="Georgia" w:hAnsi="Georgia"/>
          <w:rtl w:val="0"/>
        </w:rPr>
        <w:t xml:space="preserve"> of Appeals which was decided in 1999, the Court ruled that the "Paris Convention for the Protection of Industrial Property," to which the Philippines was a signatory, was a self-executing treaty that did not "require legislative enactment to give it effect." I used that Agreement (the Paris Convention) to strike down the application for registration of a local trademark, "Barbizon International," which had essentially usurped the goodwill of a well-known brand of ladies garments known worldwide by the same name,"Barbizon."</w:t>
      </w:r>
    </w:p>
    <w:p w:rsidR="00000000" w:rsidDel="00000000" w:rsidP="00000000" w:rsidRDefault="00000000" w:rsidRPr="00000000" w14:paraId="0000014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Because of the Philippine membership in the WRO as well as the digitization and expansion of legal services, so foreign lawyers are asking whether they will now be allowed to practice their profession in this country. While there is no explicit decision on the matter yet, let me however assure you that the Supreme Court, which has jurisdiction over admission to the practice of law, should be able to discharge its national and global responsibilities as it has always done in the past.</w:t>
      </w:r>
    </w:p>
    <w:p w:rsidR="00000000" w:rsidDel="00000000" w:rsidP="00000000" w:rsidRDefault="00000000" w:rsidRPr="00000000" w14:paraId="0000014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Tatad v. Secretary of Energy</w:t>
      </w:r>
    </w:p>
    <w:p w:rsidR="00000000" w:rsidDel="00000000" w:rsidP="00000000" w:rsidRDefault="00000000" w:rsidRPr="00000000" w14:paraId="00000142">
      <w:pPr>
        <w:spacing w:after="80" w:before="80" w:lineRule="auto"/>
        <w:ind w:firstLine="36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on Deregulation </w:t>
      </w:r>
    </w:p>
    <w:p w:rsidR="00000000" w:rsidDel="00000000" w:rsidP="00000000" w:rsidRDefault="00000000" w:rsidRPr="00000000" w14:paraId="0000014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now move to a companion paradigm of the new economy; namely, deregulation. In essence, this norm shifts the burden of price control from government to "market forces," with the ultimate goal of producing the best goods and services at the cheapest prices possible. This policy, however, is not an infallible cure, because the evil sought to be avoided - government abuse - may well pass on to market players, particularly when they combine to restrain trade or engage in unfair competition. "The market is motivated by price and profit (and sadly not by moral values). The market does not automatically supply those who need (no matter how badly they need it) but only those who have the money to buy.' </w:t>
      </w:r>
    </w:p>
    <w:p w:rsidR="00000000" w:rsidDel="00000000" w:rsidP="00000000" w:rsidRDefault="00000000" w:rsidRPr="00000000" w14:paraId="0000014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Tatad v. Secretary of Energy,</w:t>
      </w:r>
      <w:r w:rsidDel="00000000" w:rsidR="00000000" w:rsidRPr="00000000">
        <w:rPr>
          <w:rFonts w:ascii="Georgia" w:cs="Georgia" w:eastAsia="Georgia" w:hAnsi="Georgia"/>
          <w:rtl w:val="0"/>
        </w:rPr>
        <w:t xml:space="preserve"> the Court - by a vote of 9 in favor and 2 against - invalidated Republic Act (RA) No. 8180, the Oil Deregulation Law, because it had allowed the Big Three Oil companies in the Philippines-- Petron, Shell and Caltex - to act as a monopoly or, more precisely, an oligopoly. Declared the Court: "The Constitution mandates this Court to be the guardian not only of the people's political rights, but their economic rights as well." </w:t>
      </w:r>
    </w:p>
    <w:p w:rsidR="00000000" w:rsidDel="00000000" w:rsidP="00000000" w:rsidRDefault="00000000" w:rsidRPr="00000000" w14:paraId="0000014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Big business immediately reacted by accusing the Court of undue interference in economics, a subject allegedly beyond the latter's competence and authority to decide on. In flailing the Court, some of its critics even clamored for a constitutional amendment to deprive the judiciary of jurisdiction over economic questions. They ignored the express caveat in the Decision that "the Court did not condemn the economic policy of deregulation as unconstitutional. It merely held that, as crafted, the law [ran] counter to the constitutional provision [on] fair competition."</w:t>
      </w:r>
    </w:p>
    <w:p w:rsidR="00000000" w:rsidDel="00000000" w:rsidP="00000000" w:rsidRDefault="00000000" w:rsidRPr="00000000" w14:paraId="0000014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the legislative and the executive departments may adopt any policy, subject to one indispensable condition: it must conform to the Constitution. When such policy and its implementing laws violate the Charter, the Supreme Court shall, in appropriate proceedings, strike them down. In the words of the Decision, "Combinations in restraint of trade and unfair competition are absolutely proscribed, and the proscription is directed against both the State as well as the private sector xxx. Monopolistic or oligopolistic markets deserve our careful scrutiny and laws [that] barricade the entry points of new players should be viewed with suspicion." </w:t>
      </w:r>
    </w:p>
    <w:p w:rsidR="00000000" w:rsidDel="00000000" w:rsidP="00000000" w:rsidRDefault="00000000" w:rsidRPr="00000000" w14:paraId="0000014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any event, in an exemplary display of obedience to the rule of law, both the executive and the legislative departments of our government grudgingly relented and bowed to the Supreme Court's Decision. The Congress thereafter enacted a new Oil Deregulation Law, RA 8479, which eliminated the objectionable features of the old law that had been struck down by our Decision.</w:t>
      </w:r>
    </w:p>
    <w:p w:rsidR="00000000" w:rsidDel="00000000" w:rsidP="00000000" w:rsidRDefault="00000000" w:rsidRPr="00000000" w14:paraId="0000014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Garcia v. Corona </w:t>
      </w:r>
      <w:r w:rsidDel="00000000" w:rsidR="00000000" w:rsidRPr="00000000">
        <w:rPr>
          <w:rFonts w:ascii="Georgia" w:cs="Georgia" w:eastAsia="Georgia" w:hAnsi="Georgia"/>
          <w:rtl w:val="0"/>
        </w:rPr>
        <w:t xml:space="preserve">promulgated on December 17, 1999, the Court unanimously upheld the validity of the new law. It ruled:</w:t>
      </w:r>
    </w:p>
    <w:p w:rsidR="00000000" w:rsidDel="00000000" w:rsidP="00000000" w:rsidRDefault="00000000" w:rsidRPr="00000000" w14:paraId="0000014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[What constitutes reasonable time is not for judicial determination. Reasonable time involves the appraisal of relevant conditions, political, social and economic. They are not within the appropriate range of evidence in a court of justice. It would be an extravagant extension of judicial authority to assert judicial notice as the basis for the determination."</w:t>
      </w:r>
    </w:p>
    <w:p w:rsidR="00000000" w:rsidDel="00000000" w:rsidP="00000000" w:rsidRDefault="00000000" w:rsidRPr="00000000" w14:paraId="0000014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Decentralization of </w:t>
      </w:r>
    </w:p>
    <w:p w:rsidR="00000000" w:rsidDel="00000000" w:rsidP="00000000" w:rsidRDefault="00000000" w:rsidRPr="00000000" w14:paraId="0000014B">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Political Power</w:t>
      </w:r>
    </w:p>
    <w:p w:rsidR="00000000" w:rsidDel="00000000" w:rsidP="00000000" w:rsidRDefault="00000000" w:rsidRPr="00000000" w14:paraId="0000014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the e-age idolizes globalization, deregulation and privatization as new economic paradigms, at the same time it urges decentralization of political and fiscal powers. In our country, this effort to vest more authority in basic political units is not more remarkable than in the 1987 Constitution itself and in the Local Government Code. In </w:t>
      </w:r>
      <w:r w:rsidDel="00000000" w:rsidR="00000000" w:rsidRPr="00000000">
        <w:rPr>
          <w:rFonts w:ascii="Georgia" w:cs="Georgia" w:eastAsia="Georgia" w:hAnsi="Georgia"/>
          <w:i w:val="1"/>
          <w:iCs w:val="1"/>
          <w:rtl w:val="0"/>
        </w:rPr>
        <w:t xml:space="preserve">Ganzon v. Court of Appeals,</w:t>
      </w:r>
      <w:r w:rsidDel="00000000" w:rsidR="00000000" w:rsidRPr="00000000">
        <w:rPr>
          <w:rFonts w:ascii="Georgia" w:cs="Georgia" w:eastAsia="Georgia" w:hAnsi="Georgia"/>
          <w:rtl w:val="0"/>
        </w:rPr>
        <w:t xml:space="preserve"> the Supreme Court hailed decentralization as a "more responsive and accountable local government structure." </w:t>
      </w:r>
      <w:r w:rsidDel="00000000" w:rsidR="00000000" w:rsidRPr="00000000">
        <w:rPr>
          <w:rFonts w:ascii="Georgia" w:cs="Georgia" w:eastAsia="Georgia" w:hAnsi="Georgia"/>
          <w:i w:val="1"/>
          <w:iCs w:val="1"/>
          <w:rtl w:val="0"/>
        </w:rPr>
        <w:t xml:space="preserve">Drilon v. Lim</w:t>
      </w:r>
      <w:r w:rsidDel="00000000" w:rsidR="00000000" w:rsidRPr="00000000">
        <w:rPr>
          <w:rFonts w:ascii="Georgia" w:cs="Georgia" w:eastAsia="Georgia" w:hAnsi="Georgia"/>
          <w:rtl w:val="0"/>
        </w:rPr>
        <w:t xml:space="preserve"> emphasized that the President had the power of supervision only, not control, over local governments. Thus, the Chief Executive does not lay down the laws and the rules, but merely sees to it that local officials follow them. The President may not agree with such laws and rules, but he or she does not have the discretion to modify or reverse actions made in accordance with them.</w:t>
      </w:r>
    </w:p>
    <w:p w:rsidR="00000000" w:rsidDel="00000000" w:rsidP="00000000" w:rsidRDefault="00000000" w:rsidRPr="00000000" w14:paraId="0000014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Consistent with these tenets, </w:t>
      </w:r>
      <w:r w:rsidDel="00000000" w:rsidR="00000000" w:rsidRPr="00000000">
        <w:rPr>
          <w:rFonts w:ascii="Georgia" w:cs="Georgia" w:eastAsia="Georgia" w:hAnsi="Georgia"/>
          <w:i w:val="1"/>
          <w:iCs w:val="1"/>
          <w:rtl w:val="0"/>
        </w:rPr>
        <w:t xml:space="preserve">Pimentel v. Aguirre</w:t>
      </w:r>
      <w:r w:rsidDel="00000000" w:rsidR="00000000" w:rsidRPr="00000000">
        <w:rPr>
          <w:rFonts w:ascii="Georgia" w:cs="Georgia" w:eastAsia="Georgia" w:hAnsi="Georgia"/>
          <w:rtl w:val="0"/>
        </w:rPr>
        <w:t xml:space="preserve"> upheld the fiscal autonomy of local government units (LGUs) and ordered "the automatic release of the shares of the LGUs in the national internal revenues." Declared void by the Court was Section 4 of Administrative Order No. 372, which had withheld a portion (10 percent, later amended to 5 percent) of their share in internal revenue allotments (IRA).</w:t>
      </w:r>
    </w:p>
    <w:p w:rsidR="00000000" w:rsidDel="00000000" w:rsidP="00000000" w:rsidRDefault="00000000" w:rsidRPr="00000000" w14:paraId="0000014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Earlier, </w:t>
      </w:r>
      <w:r w:rsidDel="00000000" w:rsidR="00000000" w:rsidRPr="00000000">
        <w:rPr>
          <w:rFonts w:ascii="Georgia" w:cs="Georgia" w:eastAsia="Georgia" w:hAnsi="Georgia"/>
          <w:i w:val="1"/>
          <w:iCs w:val="1"/>
          <w:rtl w:val="0"/>
        </w:rPr>
        <w:t xml:space="preserve">Meralco v. Province of Laguna</w:t>
      </w:r>
      <w:r w:rsidDel="00000000" w:rsidR="00000000" w:rsidRPr="00000000">
        <w:rPr>
          <w:rFonts w:ascii="Georgia" w:cs="Georgia" w:eastAsia="Georgia" w:hAnsi="Georgia"/>
          <w:rtl w:val="0"/>
        </w:rPr>
        <w:t xml:space="preserve"> had upheld the power of provincial governments "to impose a tax on businesses enjoying a franchise." The rationale was "to safeguard the viability and self-sufficiency of local government units." Lately, </w:t>
      </w:r>
      <w:r w:rsidDel="00000000" w:rsidR="00000000" w:rsidRPr="00000000">
        <w:rPr>
          <w:rFonts w:ascii="Georgia" w:cs="Georgia" w:eastAsia="Georgia" w:hAnsi="Georgia"/>
          <w:i w:val="1"/>
          <w:iCs w:val="1"/>
          <w:rtl w:val="0"/>
        </w:rPr>
        <w:t xml:space="preserve">Republic v. Manila Electric Company </w:t>
      </w:r>
      <w:r w:rsidDel="00000000" w:rsidR="00000000" w:rsidRPr="00000000">
        <w:rPr>
          <w:rFonts w:ascii="Georgia" w:cs="Georgia" w:eastAsia="Georgia" w:hAnsi="Georgia"/>
          <w:rtl w:val="0"/>
        </w:rPr>
        <w:t xml:space="preserve">ruled that an electric utility company could not pass to its customers the payment of its income tax by including such amount in the computation of its operating expenses.</w:t>
      </w:r>
    </w:p>
    <w:p w:rsidR="00000000" w:rsidDel="00000000" w:rsidP="00000000" w:rsidRDefault="00000000" w:rsidRPr="00000000" w14:paraId="0000014F">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Automated Elections</w:t>
      </w:r>
    </w:p>
    <w:p w:rsidR="00000000" w:rsidDel="00000000" w:rsidP="00000000" w:rsidRDefault="00000000" w:rsidRPr="00000000" w14:paraId="0000015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turn your attention to an even more interesting topic, elections. An effect of globalization is the worldwide move towards democratization, one of the prerequisites of which is the holding of clean and honest elections. A step we have taken to improve the conduct of elections is the automation of the counting of votes - something novel in the Philippines, where we still </w:t>
      </w:r>
      <w:r w:rsidDel="00000000" w:rsidR="00000000" w:rsidRPr="00000000">
        <w:rPr>
          <w:rFonts w:ascii="Georgia" w:cs="Georgia" w:eastAsia="Georgia" w:hAnsi="Georgia"/>
          <w:i w:val="1"/>
          <w:iCs w:val="1"/>
          <w:rtl w:val="0"/>
        </w:rPr>
        <w:t xml:space="preserve">manually</w:t>
      </w:r>
      <w:r w:rsidDel="00000000" w:rsidR="00000000" w:rsidRPr="00000000">
        <w:rPr>
          <w:rFonts w:ascii="Georgia" w:cs="Georgia" w:eastAsia="Georgia" w:hAnsi="Georgia"/>
          <w:rtl w:val="0"/>
        </w:rPr>
        <w:t xml:space="preserve"> count them. </w:t>
      </w:r>
    </w:p>
    <w:p w:rsidR="00000000" w:rsidDel="00000000" w:rsidP="00000000" w:rsidRDefault="00000000" w:rsidRPr="00000000" w14:paraId="0000015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last presidential election in the United States, characterized as the "closest" in history, was finally decided in favor of George W. Bush when the US Supreme Court disauthorized a manual count of automated ballots in the State of Florida. A number of issues were decided in that celebrated case, </w:t>
      </w:r>
      <w:r w:rsidDel="00000000" w:rsidR="00000000" w:rsidRPr="00000000">
        <w:rPr>
          <w:rFonts w:ascii="Georgia" w:cs="Georgia" w:eastAsia="Georgia" w:hAnsi="Georgia"/>
          <w:i w:val="1"/>
          <w:iCs w:val="1"/>
          <w:rtl w:val="0"/>
        </w:rPr>
        <w:t xml:space="preserve">Bush v. Gore</w:t>
      </w:r>
      <w:r w:rsidDel="00000000" w:rsidR="00000000" w:rsidRPr="00000000">
        <w:rPr>
          <w:rFonts w:ascii="Georgia" w:cs="Georgia" w:eastAsia="Georgia" w:hAnsi="Georgia"/>
          <w:rtl w:val="0"/>
        </w:rPr>
        <w:t xml:space="preserve">, but what is probably of immediate interest to us is the ruling that "the use of standardless manual recounts violates the equal protection clause."</w:t>
      </w:r>
    </w:p>
    <w:p w:rsidR="00000000" w:rsidDel="00000000" w:rsidP="00000000" w:rsidRDefault="00000000" w:rsidRPr="00000000" w14:paraId="0000015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Florida voters indicated their choice of candidates through "ballot cards designed to be perforated by a stylus but which either through error or deliberate omission, have not been perforated for a machine to count them. In some cases a piece of the card - a chad - is hanging by two corners. In other cases there is no separation at all, just an indentation." Because the voters did not write the names of their chosen candidates, the US Court held that it was extremely difficult to determine the "intent of the voter xxx in the absence of specific standards to ensure [the clause's] equal application."</w:t>
      </w:r>
    </w:p>
    <w:p w:rsidR="00000000" w:rsidDel="00000000" w:rsidP="00000000" w:rsidRDefault="00000000" w:rsidRPr="00000000" w14:paraId="0000015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Earlier, in 1999, we faced a similar problem in</w:t>
      </w:r>
      <w:r w:rsidDel="00000000" w:rsidR="00000000" w:rsidRPr="00000000">
        <w:rPr>
          <w:rFonts w:ascii="Georgia" w:cs="Georgia" w:eastAsia="Georgia" w:hAnsi="Georgia"/>
          <w:i w:val="1"/>
          <w:iCs w:val="1"/>
          <w:rtl w:val="0"/>
        </w:rPr>
        <w:t xml:space="preserve"> Loong v. Comelec</w:t>
      </w:r>
      <w:r w:rsidDel="00000000" w:rsidR="00000000" w:rsidRPr="00000000">
        <w:rPr>
          <w:rFonts w:ascii="Georgia" w:cs="Georgia" w:eastAsia="Georgia" w:hAnsi="Georgia"/>
          <w:rtl w:val="0"/>
        </w:rPr>
        <w:t xml:space="preserve">, in which the Philippine Supreme Court, as distinguished from its US counterpart, validated the manual recount of automated ballots cast during the gubernatorial race in Sulu province. (Please note that RA 8436 had mandated an automated election in the Autonomous Region in Muslim Mindanao, or ARMM, during the 1998 elections.) </w:t>
      </w:r>
    </w:p>
    <w:p w:rsidR="00000000" w:rsidDel="00000000" w:rsidP="00000000" w:rsidRDefault="00000000" w:rsidRPr="00000000" w14:paraId="0000015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the balloting had taken place, the Commission on Elections (Comelec) stopped the ongoing automated count in response to a complaint that three ballots in one precinct in one municipality of the province had not been reflected in the machine count for the mayoralty post. Without much ado and admittedly without any express statutory authority, the Comelec - despite its own Resolution to conduct simultaneous automated and manual counts of all the ballots in the province - made only a manual tabulation and, on this basis, proclaimed Abdusakur Tan as the provincial governor of Sulu. The Supreme Court upheld the Comelec and ruled in favor of the manual count. There were several issues raised, but I will not have time to discuss all of them today.</w:t>
      </w:r>
    </w:p>
    <w:p w:rsidR="00000000" w:rsidDel="00000000" w:rsidP="00000000" w:rsidRDefault="00000000" w:rsidRPr="00000000" w14:paraId="0000015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upheld the manual count for the following reasons:</w:t>
      </w:r>
    </w:p>
    <w:p w:rsidR="00000000" w:rsidDel="00000000" w:rsidP="00000000" w:rsidRDefault="00000000" w:rsidRPr="00000000" w14:paraId="0000015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"Since the automated machine 'failed to read correctly the ballots in the Municipality of Pata,' and since the 'machines rejected and would not count the local ballots' in four other towns due to printing errors in the local ballots, 'it is plain that to continue with the automated count in these five (5) municipalities would result in a grossly erroneous count.' </w:t>
      </w:r>
    </w:p>
    <w:p w:rsidR="00000000" w:rsidDel="00000000" w:rsidP="00000000" w:rsidRDefault="00000000" w:rsidRPr="00000000" w14:paraId="0000015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"These failures of automated counting created post-election tension in Sulu xxx. Its aftermath could have been a bloodbath. The Comelec avoided this imminent probability by ordering a manual count of votes. It would be the height of irony if the Court condemns Comelec for aborting violence in the Sulu elections. </w:t>
      </w:r>
    </w:p>
    <w:p w:rsidR="00000000" w:rsidDel="00000000" w:rsidP="00000000" w:rsidRDefault="00000000" w:rsidRPr="00000000" w14:paraId="0000015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"Petitioner Loong and Intervenor Jikiri were not denied due process, because "they were given every opportunity to oppose the manual count of the local ballots in Sulu.</w:t>
      </w:r>
    </w:p>
    <w:p w:rsidR="00000000" w:rsidDel="00000000" w:rsidP="00000000" w:rsidRDefault="00000000" w:rsidRPr="00000000" w14:paraId="0000015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"The evidence is clear that the integrity of the local ballots was safeguarded when they were transferred from Sulu to Manila, and when they were manually counted. </w:t>
      </w:r>
    </w:p>
    <w:p w:rsidR="00000000" w:rsidDel="00000000" w:rsidP="00000000" w:rsidRDefault="00000000" w:rsidRPr="00000000" w14:paraId="0000015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"The evidence also reveals that the result of the manual count was reliable. xxx. When the Comelec ordered a manual count of the votes, it issued special rules, as the counting involved a different kind of ballot, albeit more simple ballots.</w:t>
      </w:r>
    </w:p>
    <w:p w:rsidR="00000000" w:rsidDel="00000000" w:rsidP="00000000" w:rsidRDefault="00000000" w:rsidRPr="00000000" w14:paraId="0000015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'Because the errors in counting were not machine related, it was inutile for the Comelec to use other machines to count the local votes in Sulu.' </w:t>
      </w:r>
    </w:p>
    <w:p w:rsidR="00000000" w:rsidDel="00000000" w:rsidP="00000000" w:rsidRDefault="00000000" w:rsidRPr="00000000" w14:paraId="0000015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"Since RA 8436 did not provide a remedy for errors that were not machinerelated, Comelec cannot be prevented from levitating above the problem,' since said law 'did not prohibit manual counting when machine count did not work'</w:t>
      </w:r>
    </w:p>
    <w:p w:rsidR="00000000" w:rsidDel="00000000" w:rsidP="00000000" w:rsidRDefault="00000000" w:rsidRPr="00000000" w14:paraId="0000015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"A special election cannot be ordered because there was no failure of election, as defined in Section 6 of the Omnibus Election Code. 'The grounds for failure of election - force majeure, terrorism, fraud or other analogous causes - clearly involve questions the question is not of fact that are beyond the Supreme Court's province. Besides, to hold a special election for the position of governor only 'will be discriminatory and will violate the right of private respondent to equal protection of the law, inasmuch as the candidates for other positions (vice-governor, congressman, mayor, etc.) will not be subject to this special election.</w:t>
      </w:r>
    </w:p>
    <w:p w:rsidR="00000000" w:rsidDel="00000000" w:rsidP="00000000" w:rsidRDefault="00000000" w:rsidRPr="00000000" w14:paraId="0000015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9. "The Court should decide this case "in cadence with the movement towards empowering the Comelec in order that it can more effectively perform its duty of safeguarding the sanctity of our elections.”</w:t>
      </w:r>
    </w:p>
    <w:p w:rsidR="00000000" w:rsidDel="00000000" w:rsidP="00000000" w:rsidRDefault="00000000" w:rsidRPr="00000000" w14:paraId="0000015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May I just say that the bottom line of my Dissents was that automated ballots cast during an automated election could not be counted manually with the use of rules governing the appreciation of manual ballots as ordained by the Omnibus Election Code. </w:t>
      </w:r>
    </w:p>
    <w:p w:rsidR="00000000" w:rsidDel="00000000" w:rsidP="00000000" w:rsidRDefault="00000000" w:rsidRPr="00000000" w14:paraId="0000016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Although new in our country, automated elections are prevalent in the US. In this light, </w:t>
      </w:r>
      <w:r w:rsidDel="00000000" w:rsidR="00000000" w:rsidRPr="00000000">
        <w:rPr>
          <w:rFonts w:ascii="Georgia" w:cs="Georgia" w:eastAsia="Georgia" w:hAnsi="Georgia"/>
          <w:i w:val="1"/>
          <w:iCs w:val="1"/>
          <w:rtl w:val="0"/>
        </w:rPr>
        <w:t xml:space="preserve">Bush v. Gore</w:t>
      </w:r>
      <w:r w:rsidDel="00000000" w:rsidR="00000000" w:rsidRPr="00000000">
        <w:rPr>
          <w:rFonts w:ascii="Georgia" w:cs="Georgia" w:eastAsia="Georgia" w:hAnsi="Georgia"/>
          <w:rtl w:val="0"/>
        </w:rPr>
        <w:t xml:space="preserve">, even if ordained by a closely divided US Court, is likely to influence our own Tribunal's ruling next time a similar case is brought up for review.</w:t>
      </w:r>
    </w:p>
    <w:p w:rsidR="00000000" w:rsidDel="00000000" w:rsidP="00000000" w:rsidRDefault="00000000" w:rsidRPr="00000000" w14:paraId="0000016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Party-List System of</w:t>
      </w:r>
    </w:p>
    <w:p w:rsidR="00000000" w:rsidDel="00000000" w:rsidP="00000000" w:rsidRDefault="00000000" w:rsidRPr="00000000" w14:paraId="00000162">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Representative Democracy </w:t>
      </w:r>
    </w:p>
    <w:p w:rsidR="00000000" w:rsidDel="00000000" w:rsidP="00000000" w:rsidRDefault="00000000" w:rsidRPr="00000000" w14:paraId="0000016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our already democratic republic, the trend towards representative democracy has been further strengthened by a novel and interesting "people power" feature introduced in the 1987 Philippine Constitution: the party-list system of representation." To implement the constitutional mandate, Congress enacted RA 7941. Under this system, a voter is in effect given two votes for the House of Representatives one to elect a district congressman; the other, a party-list representative. </w:t>
      </w:r>
    </w:p>
    <w:p w:rsidR="00000000" w:rsidDel="00000000" w:rsidP="00000000" w:rsidRDefault="00000000" w:rsidRPr="00000000" w14:paraId="0000016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Dissent held that the Comelec gravely abused its discretion basically in the following </w:t>
      </w:r>
    </w:p>
    <w:p w:rsidR="00000000" w:rsidDel="00000000" w:rsidP="00000000" w:rsidRDefault="00000000" w:rsidRPr="00000000" w14:paraId="0000016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"In peremptorily stopping the ongoing automated counting of ballots in the Municipality of Pata and in the entire Province of Sulu, on the flimsy ground that three ballots for a mayoralty candidate in said municipality were not tallied by the counting machine assigned to the town </w:t>
      </w:r>
    </w:p>
    <w:p w:rsidR="00000000" w:rsidDel="00000000" w:rsidP="00000000" w:rsidRDefault="00000000" w:rsidRPr="00000000" w14:paraId="0000016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"In changing the venue and the mode of counting from automated to manual due to alleged imminent danger of violence </w:t>
      </w:r>
    </w:p>
    <w:p w:rsidR="00000000" w:rsidDel="00000000" w:rsidP="00000000" w:rsidRDefault="00000000" w:rsidRPr="00000000" w14:paraId="0000016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"In violating its own Resolution ordering both an automated count and a parallel manual count by actually holding only a manual count, without giving any reason for completely abandoning  the automated system, which was  already 65 percent complete in the entire province </w:t>
      </w:r>
    </w:p>
    <w:p w:rsidR="00000000" w:rsidDel="00000000" w:rsidP="00000000" w:rsidRDefault="00000000" w:rsidRPr="00000000" w14:paraId="0000016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"In counting and appreciating the automated ballots with the use of the rules peculiar to manual elections, not to the automated election system; that is, in manually tallying the ballots differently from how the automated machines would have counted them, thus ending up with manually appreciated results that substantially differed from the machine-generated ones</w:t>
      </w:r>
    </w:p>
    <w:p w:rsidR="00000000" w:rsidDel="00000000" w:rsidP="00000000" w:rsidRDefault="00000000" w:rsidRPr="00000000" w14:paraId="0000016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"In issuing, without due process of law, it has assailed Minute Resolution relating to the change in the manner and the venue of counting."</w:t>
      </w:r>
    </w:p>
    <w:p w:rsidR="00000000" w:rsidDel="00000000" w:rsidP="00000000" w:rsidRDefault="00000000" w:rsidRPr="00000000" w14:paraId="0000016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6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5, Article VI of the 1987 Constitution, introduced the party-list system of representation in our country as follows: </w:t>
      </w:r>
    </w:p>
    <w:p w:rsidR="00000000" w:rsidDel="00000000" w:rsidP="00000000" w:rsidRDefault="00000000" w:rsidRPr="00000000" w14:paraId="0000016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5. 1) The House of Representatives shall be composed of not more than two hundred and fifty members, unless otherwise fixed by law, who shall be elected from legislative districts apportioned among the provinces, cities, and the Metropolitan Manila area in accordance with the number of their respective inhabitants, and on the basis of a uniform and progressive ratio, and those who, as provided by law, shall be elected by a party-list system of registered national, regional, and sectoral parties or organizations. </w:t>
      </w:r>
    </w:p>
    <w:p w:rsidR="00000000" w:rsidDel="00000000" w:rsidP="00000000" w:rsidRDefault="00000000" w:rsidRPr="00000000" w14:paraId="0000016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party-list representatives shall constitute twenty per centum of the total number of representatives including those under the party-list. For three consecutive terms after the ratification of this Constitution, one half of the seats allocated to party-list representatives shall be filled, as provided by law, by selection or election from the labor, peasant, urban poor, indigenous cultural communities, women, youth, and such other sectors as may be provided by law, except the religious sector." </w:t>
      </w:r>
    </w:p>
    <w:p w:rsidR="00000000" w:rsidDel="00000000" w:rsidP="00000000" w:rsidRDefault="00000000" w:rsidRPr="00000000" w14:paraId="0000016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Acting on its mandate to "provide by law" the "selection or election" of party-list solons, Congress enacted Republic Act (RA) No. 7941 which prescribed, among others, the entitlement to a party-list seat in this wise: </w:t>
      </w:r>
    </w:p>
    <w:p w:rsidR="00000000" w:rsidDel="00000000" w:rsidP="00000000" w:rsidRDefault="00000000" w:rsidRPr="00000000" w14:paraId="0000016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11. Number of Party-List Representatives. - The party-list representatives shall constitute twenty per centum (20%) of the total number of the members of the House of Representatives including those under the party-list.</w:t>
      </w:r>
    </w:p>
    <w:p w:rsidR="00000000" w:rsidDel="00000000" w:rsidP="00000000" w:rsidRDefault="00000000" w:rsidRPr="00000000" w14:paraId="0000017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purposes of the May 1998 elections, the first five (5) major political parties on the basis of party representation in the House of Representatives at the start of the Tenth Congress of the Philippines shall not be entitled to participate in the party-list system.</w:t>
      </w:r>
    </w:p>
    <w:p w:rsidR="00000000" w:rsidDel="00000000" w:rsidP="00000000" w:rsidRDefault="00000000" w:rsidRPr="00000000" w14:paraId="0000017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determining the allocation of seats for the second vote, the following procedure shall be observed:</w:t>
      </w:r>
    </w:p>
    <w:p w:rsidR="00000000" w:rsidDel="00000000" w:rsidP="00000000" w:rsidRDefault="00000000" w:rsidRPr="00000000" w14:paraId="0000017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The parties, organizations, and coalitions shall be ranked from the highest to the lowest based on the number of votes they garnered during the elections. </w:t>
      </w:r>
    </w:p>
    <w:p w:rsidR="00000000" w:rsidDel="00000000" w:rsidP="00000000" w:rsidRDefault="00000000" w:rsidRPr="00000000" w14:paraId="0000017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The parties, organizations, and coalitions receiving at least two percent (2%) of the total votes cast for the party-list system shall be entitled to one seat each; Provided, That those garnering more than two percent (2%) of the votes shall be entitled to additional seats in proportion to their total number of votes; Provided, finally, That each party, organization, or coalition shall be entitled to not more than three (3) seats."</w:t>
      </w:r>
    </w:p>
    <w:p w:rsidR="00000000" w:rsidDel="00000000" w:rsidP="00000000" w:rsidRDefault="00000000" w:rsidRPr="00000000" w14:paraId="0000017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Veterans Federation Party v. Comelec</w:t>
      </w:r>
      <w:r w:rsidDel="00000000" w:rsidR="00000000" w:rsidRPr="00000000">
        <w:rPr>
          <w:rFonts w:ascii="Georgia" w:cs="Georgia" w:eastAsia="Georgia" w:hAnsi="Georgia"/>
          <w:rtl w:val="0"/>
        </w:rPr>
        <w:t xml:space="preserve">, the Court observed that the Filipino party-list system had some unique features. It ruled that, to determine the winners in the Filipino party-list system, four parameters were required by the Constitution and by RA 7941, as follows:</w:t>
      </w:r>
    </w:p>
    <w:p w:rsidR="00000000" w:rsidDel="00000000" w:rsidP="00000000" w:rsidRDefault="00000000" w:rsidRPr="00000000" w14:paraId="0000017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the twenty percent allocation - the combined number of all party-list congressmen shall not exceed twenty percent of the total membership of the House of Representatives, including those elected under the party list.</w:t>
      </w:r>
    </w:p>
    <w:p w:rsidR="00000000" w:rsidDel="00000000" w:rsidP="00000000" w:rsidRDefault="00000000" w:rsidRPr="00000000" w14:paraId="0000017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"Second, the two percent threshold - only those parties garnering a minimum of two percent of the total valid votes cast for the party-list system are 'qualified' to have a seat in the House of Representatives. </w:t>
      </w:r>
    </w:p>
    <w:p w:rsidR="00000000" w:rsidDel="00000000" w:rsidP="00000000" w:rsidRDefault="00000000" w:rsidRPr="00000000" w14:paraId="0000017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"Third, the three-seat limit - each qualified party, regardless of the number of votes it actually obtained, is entitled to a maximum of three seats; that is, one 'qualifying' and two additional seats.</w:t>
      </w:r>
    </w:p>
    <w:p w:rsidR="00000000" w:rsidDel="00000000" w:rsidP="00000000" w:rsidRDefault="00000000" w:rsidRPr="00000000" w14:paraId="0000017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"Fourth, proportional representation - the additional seats which a qualified party is entitled to shall be computed 'in proportion to their total number of votes.”</w:t>
      </w:r>
    </w:p>
    <w:p w:rsidR="00000000" w:rsidDel="00000000" w:rsidP="00000000" w:rsidRDefault="00000000" w:rsidRPr="00000000" w14:paraId="0000017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1998 elections, the Commission on Elections did not follow these parameters, particularly the two percent threshold. It proclaimed 39 political parties as winners, despite their failure to gather the minimum two percent of the total valid votes cast for the party-list system during the 1998 elections. Thus, the Court invalidated the assailed Comelec Resolution. </w:t>
      </w:r>
    </w:p>
    <w:p w:rsidR="00000000" w:rsidDel="00000000" w:rsidP="00000000" w:rsidRDefault="00000000" w:rsidRPr="00000000" w14:paraId="0000017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the Court was unanimous in reversing the Comelec, it was divided on how to determine the winners in a party-list election. More pointedly, it was divided on how to convert the four parameters, which I mentioned earlier, into a mathematical formula. </w:t>
      </w:r>
    </w:p>
    <w:p w:rsidR="00000000" w:rsidDel="00000000" w:rsidP="00000000" w:rsidRDefault="00000000" w:rsidRPr="00000000" w14:paraId="0000017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lack of time, I will not be able to take up the detailed mathematical discussion that occupied the Court's attention. Suffice it to say that the formula used by the majority was' "homegrown" in the sense that it was original, and it was conceived so that all the four parameters would be observed meticulously. The Decision pointed out: "The Philippine style party list system is a unique paradigm which demands an equally unique formula." While globalization urged us to apply tested doctrines used by parliamentary democracies elsewhere, our Supreme Court nonetheless refused to import those principles, because our party-list concept had marked differences from those practiced in Germany, France and other countries.</w:t>
      </w:r>
    </w:p>
    <w:p w:rsidR="00000000" w:rsidDel="00000000" w:rsidP="00000000" w:rsidRDefault="00000000" w:rsidRPr="00000000" w14:paraId="0000017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our Court rejected the so-called Niemeyer formula used by the German Bundestag in determining the winning candidates. Said the Court:</w:t>
      </w:r>
    </w:p>
    <w:p w:rsidR="00000000" w:rsidDel="00000000" w:rsidP="00000000" w:rsidRDefault="00000000" w:rsidRPr="00000000" w14:paraId="0000017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Niemeyer formula, while no doubt suitable for Germany, finds no application in the Philippine setting, because of our three-seat limit and the non-mandatory character of the twenty percent allocation. True, both our Congress and the Bundestag have threshold requirements - two differences between the two models, however. As ably pointed out by private respondents, one half of the German Parliament is filled up by party-list members. More importantly, there are no seat limitations, because German law discourages the proliferation of small parties. In contrast, RA 7941, as already mentioned, imposes a three-seat limit to encourage the promotion of the multiparty system. This major statutory difference makes the Niemeyer formula inapplicable to the Philippines.</w:t>
      </w:r>
    </w:p>
    <w:p w:rsidR="00000000" w:rsidDel="00000000" w:rsidP="00000000" w:rsidRDefault="00000000" w:rsidRPr="00000000" w14:paraId="0000017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 as one cannot grow Washington apples in the Philippines or Guimaras mangoes in the Arctic because of fundamental environmental differences, neither can the Niemeyer formula be transplanted in toto here, because of essential variances between the two party-list models."</w:t>
      </w:r>
    </w:p>
    <w:p w:rsidR="00000000" w:rsidDel="00000000" w:rsidP="00000000" w:rsidRDefault="00000000" w:rsidRPr="00000000" w14:paraId="0000017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now shift to the Decisions of the Court involving new paradigms in basic human rights: the right to life, the right to privacy and the right to free expression.</w:t>
      </w:r>
    </w:p>
    <w:p w:rsidR="00000000" w:rsidDel="00000000" w:rsidP="00000000" w:rsidRDefault="00000000" w:rsidRPr="00000000" w14:paraId="0000018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Death Penalty Law </w:t>
      </w:r>
    </w:p>
    <w:p w:rsidR="00000000" w:rsidDel="00000000" w:rsidP="00000000" w:rsidRDefault="00000000" w:rsidRPr="00000000" w14:paraId="0000018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and the Right to Life </w:t>
      </w:r>
    </w:p>
    <w:p w:rsidR="00000000" w:rsidDel="00000000" w:rsidP="00000000" w:rsidRDefault="00000000" w:rsidRPr="00000000" w14:paraId="0000018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discuss first the most basic of all human rights - the right to life.</w:t>
      </w:r>
    </w:p>
    <w:p w:rsidR="00000000" w:rsidDel="00000000" w:rsidP="00000000" w:rsidRDefault="00000000" w:rsidRPr="00000000" w14:paraId="0000018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Philippine Constitution prohibits the imposition of the death penalty" unless for compelling reasons involving heinous crimes, the Congress hereafter provides for it." The legislature provided for it by enacting RA 7659, the Death Penalty Law, which became effective on December 31, 1993. In </w:t>
      </w:r>
      <w:r w:rsidDel="00000000" w:rsidR="00000000" w:rsidRPr="00000000">
        <w:rPr>
          <w:rFonts w:ascii="Georgia" w:cs="Georgia" w:eastAsia="Georgia" w:hAnsi="Georgia"/>
          <w:i w:val="1"/>
          <w:iCs w:val="1"/>
          <w:rtl w:val="0"/>
        </w:rPr>
        <w:t xml:space="preserve">People v. Echegaray</w:t>
      </w:r>
      <w:r w:rsidDel="00000000" w:rsidR="00000000" w:rsidRPr="00000000">
        <w:rPr>
          <w:rFonts w:ascii="Georgia" w:cs="Georgia" w:eastAsia="Georgia" w:hAnsi="Georgia"/>
          <w:rtl w:val="0"/>
        </w:rPr>
        <w:t xml:space="preserve">, its constitutionality was upheld by the Supreme Court. The Court reasoned thus:</w:t>
      </w:r>
    </w:p>
    <w:p w:rsidR="00000000" w:rsidDel="00000000" w:rsidP="00000000" w:rsidRDefault="00000000" w:rsidRPr="00000000" w14:paraId="0000018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death penalty is not a "cruel, unjust, excessive or unusual punishment." Rather, it is an expression of the prerogative of the state to "secure society against threatened and actual evil." </w:t>
      </w:r>
    </w:p>
    <w:p w:rsidR="00000000" w:rsidDel="00000000" w:rsidP="00000000" w:rsidRDefault="00000000" w:rsidRPr="00000000" w14:paraId="0000018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offenses for which RA 7659 prescribes death satisfy "the element of heinousness." This law specifies the "circumstances that generally qualify a crime x x x to be punished x x x [by] death." </w:t>
      </w:r>
    </w:p>
    <w:p w:rsidR="00000000" w:rsidDel="00000000" w:rsidP="00000000" w:rsidRDefault="00000000" w:rsidRPr="00000000" w14:paraId="0000018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RA 7659 "is replete with both procedural and substantial safeguards that ensure [its] correct application."</w:t>
      </w:r>
    </w:p>
    <w:p w:rsidR="00000000" w:rsidDel="00000000" w:rsidP="00000000" w:rsidRDefault="00000000" w:rsidRPr="00000000" w14:paraId="0000018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The Constitution gave Congress the discretion to determine the presence of the elements of heinousness and its compelling reasons, and the Court would exceed authority if it questions the exercise of that discretion.</w:t>
      </w:r>
    </w:p>
    <w:p w:rsidR="00000000" w:rsidDel="00000000" w:rsidP="00000000" w:rsidRDefault="00000000" w:rsidRPr="00000000" w14:paraId="0000018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should hasten to add that a subsequent companion case, </w:t>
      </w:r>
      <w:r w:rsidDel="00000000" w:rsidR="00000000" w:rsidRPr="00000000">
        <w:rPr>
          <w:rFonts w:ascii="Georgia" w:cs="Georgia" w:eastAsia="Georgia" w:hAnsi="Georgia"/>
          <w:i w:val="1"/>
          <w:iCs w:val="1"/>
          <w:rtl w:val="0"/>
        </w:rPr>
        <w:t xml:space="preserve">Echegaray v. Secretary of Justice,</w:t>
      </w:r>
      <w:r w:rsidDel="00000000" w:rsidR="00000000" w:rsidRPr="00000000">
        <w:rPr>
          <w:rFonts w:ascii="Georgia" w:cs="Georgia" w:eastAsia="Georgia" w:hAnsi="Georgia"/>
          <w:rtl w:val="0"/>
        </w:rPr>
        <w:t xml:space="preserve"> ruled that lethal injection, like the electric chair, was a valid means of carrying out the death penalty; and was not cruel, degrading or inhuman, because it did not involve "torture or a lingering death."</w:t>
      </w:r>
    </w:p>
    <w:p w:rsidR="00000000" w:rsidDel="00000000" w:rsidP="00000000" w:rsidRDefault="00000000" w:rsidRPr="00000000" w14:paraId="0000018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my dissent, however, I pointedly lamented the failure of Congress to satisfy the constitutional requirements of "heinousness" and "compelling reasons.</w:t>
      </w:r>
    </w:p>
    <w:p w:rsidR="00000000" w:rsidDel="00000000" w:rsidP="00000000" w:rsidRDefault="00000000" w:rsidRPr="00000000" w14:paraId="0000018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spite of the death penalty, government statistics show that the incidence of these so-called "heinous crimes, particularly rape, has continued to rise even up to the present, several years after RA 7659 had taken effect. With due respect, I believe that RA 7659 and the Court's Decision to uphold it collide with the global crusade to abolish the death penalty, as shown in five major international treaties: (a) the 1948 Universal Declaration of Human Rights; (b) the 1966 International Covenant on Economic, Social and Cultural Rights; (c) the 1966 International Covenant on Civil and Political Rights (ICCPR) and (d) the two Optional Protocols to the ICCPR. All these treaties are collectively referred to as the International Bill of Human Rights. There is also the April 3, 1997 Resolution (No. 1997 / 12) of the UN Commission on Human Rights, which calls on all UN members to abolish the death penalty. </w:t>
      </w:r>
    </w:p>
    <w:p w:rsidR="00000000" w:rsidDel="00000000" w:rsidP="00000000" w:rsidRDefault="00000000" w:rsidRPr="00000000" w14:paraId="0000018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all fairness, I should add that while the Philippines voted in favor of the Second Protocol to the ICCPR, it has not ratified it.)</w:t>
      </w:r>
    </w:p>
    <w:p w:rsidR="00000000" w:rsidDel="00000000" w:rsidP="00000000" w:rsidRDefault="00000000" w:rsidRPr="00000000" w14:paraId="0000018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8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summed up my arguments in the Epilogue of the Dissent, as follows: </w:t>
      </w:r>
    </w:p>
    <w:p w:rsidR="00000000" w:rsidDel="00000000" w:rsidP="00000000" w:rsidRDefault="00000000" w:rsidRPr="00000000" w14:paraId="0000018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1987 Constitution abolished the death penalty from our statute books. It did not merely suspend or prohibit its imposition.</w:t>
      </w:r>
    </w:p>
    <w:p w:rsidR="00000000" w:rsidDel="00000000" w:rsidP="00000000" w:rsidRDefault="00000000" w:rsidRPr="00000000" w14:paraId="0000018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Charter effectively granted a new right: the constitutional right againts death penalty, which is really a species of the right to life.</w:t>
      </w:r>
    </w:p>
    <w:p w:rsidR="00000000" w:rsidDel="00000000" w:rsidP="00000000" w:rsidRDefault="00000000" w:rsidRPr="00000000" w14:paraId="0000019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Any law reviving the capital penalty must be strictly construed against the State and liberally in favor of the accused because such a statute denigrates the Constitution, impinges on a basic right, and tends to deny equal justice to the underprivileged.</w:t>
      </w:r>
    </w:p>
    <w:p w:rsidR="00000000" w:rsidDel="00000000" w:rsidP="00000000" w:rsidRDefault="00000000" w:rsidRPr="00000000" w14:paraId="0000019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Every word or phrase in the Constitution is sacred and should never be cavalierly treated or brushed aside.</w:t>
      </w:r>
    </w:p>
    <w:p w:rsidR="00000000" w:rsidDel="00000000" w:rsidP="00000000" w:rsidRDefault="00000000" w:rsidRPr="00000000" w14:paraId="0000019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Congressional power to prescribe death is severely limited by two concurrent requirements:</w:t>
      </w:r>
    </w:p>
    <w:p w:rsidR="00000000" w:rsidDel="00000000" w:rsidP="00000000" w:rsidRDefault="00000000" w:rsidRPr="00000000" w14:paraId="00000193">
      <w:pPr>
        <w:spacing w:after="80" w:before="80"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"(a) First, Congress must provide a set of attendant circumstances which the prosecution must prove beyond reasonable doubt, apart from the elements of the crime itself. Congress must explain why and how these circumstances define or characterize the crime as 'heinous.'</w:t>
      </w:r>
    </w:p>
    <w:p w:rsidR="00000000" w:rsidDel="00000000" w:rsidP="00000000" w:rsidRDefault="00000000" w:rsidRPr="00000000" w14:paraId="00000194">
      <w:pPr>
        <w:spacing w:after="80" w:before="80"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"(b) Second Congress has also the duty of laying out clear and specific reasons which arose after the effectiveness of the Constitution, compelling the enactment of the law. It bears repeating that these requirements are inseparable. They must both be present in view of the specific constitutional mandate - 'for compelling reasons involving heinous crimes.' The compelling reason must flow from the heinous nature of the offense. </w:t>
      </w:r>
    </w:p>
    <w:p w:rsidR="00000000" w:rsidDel="00000000" w:rsidP="00000000" w:rsidRDefault="00000000" w:rsidRPr="00000000" w14:paraId="0000019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In every law reviving the capital penalty, the heinousness and compelling reasons must be set out for each a n d every crime, a n d not just for all crimes generally and collectively.</w:t>
      </w:r>
    </w:p>
    <w:p w:rsidR="00000000" w:rsidDel="00000000" w:rsidP="00000000" w:rsidRDefault="00000000" w:rsidRPr="00000000" w14:paraId="0000019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''Thou shall not kill' is a fundamental commandment to all Christians, as well as to the rest of the 'sovereign Filipino people' who believe in Almighty God. While the Catholic Church, to which the vast majority of our people belong, acknowledges the power of public authorities to prescribe the death penalty, it advisedly limits such prerogative only to 'cases of extreme gravity. To quote Pope John Paul I in his encyclical </w:t>
      </w:r>
      <w:r w:rsidDel="00000000" w:rsidR="00000000" w:rsidRPr="00000000">
        <w:rPr>
          <w:rFonts w:ascii="Georgia" w:cs="Georgia" w:eastAsia="Georgia" w:hAnsi="Georgia"/>
          <w:i w:val="1"/>
          <w:iCs w:val="1"/>
          <w:rtl w:val="0"/>
        </w:rPr>
        <w:t xml:space="preserve">Evangelium Vitae </w:t>
      </w:r>
      <w:r w:rsidDel="00000000" w:rsidR="00000000" w:rsidRPr="00000000">
        <w:rPr>
          <w:rFonts w:ascii="Georgia" w:cs="Georgia" w:eastAsia="Georgia" w:hAnsi="Georgia"/>
          <w:rtl w:val="0"/>
        </w:rPr>
        <w:t xml:space="preserve">(A Hymn to Life), 'punishment must be carefully evaluated and decided upon and ought not go to the extreme of executing the offender, except in cases of absolute necessity: in other words, when it would not be possible otherwise to defend society x x x (which is) very rare, if not practically non-existent.' </w:t>
      </w:r>
    </w:p>
    <w:p w:rsidR="00000000" w:rsidDel="00000000" w:rsidP="00000000" w:rsidRDefault="00000000" w:rsidRPr="00000000" w14:paraId="0000019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"Although not absolutely banning it, both the Constitution and the Church indubitably abhor the death penalty. Both are pro-people and pro-life. recognize the primacy of human life over and above even the state which man created precisely to protect, cherish and defend him. The Constitution reluctantly allows capital punishment only for 'compelling reasons involving heinous crimes, just as the Church grudgingly permits it only for reasons of 'absolute necessity' involving crimes of 'extreme gravity, which are very rare and practically non-existent.</w:t>
      </w:r>
    </w:p>
    <w:p w:rsidR="00000000" w:rsidDel="00000000" w:rsidP="00000000" w:rsidRDefault="00000000" w:rsidRPr="00000000" w14:paraId="0000019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face of these evident truisms, I ask: Has Congress, in enacting RA 7659, amply discharged its constitutional burden of proving the existence of 'compelling reasons' to prescribe death against well-defined 'heinous' crimes?</w:t>
      </w:r>
    </w:p>
    <w:p w:rsidR="00000000" w:rsidDel="00000000" w:rsidP="00000000" w:rsidRDefault="00000000" w:rsidRPr="00000000" w14:paraId="0000019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respectfully submit it has not.”</w:t>
      </w:r>
    </w:p>
    <w:p w:rsidR="00000000" w:rsidDel="00000000" w:rsidP="00000000" w:rsidRDefault="00000000" w:rsidRPr="00000000" w14:paraId="0000019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 letter dated June 27, 2000 addressed to CJ Davide, Secretary General Romulo A. Virola of the National Statistical Coordination Board, cited the NSCB Statistics Series showing that rape cases "continued to rise reaching 3,177 in 1999 from a lower figure of 2,346 in 1995, an increase of 35 percent. In 1999, on the average, nine women were raped in the Philippines daily."</w:t>
      </w:r>
    </w:p>
    <w:p w:rsidR="00000000" w:rsidDel="00000000" w:rsidP="00000000" w:rsidRDefault="00000000" w:rsidRPr="00000000" w14:paraId="0000019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9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Dissenting Opinion in </w:t>
      </w:r>
      <w:r w:rsidDel="00000000" w:rsidR="00000000" w:rsidRPr="00000000">
        <w:rPr>
          <w:rFonts w:ascii="Georgia" w:cs="Georgia" w:eastAsia="Georgia" w:hAnsi="Georgia"/>
          <w:i w:val="1"/>
          <w:iCs w:val="1"/>
          <w:rtl w:val="0"/>
        </w:rPr>
        <w:t xml:space="preserve">Echegaray v. Secretary of Justice</w:t>
      </w:r>
      <w:r w:rsidDel="00000000" w:rsidR="00000000" w:rsidRPr="00000000">
        <w:rPr>
          <w:rFonts w:ascii="Georgia" w:cs="Georgia" w:eastAsia="Georgia" w:hAnsi="Georgia"/>
          <w:rtl w:val="0"/>
        </w:rPr>
        <w:t xml:space="preserve">, supra, in part</w:t>
      </w:r>
    </w:p>
    <w:p w:rsidR="00000000" w:rsidDel="00000000" w:rsidP="00000000" w:rsidRDefault="00000000" w:rsidRPr="00000000" w14:paraId="0000019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"R.A. No. 8177 Implementing The Death Penalty Violates International Norm.</w:t>
      </w:r>
    </w:p>
    <w:p w:rsidR="00000000" w:rsidDel="00000000" w:rsidP="00000000" w:rsidRDefault="00000000" w:rsidRPr="00000000" w14:paraId="0000019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the core of the issue of death penalty is the inherent and inalienable right to life of every human being. The recognition of this inherent right to life is one of the self-evident principles that inspired the adoption of five (5) major international covenants: the Universal Declaration of Human Rights in 1948; the International Covenant on Economic, Social and Cultural Rights in 1966; the International Covenant on Civil and Political Rights in 1966; and the two Operational Protocols to the latter Covenant. These legal instruments are collectively called the International Bill of Human Rights. </w:t>
      </w:r>
    </w:p>
    <w:p w:rsidR="00000000" w:rsidDel="00000000" w:rsidP="00000000" w:rsidRDefault="00000000" w:rsidRPr="00000000" w14:paraId="0000019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universal fight for the recognition of the right to life should never be lost in the mist of history. In December 1948, the United Nations General Assembly adopted without dissent the Universal Declaration of Human Rights. The Universal Declaration is a pledge among nations to promote rights inherent in each and every individual. These rights were distinguished from mere privileges that may be awarded by governments for good behavior and withdrawn for bad behavior. Thus, Article 3 of the Universal Declaration decrees that "everyone has the right to life, liberty and security of the person." The Philippines is a proud signatory to this document. </w:t>
      </w:r>
    </w:p>
    <w:p w:rsidR="00000000" w:rsidDel="00000000" w:rsidP="00000000" w:rsidRDefault="00000000" w:rsidRPr="00000000" w14:paraId="000001A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December 16, 1966, the United Nations General Assembly went on to adopt the International Covenant on Civil and Political Rights (ICCPR). It was opened for signature on December 19, 1966 and entered into force on March 23, 1976. With respect to the death penalty, this Covenant provides:</w:t>
      </w:r>
    </w:p>
    <w:p w:rsidR="00000000" w:rsidDel="00000000" w:rsidP="00000000" w:rsidRDefault="00000000" w:rsidRPr="00000000" w14:paraId="000001A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Every human being has the inherent right to life. This right shall be protected by law. No one shall be arbitrarily deprived of his life.</w:t>
      </w:r>
    </w:p>
    <w:p w:rsidR="00000000" w:rsidDel="00000000" w:rsidP="00000000" w:rsidRDefault="00000000" w:rsidRPr="00000000" w14:paraId="000001A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In countries which have not abolished the death penalty, sentence of death may be imposed only for the most serious crimes in accordance with the law in force at the time of the commission of the crime and not contrary to the provisions of the present Covenant and to the Convention on the Prevention and Punishment of the Crime of Genocide. This penalty can only be carried out pursuant to a final judgment rendered by a competent court.</w:t>
      </w:r>
    </w:p>
    <w:p w:rsidR="00000000" w:rsidDel="00000000" w:rsidP="00000000" w:rsidRDefault="00000000" w:rsidRPr="00000000" w14:paraId="000001A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A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Anyone sentenced to death shall have the right to seek pardon or commutation of the sentence. Amnesty, pardon or commutation of the sentence of death may be granted in all cases.</w:t>
      </w:r>
    </w:p>
    <w:p w:rsidR="00000000" w:rsidDel="00000000" w:rsidP="00000000" w:rsidRDefault="00000000" w:rsidRPr="00000000" w14:paraId="000001A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Sentences of death shall not be imposed for crimes committed by persons below eighteen years of age and shall not be carried out on pregnant women.</w:t>
      </w:r>
    </w:p>
    <w:p w:rsidR="00000000" w:rsidDel="00000000" w:rsidP="00000000" w:rsidRDefault="00000000" w:rsidRPr="00000000" w14:paraId="000001A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Nothing in this article shall be invoked to delay or to prevent the abolition of capital punishment by any State Party to the present Covenant.'" (emphasis in the original)</w:t>
      </w:r>
    </w:p>
    <w:p w:rsidR="00000000" w:rsidDel="00000000" w:rsidP="00000000" w:rsidRDefault="00000000" w:rsidRPr="00000000" w14:paraId="000001A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A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A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Dissent elaborated:</w:t>
      </w:r>
    </w:p>
    <w:p w:rsidR="00000000" w:rsidDel="00000000" w:rsidP="00000000" w:rsidRDefault="00000000" w:rsidRPr="00000000" w14:paraId="000001A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Optional Protocol to the Civil and Political Rights was adopted by the United Nations General Assembly on December 16, 1966. It entered into force on March 23, 1976. This Protocol provides for the mechanism for checking state compliance [with] the provisions of international human rights instruments such as a reportorial requirement among governments. The Philippines signed this Protocol on December 19, 1966 and ratified it on August 22, 1989. As of December 1996, this Optional Protocol had 89 state parties.</w:t>
      </w:r>
    </w:p>
    <w:p w:rsidR="00000000" w:rsidDel="00000000" w:rsidP="00000000" w:rsidRDefault="00000000" w:rsidRPr="00000000" w14:paraId="000001A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Second Optional Protocol to the ICCPR Aiming at the Abolition of the Death Penalty was adopted and opened for signing by the General Assembly on December 15, 1989. It entered into force on July 11, 1991. The Philippines together with 58 other states voted in favor of the adoption of this document, while 26 voted against and 48 abstained. However, the Philippines has not ratified this Protocol. Under this Protocol, States must take all necessary measures to abolish the death penalty. More specifically, it provides x x x: </w:t>
      </w:r>
    </w:p>
    <w:p w:rsidR="00000000" w:rsidDel="00000000" w:rsidP="00000000" w:rsidRDefault="00000000" w:rsidRPr="00000000" w14:paraId="000001A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No one within the jurisdiction of a State Party to the Optional Protocol shall be executed.                                              </w:t>
      </w:r>
    </w:p>
    <w:p w:rsidR="00000000" w:rsidDel="00000000" w:rsidP="00000000" w:rsidRDefault="00000000" w:rsidRPr="00000000" w14:paraId="000001A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Each State Party shall take all necessary measures to abolish the death penalty within its jurisdiction."</w:t>
      </w:r>
    </w:p>
    <w:p w:rsidR="00000000" w:rsidDel="00000000" w:rsidP="00000000" w:rsidRDefault="00000000" w:rsidRPr="00000000" w14:paraId="000001A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of December 1996, 25 States ha[d] ratified this Optional Protocol.</w:t>
      </w:r>
    </w:p>
    <w:p w:rsidR="00000000" w:rsidDel="00000000" w:rsidP="00000000" w:rsidRDefault="00000000" w:rsidRPr="00000000" w14:paraId="000001A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its inception, the United Nations has been steadfast in its view that like killings which take place outside the law, the death penalty denies the value of human life.” In United Assembly Resolutions 2857 (XXVI) and 32/61 of 6 December 1977 and in Economic and Social Council Resolutions 1574(L), 1945 (LIV) and 1930 (LVIII), the abolition of the death penalty was marked as one of the high aims of the assembly of civilized nations.”</w:t>
      </w:r>
    </w:p>
    <w:p w:rsidR="00000000" w:rsidDel="00000000" w:rsidP="00000000" w:rsidRDefault="00000000" w:rsidRPr="00000000" w14:paraId="000001B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"Human Rights and Human Wrongs: Is the US Death Penalty System Inconsistent With International Human Rights Law?" Fordham L. Rev., May 1999, in which all five panel discussants agreed that the US system violated international law.</w:t>
      </w:r>
    </w:p>
    <w:p w:rsidR="00000000" w:rsidDel="00000000" w:rsidP="00000000" w:rsidRDefault="00000000" w:rsidRPr="00000000" w14:paraId="000001B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B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Furthermore, </w:t>
      </w:r>
      <w:r w:rsidDel="00000000" w:rsidR="00000000" w:rsidRPr="00000000">
        <w:rPr>
          <w:rFonts w:ascii="Georgia" w:cs="Georgia" w:eastAsia="Georgia" w:hAnsi="Georgia"/>
          <w:i w:val="1"/>
          <w:iCs w:val="1"/>
          <w:rtl w:val="0"/>
        </w:rPr>
        <w:t xml:space="preserve">Time</w:t>
      </w:r>
      <w:r w:rsidDel="00000000" w:rsidR="00000000" w:rsidRPr="00000000">
        <w:rPr>
          <w:rFonts w:ascii="Georgia" w:cs="Georgia" w:eastAsia="Georgia" w:hAnsi="Georgia"/>
          <w:rtl w:val="0"/>
        </w:rPr>
        <w:t xml:space="preserve"> magazine has reported that, in the United States, nearly 80 convicts by final judgments have later on been exonerated, because subsequent DNA evidence had proven that they were completely innocent of the crimes attributed to them. They are now frantically suing the US government for compensation for their lost years in prison.</w:t>
      </w:r>
    </w:p>
    <w:p w:rsidR="00000000" w:rsidDel="00000000" w:rsidP="00000000" w:rsidRDefault="00000000" w:rsidRPr="00000000" w14:paraId="000001B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 it noted that in the United States, 12 states abolished the death penalty in accordance with the worldwide trend. However, in the other 38 states, death is still in the penal statutes. In a much-applauded display of political will, Governor George Ryan of Illinois very recently commuted the sentence of all 167 death convicts in his state. He said that the American "capital system is haunted by the demon of error: error in determining guilt and error in determining who among the guilty deserves to die." After making his decision to commute all death sentences, he declared:</w:t>
      </w:r>
    </w:p>
    <w:p w:rsidR="00000000" w:rsidDel="00000000" w:rsidP="00000000" w:rsidRDefault="00000000" w:rsidRPr="00000000" w14:paraId="000001B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realize [my commutation of all death sentences] will draw scorn and anger from many who oppose this decision. x x x. Even if the exercise of my power becomes my burden, I will bear it. xxx. There have been many nights where my staff and I have been deprived of sleep in order to conduct an exhaustive review of the system. But I can tell you this: I am going to sleep well tonight, knowing I made the right decision." </w:t>
      </w:r>
    </w:p>
    <w:p w:rsidR="00000000" w:rsidDel="00000000" w:rsidP="00000000" w:rsidRDefault="00000000" w:rsidRPr="00000000" w14:paraId="000001B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my country, although our Supreme Court has upheld the death penalty law by majority vote, it has nonetheless been very meticulous in reviewing death sentences. As a result, only less than one third of all death penalties imposed by lower courts have been affirmed. The penalties in more than 66 percent of them have been reduced, or the accused acquitted, or the cases remanded to the lower courts for new proceedings because of violations of due process during the trial of such cases below. For the record, as of August 8, 2002, 143 cases imposing the death penalty have been affirmed by the Supreme Court. </w:t>
      </w:r>
    </w:p>
    <w:p w:rsidR="00000000" w:rsidDel="00000000" w:rsidP="00000000" w:rsidRDefault="00000000" w:rsidRPr="00000000" w14:paraId="000001B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Even more important, after the first seven death convicts had been executed by lethal injection from February 5, 1999 to January 4, 2000, two Presidents of the Philippines - Joseph Ejercito Estrada and Gloria Macapagal Arroyo - have since then either granted reprieves or commuted death sentences, and so none of the remaining convicts has been put to death.</w:t>
      </w:r>
    </w:p>
    <w:p w:rsidR="00000000" w:rsidDel="00000000" w:rsidP="00000000" w:rsidRDefault="00000000" w:rsidRPr="00000000" w14:paraId="000001B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meantime, Congress is again seriously discussing the repeal of the law prescribing death. Bottom line: it is my fervent hope that the Philippines may yet join the global trend rejecting the death penalty.</w:t>
      </w:r>
    </w:p>
    <w:p w:rsidR="00000000" w:rsidDel="00000000" w:rsidP="00000000" w:rsidRDefault="00000000" w:rsidRPr="00000000" w14:paraId="000001B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National ID System </w:t>
      </w:r>
    </w:p>
    <w:p w:rsidR="00000000" w:rsidDel="00000000" w:rsidP="00000000" w:rsidRDefault="00000000" w:rsidRPr="00000000" w14:paraId="000001B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and the Right to Privacy </w:t>
      </w:r>
    </w:p>
    <w:p w:rsidR="00000000" w:rsidDel="00000000" w:rsidP="00000000" w:rsidRDefault="00000000" w:rsidRPr="00000000" w14:paraId="000001B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interesting constitutional paradigm recently upheld by the Court was the right to privacy. </w:t>
      </w:r>
      <w:r w:rsidDel="00000000" w:rsidR="00000000" w:rsidRPr="00000000">
        <w:rPr>
          <w:rFonts w:ascii="Georgia" w:cs="Georgia" w:eastAsia="Georgia" w:hAnsi="Georgia"/>
          <w:i w:val="1"/>
          <w:iCs w:val="1"/>
          <w:rtl w:val="0"/>
        </w:rPr>
        <w:t xml:space="preserve">Ople v. Torres</w:t>
      </w:r>
      <w:r w:rsidDel="00000000" w:rsidR="00000000" w:rsidRPr="00000000">
        <w:rPr>
          <w:rFonts w:ascii="Georgia" w:cs="Georgia" w:eastAsia="Georgia" w:hAnsi="Georgia"/>
          <w:rtl w:val="0"/>
        </w:rPr>
        <w:t xml:space="preserve"> ruled that Administrative Order (AO) No. 308, which established a "National Computerized Identification Reference System," or a national ID card, was void for the following reasons: </w:t>
      </w:r>
    </w:p>
    <w:p w:rsidR="00000000" w:rsidDel="00000000" w:rsidP="00000000" w:rsidRDefault="00000000" w:rsidRPr="00000000" w14:paraId="000001BB">
      <w:pPr>
        <w:numPr>
          <w:ilvl w:val="0"/>
          <w:numId w:val="2"/>
        </w:numPr>
        <w:spacing w:after="80" w:before="80"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It “involves a subject that is not appropriate to be covered by [a mere] administrative order," enacted by Congress.</w:t>
      </w:r>
      <w:r w:rsidDel="00000000" w:rsidR="00000000" w:rsidRPr="00000000">
        <w:rPr>
          <w:rtl w:val="0"/>
        </w:rPr>
      </w:r>
    </w:p>
    <w:p w:rsidR="00000000" w:rsidDel="00000000" w:rsidP="00000000" w:rsidRDefault="00000000" w:rsidRPr="00000000" w14:paraId="000001B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In any event, it would place "the right to privacy in clear and present danger." By providing for a Population Reference No. (PRN), this presidential issuance would open to government scrutiny the citizen's "physiological and behavioral characteristics" and generate "a comprehensive cradle-to-grave dossier on an individual" and would then transmit it over a national computer network. It "pressures the people to surrender their privacy by giving information about themselves on the pretext that it will facilitate the delivery of basic services."</w:t>
      </w:r>
    </w:p>
    <w:p w:rsidR="00000000" w:rsidDel="00000000" w:rsidP="00000000" w:rsidRDefault="00000000" w:rsidRPr="00000000" w14:paraId="000001B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Right to Free Expression: </w:t>
      </w:r>
    </w:p>
    <w:p w:rsidR="00000000" w:rsidDel="00000000" w:rsidP="00000000" w:rsidRDefault="00000000" w:rsidRPr="00000000" w14:paraId="000001BE">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Exit Polls and Libel</w:t>
      </w:r>
    </w:p>
    <w:p w:rsidR="00000000" w:rsidDel="00000000" w:rsidP="00000000" w:rsidRDefault="00000000" w:rsidRPr="00000000" w14:paraId="000001B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One of the most revered rights of the people is free expression. It began in the Middle Ages with free speech and the right to peaceful assembly for a redress of grievances. When the printing press was invented, freedom of expression was expanded to include freedom of the press. Labor's right to strike and to picket also became modes of protected expression when the Industrial Age flourished. Radio, television and cinema were then invented; these too were recognized as new modes of expression and thus given constitutional mantle.</w:t>
      </w:r>
    </w:p>
    <w:p w:rsidR="00000000" w:rsidDel="00000000" w:rsidP="00000000" w:rsidRDefault="00000000" w:rsidRPr="00000000" w14:paraId="000001C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as mankind pushes the frontiers of science and technology in mass communication, so must the scope of free expression expand. In line with these technological developments, the Supreme Court in </w:t>
      </w:r>
      <w:r w:rsidDel="00000000" w:rsidR="00000000" w:rsidRPr="00000000">
        <w:rPr>
          <w:rFonts w:ascii="Georgia" w:cs="Georgia" w:eastAsia="Georgia" w:hAnsi="Georgia"/>
          <w:i w:val="1"/>
          <w:iCs w:val="1"/>
          <w:rtl w:val="0"/>
        </w:rPr>
        <w:t xml:space="preserve">ABS-CBN v. Comelec</w:t>
      </w:r>
      <w:r w:rsidDel="00000000" w:rsidR="00000000" w:rsidRPr="00000000">
        <w:rPr>
          <w:rFonts w:ascii="Georgia" w:cs="Georgia" w:eastAsia="Georgia" w:hAnsi="Georgia"/>
          <w:rtl w:val="0"/>
        </w:rPr>
        <w:t xml:space="preserve"> deemed exit polls t o be part of free speech and, as such, entitled to constitutional protection. Hence, the Commission on Elections gravely abused its discretion when, during the 1998 elections, it totally prohibited the holding of exit polls and the dissemination of their results through mass media.</w:t>
      </w:r>
    </w:p>
    <w:p w:rsidR="00000000" w:rsidDel="00000000" w:rsidP="00000000" w:rsidRDefault="00000000" w:rsidRPr="00000000" w14:paraId="000001C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Like any other right, the freedom to hold exit polls and to disseminate their results may be subjected to reasonable regulation. The purpose is not to stifle or diminish such freedom, but in fact to safeguard it and at the same time to ensure that it does not collide with or overturn the rights of others. Hence, the Decision added that "narrowly tailored counter-measures may be prescribed by the Comelec so as to minimize or suppress incidental problems in the conduct of exit polls, without transgressing the fundamental rights of the people."</w:t>
      </w:r>
    </w:p>
    <w:p w:rsidR="00000000" w:rsidDel="00000000" w:rsidP="00000000" w:rsidRDefault="00000000" w:rsidRPr="00000000" w14:paraId="000001C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 later case, Social Weather </w:t>
      </w:r>
      <w:r w:rsidDel="00000000" w:rsidR="00000000" w:rsidRPr="00000000">
        <w:rPr>
          <w:rFonts w:ascii="Georgia" w:cs="Georgia" w:eastAsia="Georgia" w:hAnsi="Georgia"/>
          <w:i w:val="1"/>
          <w:iCs w:val="1"/>
          <w:rtl w:val="0"/>
        </w:rPr>
        <w:t xml:space="preserve">Stations v. Comelec,</w:t>
      </w:r>
      <w:r w:rsidDel="00000000" w:rsidR="00000000" w:rsidRPr="00000000">
        <w:rPr>
          <w:rFonts w:ascii="Georgia" w:cs="Georgia" w:eastAsia="Georgia" w:hAnsi="Georgia"/>
          <w:rtl w:val="0"/>
        </w:rPr>
        <w:t xml:space="preserve"> the Court strengthened its doctrine that elections surveys formed part of the freedom of speech. It declared as unconstitutional a provision in a new law (Section 5.4 of RA 9006, the Fair Elections Act) that banned the publication of election surveys 15 days before a national election, and 7 days before a local election. Although the prohibition was for a limited period only, the curtailment of the right of free expression was held to be " direct, absolute and substantial” and therefore impermissible.</w:t>
      </w:r>
    </w:p>
    <w:p w:rsidR="00000000" w:rsidDel="00000000" w:rsidP="00000000" w:rsidRDefault="00000000" w:rsidRPr="00000000" w14:paraId="000001C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held that the questioned provision "constitutes an unconstitutional abridgment of freedom of speech, expression and the press" for the following reasons: </w:t>
      </w:r>
    </w:p>
    <w:p w:rsidR="00000000" w:rsidDel="00000000" w:rsidP="00000000" w:rsidRDefault="00000000" w:rsidRPr="00000000" w14:paraId="000001C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It "lays a prior restraint on freedom of speech, expression and the press by prohibiting the publication of election survey results xxx." </w:t>
      </w:r>
    </w:p>
    <w:p w:rsidR="00000000" w:rsidDel="00000000" w:rsidP="00000000" w:rsidRDefault="00000000" w:rsidRPr="00000000" w14:paraId="000001C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"xxx [T|he granted power to the Comelec under Art. IX-C Section 4 of the Constitution is limited to ensuring equal opportunity, time, space, and the right to reply' as well as to prescribing uniform and reasonable rates of charges for the use of such media facilities for 'public information campaigns and forums among candidates.'" </w:t>
      </w:r>
    </w:p>
    <w:p w:rsidR="00000000" w:rsidDel="00000000" w:rsidP="00000000" w:rsidRDefault="00000000" w:rsidRPr="00000000" w14:paraId="000001C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Citing the US case </w:t>
      </w:r>
      <w:r w:rsidDel="00000000" w:rsidR="00000000" w:rsidRPr="00000000">
        <w:rPr>
          <w:rFonts w:ascii="Georgia" w:cs="Georgia" w:eastAsia="Georgia" w:hAnsi="Georgia"/>
          <w:i w:val="1"/>
          <w:iCs w:val="1"/>
          <w:rtl w:val="0"/>
        </w:rPr>
        <w:t xml:space="preserve">United States v. O'Brien</w:t>
      </w:r>
      <w:r w:rsidDel="00000000" w:rsidR="00000000" w:rsidRPr="00000000">
        <w:rPr>
          <w:rFonts w:ascii="Georgia" w:cs="Georgia" w:eastAsia="Georgia" w:hAnsi="Georgia"/>
          <w:rtl w:val="0"/>
        </w:rPr>
        <w:t xml:space="preserve">, the Court stressed that the "most influential test for distinguishing content-based from content-neutral regulations” is as follows:</w:t>
      </w:r>
    </w:p>
    <w:p w:rsidR="00000000" w:rsidDel="00000000" w:rsidP="00000000" w:rsidRDefault="00000000" w:rsidRPr="00000000" w14:paraId="000001C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government regulation is sufficiently justified [1] if it is within the constitutional power of the Government; [2] if it furthers an important or substantial governmental interest; [3] if the governmental interest is unrelated to the suppression of free expression; and [4] if the incidental restriction on alleged First Amendment freedoms [of speech, expression and the press] is no greater than is essential to the furtherance of that interest.’</w:t>
      </w:r>
    </w:p>
    <w:p w:rsidR="00000000" w:rsidDel="00000000" w:rsidP="00000000" w:rsidRDefault="00000000" w:rsidRPr="00000000" w14:paraId="000001C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the test, even if a law furthers an important or a substantial governmental interest, it should nonetheless be invalidated if that interest is related to the suppression of free expression. Moreover, even if it is not so related, the law should still be invalidated if the restriction on freedom of expression is greater than is necessary to achieve the government purpose in question. </w:t>
      </w:r>
    </w:p>
    <w:p w:rsidR="00000000" w:rsidDel="00000000" w:rsidP="00000000" w:rsidRDefault="00000000" w:rsidRPr="00000000" w14:paraId="000001C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another landmark in free expression - Vasquez v. Court of Appeals - the Court ruled that truth was a complete defense in a libel case in which a public official or public figure was the offended party. The avante garde Court explained that “even if the defamatory statement is false, no liability can attach if it relates to official conduct, unless the public official concerned proves that the statement was made with actual malice - that is, with knowledge that it was false or not xxx.” In other words, conviction in libel suits filed by public officials may be obtained only by proving that the defamatory words were [1] false and [2] made with the knowledge of their falsity or with a reckless disregard for whether or not they were false. This landmark Decision reversed existing jurisprudence requiring the accused to prove the absence of malice in order to be entitled to an acquittal. </w:t>
      </w:r>
    </w:p>
    <w:p w:rsidR="00000000" w:rsidDel="00000000" w:rsidP="00000000" w:rsidRDefault="00000000" w:rsidRPr="00000000" w14:paraId="000001C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Citizenship</w:t>
      </w:r>
    </w:p>
    <w:p w:rsidR="00000000" w:rsidDel="00000000" w:rsidP="00000000" w:rsidRDefault="00000000" w:rsidRPr="00000000" w14:paraId="000001C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now discuss how the Court has resolved cyber problems in political law, starting with recent decisions on citizenship.</w:t>
      </w:r>
    </w:p>
    <w:p w:rsidR="00000000" w:rsidDel="00000000" w:rsidP="00000000" w:rsidRDefault="00000000" w:rsidRPr="00000000" w14:paraId="000001C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Fifty years ago, Philippine jurisprudence stressed that the doors to Philippine citizenship must open on "reluctant hinges." Recently, however, the information age has made the world one big global village. Thus, the rules on citizenship in most countries are slowly being relaxed, especially as they apply to election cases in which the popular will, as much as practicable, is upheld. Our country has followed this global relaxation of citizenship procedures. </w:t>
      </w:r>
    </w:p>
    <w:p w:rsidR="00000000" w:rsidDel="00000000" w:rsidP="00000000" w:rsidRDefault="00000000" w:rsidRPr="00000000" w14:paraId="000001C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Frivaldo v. Comelec</w:t>
      </w:r>
      <w:r w:rsidDel="00000000" w:rsidR="00000000" w:rsidRPr="00000000">
        <w:rPr>
          <w:rFonts w:ascii="Georgia" w:cs="Georgia" w:eastAsia="Georgia" w:hAnsi="Georgia"/>
          <w:rtl w:val="0"/>
        </w:rPr>
        <w:t xml:space="preserve">, our Supreme Court ruled that petitioner, declared to be a non-Filipino by two earlier decisions, had been validly repatriated when he took his oath of allegiance on June 30, 1995, pursuant to PD 725. Equally important, the Tribunal decreed that possession of Philippine citizenship was needed only upon the assumption of office of an elected official, not necessarily on the day of the election or at the time of the filing of the certificate of candidacy.</w:t>
      </w:r>
    </w:p>
    <w:p w:rsidR="00000000" w:rsidDel="00000000" w:rsidP="00000000" w:rsidRDefault="00000000" w:rsidRPr="00000000" w14:paraId="000001C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line with globalization, Congress approved Republic Act 8171, which has eased the requirements for the repatriation of Filipino women who have lost their citizenship by marriage to aliens, as well as of natural-born Filipinos - including their minor children - who have lost their citizenship on account of political or economic necessity. </w:t>
      </w:r>
    </w:p>
    <w:p w:rsidR="00000000" w:rsidDel="00000000" w:rsidP="00000000" w:rsidRDefault="00000000" w:rsidRPr="00000000" w14:paraId="000001C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 recently, </w:t>
      </w:r>
      <w:r w:rsidDel="00000000" w:rsidR="00000000" w:rsidRPr="00000000">
        <w:rPr>
          <w:rFonts w:ascii="Georgia" w:cs="Georgia" w:eastAsia="Georgia" w:hAnsi="Georgia"/>
          <w:i w:val="1"/>
          <w:iCs w:val="1"/>
          <w:rtl w:val="0"/>
        </w:rPr>
        <w:t xml:space="preserve">Mercado v. Comelec</w:t>
      </w:r>
      <w:r w:rsidDel="00000000" w:rsidR="00000000" w:rsidRPr="00000000">
        <w:rPr>
          <w:rFonts w:ascii="Georgia" w:cs="Georgia" w:eastAsia="Georgia" w:hAnsi="Georgia"/>
          <w:rtl w:val="0"/>
        </w:rPr>
        <w:t xml:space="preserve"> unanimously validated dual citizenship. It held that Filipinos would not lose their nationality by the mere fact that, without their application or intervention, the laws of another country consider them its own nationals. The Court differentiated dual allegiance, which is proscribed, from dual citizenship which is allowed. It explained that dual citizenship "arises when, as a result of the concurrent application of different laws of two or more states, a person is simultaneously considered a national by those states. For instance, such a situation may arise when a person whose parents are citizens of a state that adheres to the principle of </w:t>
      </w:r>
      <w:r w:rsidDel="00000000" w:rsidR="00000000" w:rsidRPr="00000000">
        <w:rPr>
          <w:rFonts w:ascii="Georgia" w:cs="Georgia" w:eastAsia="Georgia" w:hAnsi="Georgia"/>
          <w:i w:val="1"/>
          <w:iCs w:val="1"/>
          <w:rtl w:val="0"/>
        </w:rPr>
        <w:t xml:space="preserve">jus sanguinis</w:t>
      </w:r>
      <w:r w:rsidDel="00000000" w:rsidR="00000000" w:rsidRPr="00000000">
        <w:rPr>
          <w:rFonts w:ascii="Georgia" w:cs="Georgia" w:eastAsia="Georgia" w:hAnsi="Georgia"/>
          <w:rtl w:val="0"/>
        </w:rPr>
        <w:t xml:space="preserve"> was born in a state which follows the doctrine of jus soli. Such a person, </w:t>
      </w:r>
      <w:r w:rsidDel="00000000" w:rsidR="00000000" w:rsidRPr="00000000">
        <w:rPr>
          <w:rFonts w:ascii="Georgia" w:cs="Georgia" w:eastAsia="Georgia" w:hAnsi="Georgia"/>
          <w:i w:val="1"/>
          <w:iCs w:val="1"/>
          <w:rtl w:val="0"/>
        </w:rPr>
        <w:t xml:space="preserve">ipso facto</w:t>
      </w:r>
      <w:r w:rsidDel="00000000" w:rsidR="00000000" w:rsidRPr="00000000">
        <w:rPr>
          <w:rFonts w:ascii="Georgia" w:cs="Georgia" w:eastAsia="Georgia" w:hAnsi="Georgia"/>
          <w:rtl w:val="0"/>
        </w:rPr>
        <w:t xml:space="preserve"> and without any voluntary act on his part, is concurrently considered a citizen of both states."</w:t>
      </w:r>
    </w:p>
    <w:p w:rsidR="00000000" w:rsidDel="00000000" w:rsidP="00000000" w:rsidRDefault="00000000" w:rsidRPr="00000000" w14:paraId="000001D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balance, the question really boils down to a choice of philosophy and perception of how to interpret and apply laws relating to elections: li or liberal, the letter or the spirit, the naked provision or its ultimate purpose, legal syllogism or substantial justice, in isolation or in the context of s conditions, harshly against or gently in favor of the voters' obvious choi In applying election laws, it would be far better to err in favor of popular sovereignty than to be right in complex but little understood legalisms. Indeed, to inflict a thrice rejected candidate upon the electorate of Sorsogon would constitute unmitigated judicial tyranny and an unacceptable assault upon this Court's conscience ."</w:t>
      </w:r>
    </w:p>
    <w:p w:rsidR="00000000" w:rsidDel="00000000" w:rsidP="00000000" w:rsidRDefault="00000000" w:rsidRPr="00000000" w14:paraId="000001D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Extradition:</w:t>
      </w:r>
    </w:p>
    <w:p w:rsidR="00000000" w:rsidDel="00000000" w:rsidP="00000000" w:rsidRDefault="00000000" w:rsidRPr="00000000" w14:paraId="000001D2">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Global Cooperation in </w:t>
      </w:r>
    </w:p>
    <w:p w:rsidR="00000000" w:rsidDel="00000000" w:rsidP="00000000" w:rsidRDefault="00000000" w:rsidRPr="00000000" w14:paraId="000001D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Criminal Law Enforcement</w:t>
      </w:r>
    </w:p>
    <w:p w:rsidR="00000000" w:rsidDel="00000000" w:rsidP="00000000" w:rsidRDefault="00000000" w:rsidRPr="00000000" w14:paraId="000001D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matter that has long gripped the attention of the world legal community is cooperation in criminal law enforcement. Recently, there has been a surge of interest in this field, and judicial cooperation has been invoked in pursuing the extradition of fugitives who escape the jurisdiction of one state and hide in another. Due to the principles of territoriality and state sovereignty, an order of arrest issued by a foreign court cannot automatically be enforced in the forum, absent a treaty authorizing it. </w:t>
      </w:r>
    </w:p>
    <w:p w:rsidR="00000000" w:rsidDel="00000000" w:rsidP="00000000" w:rsidRDefault="00000000" w:rsidRPr="00000000" w14:paraId="000001D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Philippines, the subject of extradition captured national attention when the United States government, citing the US-Philippine Extradition Treaty, sought the return of Mark Jimenez to its custody. He is a Filipino congressman, for whom an order of arrest was issued by the United States District Court for the Southern District of Florida. The arrest order was occasioned by indictments for conspiracy to defraud the United States, tax evasion, wire fraud, false statements and illegal campaign contributions.</w:t>
      </w:r>
    </w:p>
    <w:p w:rsidR="00000000" w:rsidDel="00000000" w:rsidP="00000000" w:rsidRDefault="00000000" w:rsidRPr="00000000" w14:paraId="000001D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Specifically, the question raised was whether Congressman Jimenez, as a prospective "extraditee," was entitled to bail while the extradition proceedings in the Philippines were pending. In </w:t>
      </w:r>
      <w:r w:rsidDel="00000000" w:rsidR="00000000" w:rsidRPr="00000000">
        <w:rPr>
          <w:rFonts w:ascii="Georgia" w:cs="Georgia" w:eastAsia="Georgia" w:hAnsi="Georgia"/>
          <w:i w:val="1"/>
          <w:iCs w:val="1"/>
          <w:rtl w:val="0"/>
        </w:rPr>
        <w:t xml:space="preserve">Government of the United States v. Purganan</w:t>
      </w:r>
      <w:r w:rsidDel="00000000" w:rsidR="00000000" w:rsidRPr="00000000">
        <w:rPr>
          <w:rFonts w:ascii="Georgia" w:cs="Georgia" w:eastAsia="Georgia" w:hAnsi="Georgia"/>
          <w:rtl w:val="0"/>
        </w:rPr>
        <w:t xml:space="preserve">, the Supreme Court answered that, in general, persons sought to be extradited were not entitled to bail and provisional liberty because of the flight risk involved. Having had a track record of avoiding the judicial processes of the requesting state, the prima facie presumption was that they would escape again if granted bail.</w:t>
      </w:r>
    </w:p>
    <w:p w:rsidR="00000000" w:rsidDel="00000000" w:rsidP="00000000" w:rsidRDefault="00000000" w:rsidRPr="00000000" w14:paraId="000001D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the offenses for which Jimenez was sought to be extradited were bailable in the United States was not deemed to be an argument to grant him bail while the extradition proceedings in the Philippines were pending. He should apply for provisional liberty before the US court trying the extradition court.</w:t>
      </w:r>
    </w:p>
    <w:p w:rsidR="00000000" w:rsidDel="00000000" w:rsidP="00000000" w:rsidRDefault="00000000" w:rsidRPr="00000000" w14:paraId="000001D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Jimenez was a congressman whose arrest would allegedly disenfranchise his constituency and deprive it of representation in Congress was also debunked by the Court on the ground of equal constitutional protection for all regardless of position in government or station in life.</w:t>
      </w:r>
    </w:p>
    <w:p w:rsidR="00000000" w:rsidDel="00000000" w:rsidP="00000000" w:rsidRDefault="00000000" w:rsidRPr="00000000" w14:paraId="000001D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Apart from the specific issue of entitlement to bail, this case is significant because it also laid down hallmarks of international judicial cooperation — the so-called "five postulates of extradition" as follows:</w:t>
      </w:r>
    </w:p>
    <w:p w:rsidR="00000000" w:rsidDel="00000000" w:rsidP="00000000" w:rsidRDefault="00000000" w:rsidRPr="00000000" w14:paraId="000001D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Extradition is a by-product of the "era of globalization," because states need "to cooperate with each other to improve [their] chances of suppressing crime." </w:t>
      </w:r>
    </w:p>
    <w:p w:rsidR="00000000" w:rsidDel="00000000" w:rsidP="00000000" w:rsidRDefault="00000000" w:rsidRPr="00000000" w14:paraId="000001D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An extradition treaty presupposes that "both parties thereto have examined, and both accept and trust, each other's legal system and judicial process." A state's capacity and willingness of the other state to protect the b rights of the person sought to be extradited." </w:t>
      </w:r>
    </w:p>
    <w:p w:rsidR="00000000" w:rsidDel="00000000" w:rsidP="00000000" w:rsidRDefault="00000000" w:rsidRPr="00000000" w14:paraId="000001D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Extradition proceedings are not criminal in nature thus, the constitutional rights of the accused are not applicable. "Extradition is merely a measure of international judicial assistance through which a person charged with or convicted of a crime is restored to a jurisdiction with the best claim to try that person."</w:t>
      </w:r>
    </w:p>
    <w:p w:rsidR="00000000" w:rsidDel="00000000" w:rsidP="00000000" w:rsidRDefault="00000000" w:rsidRPr="00000000" w14:paraId="000001D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Fulfilling obligations under an extradition treaty promotes comity. Thus, the principle of pacta sunt servanda binds the contracting parties. </w:t>
      </w:r>
    </w:p>
    <w:p w:rsidR="00000000" w:rsidDel="00000000" w:rsidP="00000000" w:rsidRDefault="00000000" w:rsidRPr="00000000" w14:paraId="000001D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Persons sought to be extradited are presumed to be flight risks. Having fled once, what is there to stop them, given the opportunity, from fleeing a second time?</w:t>
      </w:r>
    </w:p>
    <w:p w:rsidR="00000000" w:rsidDel="00000000" w:rsidP="00000000" w:rsidRDefault="00000000" w:rsidRPr="00000000" w14:paraId="000001D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 related case, </w:t>
      </w:r>
      <w:r w:rsidDel="00000000" w:rsidR="00000000" w:rsidRPr="00000000">
        <w:rPr>
          <w:rFonts w:ascii="Georgia" w:cs="Georgia" w:eastAsia="Georgia" w:hAnsi="Georgia"/>
          <w:i w:val="1"/>
          <w:iCs w:val="1"/>
          <w:rtl w:val="0"/>
        </w:rPr>
        <w:t xml:space="preserve">Cuevas v. Muñoz</w:t>
      </w:r>
      <w:r w:rsidDel="00000000" w:rsidR="00000000" w:rsidRPr="00000000">
        <w:rPr>
          <w:rFonts w:ascii="Georgia" w:cs="Georgia" w:eastAsia="Georgia" w:hAnsi="Georgia"/>
          <w:rtl w:val="0"/>
        </w:rPr>
        <w:t xml:space="preserve">, the Supreme Court ruled that a lower court judge had not erred in ordering the provisional arrest of the person sought to be extradited, on the basis of the Hongkong government's outstanding warrant that contained a summary of the facts of the case against respondent; as well as the documents required by the Extradition Treaty and appended to the application, his showing probable cause for the issuance of the warrant. </w:t>
      </w:r>
    </w:p>
    <w:p w:rsidR="00000000" w:rsidDel="00000000" w:rsidP="00000000" w:rsidRDefault="00000000" w:rsidRPr="00000000" w14:paraId="000001E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Internationalization of Labor: </w:t>
      </w:r>
    </w:p>
    <w:p w:rsidR="00000000" w:rsidDel="00000000" w:rsidP="00000000" w:rsidRDefault="00000000" w:rsidRPr="00000000" w14:paraId="000001E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Equal Pay for Equal Work</w:t>
      </w:r>
    </w:p>
    <w:p w:rsidR="00000000" w:rsidDel="00000000" w:rsidP="00000000" w:rsidRDefault="00000000" w:rsidRPr="00000000" w14:paraId="000001E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now discuss some other Decisions of our highest Court expressing adherence to globalization in labor relations.</w:t>
      </w:r>
    </w:p>
    <w:p w:rsidR="00000000" w:rsidDel="00000000" w:rsidP="00000000" w:rsidRDefault="00000000" w:rsidRPr="00000000" w14:paraId="000001E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International School v. Quisumbing</w:t>
      </w:r>
      <w:r w:rsidDel="00000000" w:rsidR="00000000" w:rsidRPr="00000000">
        <w:rPr>
          <w:rFonts w:ascii="Georgia" w:cs="Georgia" w:eastAsia="Georgia" w:hAnsi="Georgia"/>
          <w:rtl w:val="0"/>
        </w:rPr>
        <w:t xml:space="preserve">, the Court ruled that, by the doctrine of incorporation, the Philippines adopts the generally accepted principles of law that proscribe discrimination of any sort, as embodied in the Universal Declaration of Human Rights; the International Covenant on Economic, Social and Cultural Rights; the International Convention on the Elimination of All Forms of Racial Discrimination; the Convention Against Discrimination in Education; and the Convention (No. 111) Concerning Discrimination in Respect of Employment and Occupation. Thus, it required the employer to give equal pay to locally hired teachers who had performed work equal in value to that performed by foreign hires. In short, equal pay for equal work finds support not only in our own laws, but also in international covenants.</w:t>
      </w:r>
    </w:p>
    <w:p w:rsidR="00000000" w:rsidDel="00000000" w:rsidP="00000000" w:rsidRDefault="00000000" w:rsidRPr="00000000" w14:paraId="000001E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Bayan v. Zamora</w:t>
      </w:r>
      <w:r w:rsidDel="00000000" w:rsidR="00000000" w:rsidRPr="00000000">
        <w:rPr>
          <w:rFonts w:ascii="Georgia" w:cs="Georgia" w:eastAsia="Georgia" w:hAnsi="Georgia"/>
          <w:rtl w:val="0"/>
        </w:rPr>
        <w:t xml:space="preserve"> bravely opined that, "as a member of the family of nations, the Philippines agrees to be bound by generally accepted rules for the conduct of its international relations. x x x. Hence, we cannot readily invoke the Constitution as a convenient excuse for non-compliance with our duties and obligations under international law." </w:t>
      </w:r>
    </w:p>
    <w:p w:rsidR="00000000" w:rsidDel="00000000" w:rsidP="00000000" w:rsidRDefault="00000000" w:rsidRPr="00000000" w14:paraId="000001E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Protection of the </w:t>
      </w:r>
    </w:p>
    <w:p w:rsidR="00000000" w:rsidDel="00000000" w:rsidP="00000000" w:rsidRDefault="00000000" w:rsidRPr="00000000" w14:paraId="000001E6">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Environment </w:t>
      </w:r>
    </w:p>
    <w:p w:rsidR="00000000" w:rsidDel="00000000" w:rsidP="00000000" w:rsidRDefault="00000000" w:rsidRPr="00000000" w14:paraId="000001E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paradigm, one that would even qualify as an ideology of the new age, is the protection of the environment. As early as 1993, </w:t>
      </w:r>
      <w:r w:rsidDel="00000000" w:rsidR="00000000" w:rsidRPr="00000000">
        <w:rPr>
          <w:rFonts w:ascii="Georgia" w:cs="Georgia" w:eastAsia="Georgia" w:hAnsi="Georgia"/>
          <w:i w:val="1"/>
          <w:iCs w:val="1"/>
          <w:rtl w:val="0"/>
        </w:rPr>
        <w:t xml:space="preserve">Oposa v. Factoran</w:t>
      </w:r>
      <w:r w:rsidDel="00000000" w:rsidR="00000000" w:rsidRPr="00000000">
        <w:rPr>
          <w:rFonts w:ascii="Georgia" w:cs="Georgia" w:eastAsia="Georgia" w:hAnsi="Georgia"/>
          <w:rtl w:val="0"/>
        </w:rPr>
        <w:t xml:space="preserve"> stressed the constitutional right to a balanced and healthful ecology, which carried with it "the correlative duty to refrain from impairing the environment." Accordingly, timber licenses, not being property or property rights protected by the due process clause, may be revoked or rescinded by executive action. Similarly, in </w:t>
      </w:r>
      <w:r w:rsidDel="00000000" w:rsidR="00000000" w:rsidRPr="00000000">
        <w:rPr>
          <w:rFonts w:ascii="Georgia" w:cs="Georgia" w:eastAsia="Georgia" w:hAnsi="Georgia"/>
          <w:i w:val="1"/>
          <w:iCs w:val="1"/>
          <w:rtl w:val="0"/>
        </w:rPr>
        <w:t xml:space="preserve">Tano v. Socrates, </w:t>
      </w:r>
      <w:r w:rsidDel="00000000" w:rsidR="00000000" w:rsidRPr="00000000">
        <w:rPr>
          <w:rFonts w:ascii="Georgia" w:cs="Georgia" w:eastAsia="Georgia" w:hAnsi="Georgia"/>
          <w:rtl w:val="0"/>
        </w:rPr>
        <w:t xml:space="preserve">the Court upheld the City of Puerto Princesa and the Province of Palawan, which had issued Ordinances to protect the environment. It emphasized the duty of the State "to protect the nation's marine wealth" by upholding local measures "imposing appropriate penalties for acts which endanger the environment, such as dynamite fishing x x x.</w:t>
      </w:r>
    </w:p>
    <w:p w:rsidR="00000000" w:rsidDel="00000000" w:rsidP="00000000" w:rsidRDefault="00000000" w:rsidRPr="00000000" w14:paraId="000001E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Validation of </w:t>
      </w:r>
    </w:p>
    <w:p w:rsidR="00000000" w:rsidDel="00000000" w:rsidP="00000000" w:rsidRDefault="00000000" w:rsidRPr="00000000" w14:paraId="000001E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DNA Testing</w:t>
      </w:r>
    </w:p>
    <w:p w:rsidR="00000000" w:rsidDel="00000000" w:rsidP="00000000" w:rsidRDefault="00000000" w:rsidRPr="00000000" w14:paraId="000001E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Finally, let me bring your attention to a bio-age decision. In many countries, DNA has become a routine method of identification; for that purpose, it is considered to be more reliable than fingerprints. In </w:t>
      </w:r>
      <w:r w:rsidDel="00000000" w:rsidR="00000000" w:rsidRPr="00000000">
        <w:rPr>
          <w:rFonts w:ascii="Georgia" w:cs="Georgia" w:eastAsia="Georgia" w:hAnsi="Georgia"/>
          <w:i w:val="1"/>
          <w:iCs w:val="1"/>
          <w:rtl w:val="0"/>
        </w:rPr>
        <w:t xml:space="preserve">People v. Vallejo</w:t>
      </w:r>
      <w:r w:rsidDel="00000000" w:rsidR="00000000" w:rsidRPr="00000000">
        <w:rPr>
          <w:rFonts w:ascii="Georgia" w:cs="Georgia" w:eastAsia="Georgia" w:hAnsi="Georgia"/>
          <w:rtl w:val="0"/>
        </w:rPr>
        <w:t xml:space="preserve">, promulgated last year, our high court expressly acknowledged the scientific soundness of DNA. Said the Court for the first time:</w:t>
      </w:r>
    </w:p>
    <w:p w:rsidR="00000000" w:rsidDel="00000000" w:rsidP="00000000" w:rsidRDefault="00000000" w:rsidRPr="00000000" w14:paraId="000001E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"DNA is an organic substance found in a person's cells which contains his or her genetic code. Except for identical twins, each person's DNA profile is distinct and unique.</w:t>
      </w:r>
    </w:p>
    <w:p w:rsidR="00000000" w:rsidDel="00000000" w:rsidP="00000000" w:rsidRDefault="00000000" w:rsidRPr="00000000" w14:paraId="000001E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"When a crime is committed, material is collected from the scene of the crime or from the victim's body for the suspect's DNA. This is the evidence sample. The evidence sample is then matched with the reference sample taken from the suspect and the victim. </w:t>
      </w:r>
    </w:p>
    <w:p w:rsidR="00000000" w:rsidDel="00000000" w:rsidP="00000000" w:rsidRDefault="00000000" w:rsidRPr="00000000" w14:paraId="000001E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purpose of DNA testing is to ascertain whether an association exists between the evidence sample and the reference sample. The samples collected are subject to various chemical processes to establish their profile. The test may yield three possible results:</w:t>
      </w:r>
    </w:p>
    <w:p w:rsidR="00000000" w:rsidDel="00000000" w:rsidP="00000000" w:rsidRDefault="00000000" w:rsidRPr="00000000" w14:paraId="000001E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samples are different and therefore must have originated from different sources (exclusion). This conclusion is absolute and requires no further analysis or discussion; </w:t>
      </w:r>
    </w:p>
    <w:p w:rsidR="00000000" w:rsidDel="00000000" w:rsidP="00000000" w:rsidRDefault="00000000" w:rsidRPr="00000000" w14:paraId="000001E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It is not possible to be sure, based on the results of the test, whether the samples have similar DNA types (inconclusive). This might occur for a variety of reasons including degradation, contamination, or failure of some aspect of the protocol. Various parts of the analysis might then be repeated with the same or a different sample, to obtain a more conclusive result; or </w:t>
      </w:r>
    </w:p>
    <w:p w:rsidR="00000000" w:rsidDel="00000000" w:rsidP="00000000" w:rsidRDefault="00000000" w:rsidRPr="00000000" w14:paraId="000001F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samples are similar, and could have originated from the same source (inclusion). In such a case, the samples are found to be similar, [and] the analyst proceeds to determine the statistical significance of the similarity.</w:t>
      </w:r>
    </w:p>
    <w:p w:rsidR="00000000" w:rsidDel="00000000" w:rsidP="00000000" w:rsidRDefault="00000000" w:rsidRPr="00000000" w14:paraId="000001F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assessing the probative value of DNA evidence, therefore, courts should consider, among others things, the following data: how the samples were collected, how they were handled, the possibility of contamination of the samples, the procedure followed in analyzing the samples, whether the proper standards and procedures were followed in conducting the tests, and the qualification of the analyst who conducted the tests." </w:t>
      </w:r>
    </w:p>
    <w:p w:rsidR="00000000" w:rsidDel="00000000" w:rsidP="00000000" w:rsidRDefault="00000000" w:rsidRPr="00000000" w14:paraId="000001F2">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F3">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Epilogue</w:t>
      </w:r>
    </w:p>
    <w:p w:rsidR="00000000" w:rsidDel="00000000" w:rsidP="00000000" w:rsidRDefault="00000000" w:rsidRPr="00000000" w14:paraId="000001F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When the e-age was just dawning and the consequences of what we now call information technology were initially being analyzed, George Orwell authored a book entitled 1984. He predicted that the computer would presage a vast totalitarian empire, where a device called a telescreen would be put up in every home and public place. This huge two way TV network would centralize social life, and privacy would be abolished because computers would be used to monitor every word and every act of everyone. Thus, there was considerable anxiety that the computer would end human freedom and phase out liberal democracy as the prevailing governmental system in the globe.</w:t>
      </w:r>
    </w:p>
    <w:p w:rsidR="00000000" w:rsidDel="00000000" w:rsidP="00000000" w:rsidRDefault="00000000" w:rsidRPr="00000000" w14:paraId="000001F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Now, as the e-age matures, we are realizing that such dire predictions have not and would not happen. Instead of becoming an instrument of centralization and oppression, the personal computer, linked to the Internet and the ubiquitous cell phone, has led to just the opposite: the facilitation of more information to the people, resulting in their greater participation in governance. Instead of Big Brother watching everyone, people have in fact more effectively used the computer to demand more transparency in governance.</w:t>
      </w:r>
    </w:p>
    <w:p w:rsidR="00000000" w:rsidDel="00000000" w:rsidP="00000000" w:rsidRDefault="00000000" w:rsidRPr="00000000" w14:paraId="000001F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discussed earlier, the 21st century beaconed a new age - the bio-age. Again, many are uncertain about the future because of the many changes that biotechnology is bringing: the conception of children no longer in wombs but in vitro; surrogate motherhood; genetic engineering not only for the manufacture of spare human organs, but for the creation of made-to-order babies; and, eventually, the abolition of disease and social conflict, thereby guaranteeing life without depression or loneliness, a world where religion would become irrelevant, because wonder drugs would make everyone feel happy and contented; sex would always be good and available; and poverty would practically be abolished.</w:t>
      </w:r>
    </w:p>
    <w:p w:rsidR="00000000" w:rsidDel="00000000" w:rsidP="00000000" w:rsidRDefault="00000000" w:rsidRPr="00000000" w14:paraId="000001F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as Dr. Francis Fukuyama explains in his new book, </w:t>
      </w:r>
      <w:r w:rsidDel="00000000" w:rsidR="00000000" w:rsidRPr="00000000">
        <w:rPr>
          <w:rFonts w:ascii="Georgia" w:cs="Georgia" w:eastAsia="Georgia" w:hAnsi="Georgia"/>
          <w:i w:val="1"/>
          <w:iCs w:val="1"/>
          <w:rtl w:val="0"/>
        </w:rPr>
        <w:t xml:space="preserve">Our Posthuman Future</w:t>
      </w:r>
      <w:r w:rsidDel="00000000" w:rsidR="00000000" w:rsidRPr="00000000">
        <w:rPr>
          <w:rFonts w:ascii="Georgia" w:cs="Georgia" w:eastAsia="Georgia" w:hAnsi="Georgia"/>
          <w:rtl w:val="0"/>
        </w:rPr>
        <w:t xml:space="preserve">, biotechnology could make our grandchildren's lives longer, healthier and happier. But it could also make them cease to be human beings because they will "no longer struggle, aspire, love, feel pain, make difficult moral choices, have families, or do any of the things that we traditionally associate with being human. They [will] have the characteristics that give us human dignity.</w:t>
      </w:r>
    </w:p>
    <w:p w:rsidR="00000000" w:rsidDel="00000000" w:rsidP="00000000" w:rsidRDefault="00000000" w:rsidRPr="00000000" w14:paraId="000001F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face of all these, however, I am unfazed. Just as Orwell has been proven wrong in his 1984 prediction of the death of human freedom, I am confident that the human spirit will emerge triumphant, as humankind - the judiciary in particular - tackles the challenges posed by the bio-age. </w:t>
      </w:r>
    </w:p>
    <w:p w:rsidR="00000000" w:rsidDel="00000000" w:rsidP="00000000" w:rsidRDefault="00000000" w:rsidRPr="00000000" w14:paraId="000001F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 have mentioned earlier in my lecture, paradigms, perspectives and philosophies of the computer age have merged with traditional concepts of governance and judicial dispensation. This merging has happened - perhaps not in one seamless package but, just the same, in a manner that permits human rights, dignity and honor not merely to survive, but in fact to flourish. </w:t>
      </w:r>
    </w:p>
    <w:p w:rsidR="00000000" w:rsidDel="00000000" w:rsidP="00000000" w:rsidRDefault="00000000" w:rsidRPr="00000000" w14:paraId="000001F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add that aside from issuing decisions that rule on computer age paradigms, our Supreme Court is now in the process of finalizing a five-year (2003-2007) Information System Strategic Plan or ISSP for short. Under this program, our entire judiciary would be totally computerized to deliver more speedily what I term "quality" justice. Specifically, the ation of          Supreme Court, with the help of Sen. Aquilino Pimentel Jr., is in the process of setting up four pilot e-courts in the country.</w:t>
      </w:r>
    </w:p>
    <w:p w:rsidR="00000000" w:rsidDel="00000000" w:rsidP="00000000" w:rsidRDefault="00000000" w:rsidRPr="00000000" w14:paraId="000001F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And to prepare our judges for the dawning bio-age, the Philippine Judicial Academy is sponsoring next month (March 2003) a seminar on the judicial uses of DNA. In October, also this year, Philja - with the assistance of the Einstein Institute for Sciences, Health and the Courts (EINSHAC) of Washington, DC - will hold a more extensive national seminar on the wider reaches of biotechnology including genome mapping, stem cells, cloning and germ line engineering. </w:t>
      </w:r>
    </w:p>
    <w:p w:rsidR="00000000" w:rsidDel="00000000" w:rsidP="00000000" w:rsidRDefault="00000000" w:rsidRPr="00000000" w14:paraId="000001F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 end, let me finally articulate my hope that during the last one hour or so, I have demonstrated the capacity and the ability of the judiciaries of the world to keep pace with our economically, politically, technologically and scientifically shrinking world; and that judicial globalization has not stifled nationalism and individualism. It is my firm belief that the growing trend toward judicial globalization in my country has united us with the judiciaries of the rest of the world in our common aspirations to strengthen the rule of law and to uphold human dignity and human rights worldwide, without sacrificing our quest for national interest and our unique identity as a nation. </w:t>
      </w:r>
    </w:p>
    <w:p w:rsidR="00000000" w:rsidDel="00000000" w:rsidP="00000000" w:rsidRDefault="00000000" w:rsidRPr="00000000" w14:paraId="000001F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Thank you.</w:t>
      </w:r>
    </w:p>
    <w:p w:rsidR="00000000" w:rsidDel="00000000" w:rsidP="00000000" w:rsidRDefault="00000000" w:rsidRPr="00000000" w14:paraId="000001F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FF">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0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3</w:t>
      </w:r>
    </w:p>
    <w:p w:rsidR="00000000" w:rsidDel="00000000" w:rsidP="00000000" w:rsidRDefault="00000000" w:rsidRPr="00000000" w14:paraId="0000020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 Primer on the APJR</w:t>
      </w:r>
    </w:p>
    <w:p w:rsidR="00000000" w:rsidDel="00000000" w:rsidP="00000000" w:rsidRDefault="00000000" w:rsidRPr="00000000" w14:paraId="0000020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0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Action Program for Judicial Reform 2001-2006 (APJR) is the concrete response of the judiciary to the challenge of improving its quality of service and, accordingly, enhancing its image and status as an efficient, trustworthy and accountable dispenser of justice. Founded on Chief Justice Hilario G. Davide Jr.'s vision and mission as expressed in the "Davide Watch," the APJR seeks to build a strong foundation for the long-term development of the judiciary. </w:t>
      </w:r>
    </w:p>
    <w:p w:rsidR="00000000" w:rsidDel="00000000" w:rsidP="00000000" w:rsidRDefault="00000000" w:rsidRPr="00000000" w14:paraId="0000020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details of the program are found in a 156-page document entitled "Action Program for Judicial Reform 2001-2006." Updates on its reform components were recently incorporated as a supplement. In my book Reforming the Judiciary, I have written about the general framework of APJR. However, due to the length of the latter, I reprinted only its "Executive Summary," which I used as an introductory chapter in the book. In the present volume, I have decided to present a more detailed summary of policies and strategies, projects and accomplishments, and key targets of the AlJR. The following discussion is taken from pertinent documents prepared by the Program Management Office (PMO), the lead office that handles the APJR's day-to-day implementation. I will be intentionally following the presentation format that the PMO used.</w:t>
      </w:r>
    </w:p>
    <w:p w:rsidR="00000000" w:rsidDel="00000000" w:rsidP="00000000" w:rsidRDefault="00000000" w:rsidRPr="00000000" w14:paraId="00000205">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06">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Vision and Mission</w:t>
      </w:r>
    </w:p>
    <w:p w:rsidR="00000000" w:rsidDel="00000000" w:rsidP="00000000" w:rsidRDefault="00000000" w:rsidRPr="00000000" w14:paraId="0000020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mentioned earlier, the APJR operates for the attainment of the judiciary's vision and mission as advocated by Chief Justice Hilario G. Davide Jr. in the "Davide Watch," according to which the judiciary is committed to the following vision and mission: </w:t>
      </w:r>
    </w:p>
    <w:p w:rsidR="00000000" w:rsidDel="00000000" w:rsidP="00000000" w:rsidRDefault="00000000" w:rsidRPr="00000000" w14:paraId="0000020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"VISION </w:t>
      </w:r>
    </w:p>
    <w:p w:rsidR="00000000" w:rsidDel="00000000" w:rsidP="00000000" w:rsidRDefault="00000000" w:rsidRPr="00000000" w14:paraId="0000020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judiciary that is independent, effective and efficient, and worthy of public trust and confidence; and a legal profession that provides quality, ethical, accessible and cost-effective legal service to our people and is willing and able to answer the call to public service. </w:t>
      </w:r>
    </w:p>
    <w:p w:rsidR="00000000" w:rsidDel="00000000" w:rsidP="00000000" w:rsidRDefault="00000000" w:rsidRPr="00000000" w14:paraId="0000020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"MISSION </w:t>
      </w:r>
    </w:p>
    <w:p w:rsidR="00000000" w:rsidDel="00000000" w:rsidP="00000000" w:rsidRDefault="00000000" w:rsidRPr="00000000" w14:paraId="0000020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pursuing the stated vision, the Davide Watch articulates the following goals: (1) delivery</w:t>
      </w:r>
    </w:p>
    <w:p w:rsidR="00000000" w:rsidDel="00000000" w:rsidP="00000000" w:rsidRDefault="00000000" w:rsidRPr="00000000" w14:paraId="0000020C">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of speedy and fair dispensation of justice to all; (2) judicial autonomy and independence from political interference; (3) improved access to judicial and legal services; (4) improved quality of external inputs to the judicial process; (5) efficient, effective and continuously improving judicial institutions; and (6) a judiciary that conducts its business with dignity, integrity, accountability and transparency."</w:t>
      </w:r>
    </w:p>
    <w:p w:rsidR="00000000" w:rsidDel="00000000" w:rsidP="00000000" w:rsidRDefault="00000000" w:rsidRPr="00000000" w14:paraId="0000020D">
      <w:pPr>
        <w:spacing w:after="80" w:before="80" w:lineRule="auto"/>
        <w:ind w:left="0" w:firstLine="0"/>
        <w:jc w:val="both"/>
        <w:rPr>
          <w:rFonts w:ascii="Georgia" w:cs="Georgia" w:eastAsia="Georgia" w:hAnsi="Georgia"/>
          <w:b w:val="1"/>
          <w:bCs w:val="1"/>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    Reform Challenges and Issues Facing the APJR</w:t>
      </w:r>
    </w:p>
    <w:p w:rsidR="00000000" w:rsidDel="00000000" w:rsidP="00000000" w:rsidRDefault="00000000" w:rsidRPr="00000000" w14:paraId="0000020E">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Designing a reform program for the judiciary necessarily entailed the evaluation of present conditions affecting its delivery of services. Exhaustive consultations with various stakeholders across the country were conducted in order to identify the issues confronting the judiciary and the needs of all those involved in its administration.</w:t>
      </w:r>
    </w:p>
    <w:p w:rsidR="00000000" w:rsidDel="00000000" w:rsidP="00000000" w:rsidRDefault="00000000" w:rsidRPr="00000000" w14:paraId="0000020F">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Nine Critical Issues </w:t>
      </w:r>
    </w:p>
    <w:p w:rsidR="00000000" w:rsidDel="00000000" w:rsidP="00000000" w:rsidRDefault="00000000" w:rsidRPr="00000000" w14:paraId="0000021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Addressed by APJR </w:t>
      </w:r>
    </w:p>
    <w:p w:rsidR="00000000" w:rsidDel="00000000" w:rsidP="00000000" w:rsidRDefault="00000000" w:rsidRPr="00000000" w14:paraId="0000021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result of various consultations revealed nine critical issues, which are now being addressed by the APJR. </w:t>
      </w:r>
    </w:p>
    <w:p w:rsidR="00000000" w:rsidDel="00000000" w:rsidP="00000000" w:rsidRDefault="00000000" w:rsidRPr="00000000" w14:paraId="0000021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First,</w:t>
      </w:r>
      <w:r w:rsidDel="00000000" w:rsidR="00000000" w:rsidRPr="00000000">
        <w:rPr>
          <w:rFonts w:ascii="Georgia" w:cs="Georgia" w:eastAsia="Georgia" w:hAnsi="Georgia"/>
          <w:rtl w:val="0"/>
        </w:rPr>
        <w:t xml:space="preserve"> there is case congestion and delay in the resolution of cases filed. This problem is the most prevalent concern faced by our magistrates. For instance, statistics show that in 2002, there were only 67 metropolitan trial court judges working on 179,449 cases. And while the average output per judge was 871, a total of 121,0834 cases were still pending at the end of the year. </w:t>
      </w:r>
    </w:p>
    <w:p w:rsidR="00000000" w:rsidDel="00000000" w:rsidP="00000000" w:rsidRDefault="00000000" w:rsidRPr="00000000" w14:paraId="0000021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problem may have resulted from a number of reasons like the increase in the cases filed, inadequacies of judges and trial lawyers, deficient case management systems, loopholes in the law, and procedural rules that invite delay.</w:t>
      </w:r>
    </w:p>
    <w:p w:rsidR="00000000" w:rsidDel="00000000" w:rsidP="00000000" w:rsidRDefault="00000000" w:rsidRPr="00000000" w14:paraId="0000021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Second,</w:t>
      </w:r>
      <w:r w:rsidDel="00000000" w:rsidR="00000000" w:rsidRPr="00000000">
        <w:rPr>
          <w:rFonts w:ascii="Georgia" w:cs="Georgia" w:eastAsia="Georgia" w:hAnsi="Georgia"/>
          <w:rtl w:val="0"/>
        </w:rPr>
        <w:t xml:space="preserve"> there is budget deficiency. In the past three years, the share of the judiciary in the national budget has declined from 1.13 percent in 1999 and 1.20 percent in 1998 to 1.07 percent in 2000. As the bulk of its budget is devoted to expenditures for personnel services, there is thus little flexibility in satisfying the needs for maintenance and other operating expenses and outlays.</w:t>
      </w:r>
    </w:p>
    <w:p w:rsidR="00000000" w:rsidDel="00000000" w:rsidP="00000000" w:rsidRDefault="00000000" w:rsidRPr="00000000" w14:paraId="0000021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Third,</w:t>
      </w:r>
      <w:r w:rsidDel="00000000" w:rsidR="00000000" w:rsidRPr="00000000">
        <w:rPr>
          <w:rFonts w:ascii="Georgia" w:cs="Georgia" w:eastAsia="Georgia" w:hAnsi="Georgia"/>
          <w:rtl w:val="0"/>
        </w:rPr>
        <w:t xml:space="preserve"> there is a need to improve the appointment process for justices and judges and to further insulate it from political influence. A more transparent system is likely to result in the recruitment and promotion of the more qualified and capable ones.                                                  </w:t>
      </w:r>
    </w:p>
    <w:p w:rsidR="00000000" w:rsidDel="00000000" w:rsidP="00000000" w:rsidRDefault="00000000" w:rsidRPr="00000000" w14:paraId="0000021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Fourth,</w:t>
      </w:r>
      <w:r w:rsidDel="00000000" w:rsidR="00000000" w:rsidRPr="00000000">
        <w:rPr>
          <w:rFonts w:ascii="Georgia" w:cs="Georgia" w:eastAsia="Georgia" w:hAnsi="Georgia"/>
          <w:rtl w:val="0"/>
        </w:rPr>
        <w:t xml:space="preserve"> there is a need to strengthen judicial autonomy as mandated by the Constitution. In practice, however, the executive and the legislative branches assume administrative and fiscal powers over the judiciary, thus making it vulnerable to political interference.</w:t>
      </w:r>
    </w:p>
    <w:p w:rsidR="00000000" w:rsidDel="00000000" w:rsidP="00000000" w:rsidRDefault="00000000" w:rsidRPr="00000000" w14:paraId="0000021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Fifth, </w:t>
      </w:r>
      <w:r w:rsidDel="00000000" w:rsidR="00000000" w:rsidRPr="00000000">
        <w:rPr>
          <w:rFonts w:ascii="Georgia" w:cs="Georgia" w:eastAsia="Georgia" w:hAnsi="Georgia"/>
          <w:rtl w:val="0"/>
        </w:rPr>
        <w:t xml:space="preserve">there is a need for re-engineering the human resources development system to support continuing capacity improvement of human resources that are involved in the provision of legal and judicial services. Among the concerns that must be addressed are the uneven quality of         legal education institutions, uncompetitive judicial remuneration, hierarchical and inflexible staffing structure, deficient career pathing, and continuing training and capacity building for nonjudicial employees.</w:t>
      </w:r>
    </w:p>
    <w:p w:rsidR="00000000" w:rsidDel="00000000" w:rsidP="00000000" w:rsidRDefault="00000000" w:rsidRPr="00000000" w14:paraId="0000021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Sixth,</w:t>
      </w:r>
      <w:r w:rsidDel="00000000" w:rsidR="00000000" w:rsidRPr="00000000">
        <w:rPr>
          <w:rFonts w:ascii="Georgia" w:cs="Georgia" w:eastAsia="Georgia" w:hAnsi="Georgia"/>
          <w:rtl w:val="0"/>
        </w:rPr>
        <w:t xml:space="preserve"> the dysfunctional administrative structure and operating systems and inadequate court technologies gravely affect the efficiency and the accountability of the judiciary. There is a need to update these structures and systems in order to respond to the demands of                      decentralization and modernization.   </w:t>
      </w:r>
    </w:p>
    <w:p w:rsidR="00000000" w:rsidDel="00000000" w:rsidP="00000000" w:rsidRDefault="00000000" w:rsidRPr="00000000" w14:paraId="0000021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Seventh, </w:t>
      </w:r>
      <w:r w:rsidDel="00000000" w:rsidR="00000000" w:rsidRPr="00000000">
        <w:rPr>
          <w:rFonts w:ascii="Georgia" w:cs="Georgia" w:eastAsia="Georgia" w:hAnsi="Georgia"/>
          <w:rtl w:val="0"/>
        </w:rPr>
        <w:t xml:space="preserve">public information and collaboration with civil society must be improved and strengthened in order to facilitate people empowerment.</w:t>
      </w:r>
    </w:p>
    <w:p w:rsidR="00000000" w:rsidDel="00000000" w:rsidP="00000000" w:rsidRDefault="00000000" w:rsidRPr="00000000" w14:paraId="0000021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Eighth, </w:t>
      </w:r>
      <w:r w:rsidDel="00000000" w:rsidR="00000000" w:rsidRPr="00000000">
        <w:rPr>
          <w:rFonts w:ascii="Georgia" w:cs="Georgia" w:eastAsia="Georgia" w:hAnsi="Georgia"/>
          <w:rtl w:val="0"/>
        </w:rPr>
        <w:t xml:space="preserve">the growing perception of corruption in the judiciary must be eliminated by addressing such issues, not only within its ranks but also in other government agencies, through court cases filed against public servants. </w:t>
      </w:r>
    </w:p>
    <w:p w:rsidR="00000000" w:rsidDel="00000000" w:rsidP="00000000" w:rsidRDefault="00000000" w:rsidRPr="00000000" w14:paraId="0000021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Finally, there is a need to improve the poor's access to quality judicial services.</w:t>
      </w:r>
    </w:p>
    <w:p w:rsidR="00000000" w:rsidDel="00000000" w:rsidP="00000000" w:rsidRDefault="00000000" w:rsidRPr="00000000" w14:paraId="0000021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1D">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Reform Program Components of the APJR</w:t>
      </w:r>
    </w:p>
    <w:p w:rsidR="00000000" w:rsidDel="00000000" w:rsidP="00000000" w:rsidRDefault="00000000" w:rsidRPr="00000000" w14:paraId="0000021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APJR recognizes that the issues faced by the judiciary are caused by factors that overlap. Thus, reform efforts are directed not only at a particular issue in isolation of other issues, but as a comprehensive set of solutions that simultaneously and holistically address the concerns.</w:t>
      </w:r>
    </w:p>
    <w:p w:rsidR="00000000" w:rsidDel="00000000" w:rsidP="00000000" w:rsidRDefault="00000000" w:rsidRPr="00000000" w14:paraId="0000021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this end, the APJR responds through its six-point program of sectoral reforms: [1] judicial systems and procedures, [2] institutions development, [3] human resources development, [4] reform support systems, [5] institutional integrity development and [6] the poor's access to justice.</w:t>
      </w:r>
    </w:p>
    <w:p w:rsidR="00000000" w:rsidDel="00000000" w:rsidP="00000000" w:rsidRDefault="00000000" w:rsidRPr="00000000" w14:paraId="00000220">
      <w:pPr>
        <w:spacing w:after="80" w:before="80" w:lineRule="auto"/>
        <w:ind w:firstLine="360"/>
        <w:jc w:val="both"/>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22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Judicial Systems and Procedures</w:t>
      </w:r>
    </w:p>
    <w:p w:rsidR="00000000" w:rsidDel="00000000" w:rsidP="00000000" w:rsidRDefault="00000000" w:rsidRPr="00000000" w14:paraId="0000022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Judges have high productivity outputs, considering their volume of work. Despite their efforts, however, they are still saddled with a high number of pending cases. This problem is caused by a number of reasons that include the enactment of different laws redefining the jurisdiction of courts, the variety in the rules of procedure, the increasing number of cases being filed, and the inadequate capability of lawyers and jurists. These factors lead to delay in the delivery of justice, which in turn breeds graft and corruption. And an environment of graft and corruption destroys the people's trust and confidence in the judiciary. </w:t>
      </w:r>
    </w:p>
    <w:p w:rsidR="00000000" w:rsidDel="00000000" w:rsidP="00000000" w:rsidRDefault="00000000" w:rsidRPr="00000000" w14:paraId="0000022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order to address this concern, the APJR aims to improve court management systems, procedural rules, jurisdictional structures of courts, and alternative dispute settlements.</w:t>
      </w:r>
    </w:p>
    <w:p w:rsidR="00000000" w:rsidDel="00000000" w:rsidP="00000000" w:rsidRDefault="00000000" w:rsidRPr="00000000" w14:paraId="0000022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milestone pilot project dealing with this problem of delay is the implementation of Case Flow Management (CFM) in the Pasay City trial courts. CFM is the court's supervision of the management of time and case events or of stages in the movement of a case through the court system, from the filing to the disposition of the case. This project aims to provide a systematic tracking system that enables the efficient monitoring of the status of each case. The implementation of CFM began on July 1, 2003 for all cases filed on the same day and onward.</w:t>
      </w:r>
    </w:p>
    <w:p w:rsidR="00000000" w:rsidDel="00000000" w:rsidP="00000000" w:rsidRDefault="00000000" w:rsidRPr="00000000" w14:paraId="0000022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Projects introducing technology intended to modernize the court systems are also underway. The system design for electronic courts was completed in 2001 and will be piloted in five local government units in Metro Manila and Cebu. In line with this project, the installation of new transcription and recording technology is ongoing. </w:t>
      </w:r>
    </w:p>
    <w:p w:rsidR="00000000" w:rsidDel="00000000" w:rsidP="00000000" w:rsidRDefault="00000000" w:rsidRPr="00000000" w14:paraId="0000022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APJR is also committed to conduct a comprehensive review of the Rules of Court. Of particular concern is the integration of the rules and procedures in the law on e-commerce (RA No. 8792 or the Electronic Commerce Act of 2000). </w:t>
      </w:r>
    </w:p>
    <w:p w:rsidR="00000000" w:rsidDel="00000000" w:rsidP="00000000" w:rsidRDefault="00000000" w:rsidRPr="00000000" w14:paraId="0000022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major aspect of this component is the strengthening of Alternative Dispute Resolution (ADR) mechanisms. These mechanisms refer to several formal and informal processes for the settlement of conflicts, outside of or on the periphery of institutional judicial processes such as arbitration, mediation and conciliation. The promotion of ADR to all the stakeholders is being done through various education and training activities nationwide.</w:t>
      </w:r>
    </w:p>
    <w:p w:rsidR="00000000" w:rsidDel="00000000" w:rsidP="00000000" w:rsidRDefault="00000000" w:rsidRPr="00000000" w14:paraId="0000022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Institutions Development</w:t>
      </w:r>
    </w:p>
    <w:p w:rsidR="00000000" w:rsidDel="00000000" w:rsidP="00000000" w:rsidRDefault="00000000" w:rsidRPr="00000000" w14:paraId="0000022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institution development component of the APJR is independent of the other branches of government. The judiciary seeks to attain full autonomy while respecting the existing powers and jurisdictions of the executive and the legislative branches. </w:t>
      </w:r>
    </w:p>
    <w:p w:rsidR="00000000" w:rsidDel="00000000" w:rsidP="00000000" w:rsidRDefault="00000000" w:rsidRPr="00000000" w14:paraId="0000022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an initial step, the full fiscal autonomy of the judiciary, as provided for in the Constitution, is being advocated by the APJR." The current financial management system being adopted in approving the budget of the judiciary limits its freedom to reprioritize and allocate that budget according to its needs. For instance, its annual budget, like the budgets of the other government agencies, undergoes the same revisions by the Department of Budget and Management (DBM). Congress, on the other hand, adopts the revised budget approved by the DBM. The result is a reduced and reconfigured budget that leaves very little room for the judiciary to program its resources.</w:t>
      </w:r>
    </w:p>
    <w:p w:rsidR="00000000" w:rsidDel="00000000" w:rsidP="00000000" w:rsidRDefault="00000000" w:rsidRPr="00000000" w14:paraId="0000022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Moreover, certain matters relating to the internal operations of the judiciary are subject to the DBM's evaluation and approval. These involve modifications in its staffing pattern, position classification and description system, salary grades and rates of positions and tion the incumbents thereof, and the manner in which it may use its income. </w:t>
      </w:r>
    </w:p>
    <w:p w:rsidR="00000000" w:rsidDel="00000000" w:rsidP="00000000" w:rsidRDefault="00000000" w:rsidRPr="00000000" w14:paraId="0000022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these circumstances, the lack or absence of judicial autonomy creates a system that is inherently vulnerable to political pressure. Thus, the APJR responds by aiming to improve the organizational capacities and internal management operations of the judiciary. This move will require major shifts in its approaches to planning, budgeting and performance management systems and better internal control and accountability mechanisms. </w:t>
      </w:r>
    </w:p>
    <w:p w:rsidR="00000000" w:rsidDel="00000000" w:rsidP="00000000" w:rsidRDefault="00000000" w:rsidRPr="00000000" w14:paraId="0000022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study of the proposed improved systems procedures had already been completed. A "Detailed Design Report," which had resulted from various consultations and roundtable discussions, was presented to key officials of the Supreme Court, the Court of Appeals, the Sandiganbayan, the Court of Tax Appeals and the Philippine Judicial Academy. The Report is currently being revised, taking into issues raised and the recommendations made during the presentation. Once completed, the Report Final will be endorsed to the Supreme Court en banc for approval. </w:t>
      </w:r>
    </w:p>
    <w:p w:rsidR="00000000" w:rsidDel="00000000" w:rsidP="00000000" w:rsidRDefault="00000000" w:rsidRPr="00000000" w14:paraId="0000022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Also, an information system using the latest technology will be enhanced in order to achieve the desired operational efficiency and organizational effectiveness. Projects include the automation of case management systems, judicial libraries and judicial archives; and their integration into an enterprise-wide network, with the Office of the Court Administrator as operator of oversight management applications.</w:t>
      </w:r>
    </w:p>
    <w:p w:rsidR="00000000" w:rsidDel="00000000" w:rsidP="00000000" w:rsidRDefault="00000000" w:rsidRPr="00000000" w14:paraId="0000022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element of the institutional development reforms is the judicial infrastructure program. It focuses on the creation of an integrated master plan for the construction of new halls of justice and the maintenance of existing ones. The Committee on Halls of Justice (CHOJ) takes the lead in implementing this program. Directly under the supervision of the Chief Justice, it is a committee tasked to ensure tha basic utility services are adequately delivered to the halls of justice.</w:t>
      </w:r>
    </w:p>
    <w:p w:rsidR="00000000" w:rsidDel="00000000" w:rsidP="00000000" w:rsidRDefault="00000000" w:rsidRPr="00000000" w14:paraId="0000023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Human Resource Development</w:t>
      </w:r>
    </w:p>
    <w:p w:rsidR="00000000" w:rsidDel="00000000" w:rsidP="00000000" w:rsidRDefault="00000000" w:rsidRPr="00000000" w14:paraId="0000023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success of the reform efforts of the judiciary depends largely on the people who will implement them. Thus, human resource development (HRD) has been made an integral component of the APJR.</w:t>
      </w:r>
    </w:p>
    <w:p w:rsidR="00000000" w:rsidDel="00000000" w:rsidP="00000000" w:rsidRDefault="00000000" w:rsidRPr="00000000" w14:paraId="0000023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HRD aims at improving and strengthening the capacities of those who are responsible for performing the various component operations of the judiciary. They include justices, judges, internal personnel of the judiciary, and those in the law profession. HRD also involves the cooperation of institutions like personnel management units and appointing authorities in the judiciary, the Philippine Judicial Academy (Philja), the Judicial and Bar Council (JBC), formal legal institutions, and the continuing legal education service providers. </w:t>
      </w:r>
    </w:p>
    <w:p w:rsidR="00000000" w:rsidDel="00000000" w:rsidP="00000000" w:rsidRDefault="00000000" w:rsidRPr="00000000" w14:paraId="0000023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HRD reforms will focus on judicial education, capacity building and training of nonjudicial personnel, judicial appointments, career development, and position classification and remuneration.</w:t>
      </w:r>
    </w:p>
    <w:p w:rsidR="00000000" w:rsidDel="00000000" w:rsidP="00000000" w:rsidRDefault="00000000" w:rsidRPr="00000000" w14:paraId="0000023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3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b w:val="1"/>
          <w:bCs w:val="1"/>
          <w:rtl w:val="0"/>
        </w:rPr>
        <w:t xml:space="preserve">1.     Judicial Education   </w:t>
      </w:r>
      <w:r w:rsidDel="00000000" w:rsidR="00000000" w:rsidRPr="00000000">
        <w:rPr>
          <w:rFonts w:ascii="Georgia" w:cs="Georgia" w:eastAsia="Georgia" w:hAnsi="Georgia"/>
          <w:rtl w:val="0"/>
        </w:rPr>
        <w:t xml:space="preserve">       </w:t>
      </w:r>
    </w:p>
    <w:p w:rsidR="00000000" w:rsidDel="00000000" w:rsidP="00000000" w:rsidRDefault="00000000" w:rsidRPr="00000000" w14:paraId="0000023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institution responsible for programming judicial education is the Philippine Judicial Academy or Philja. It was first organized in 1996 and later granted legislative charter in 1998. It has been tasked with providing a systematically planned and structured regimen of courses to judicial officers as well as to candidates for judicial office.</w:t>
      </w:r>
    </w:p>
    <w:p w:rsidR="00000000" w:rsidDel="00000000" w:rsidP="00000000" w:rsidRDefault="00000000" w:rsidRPr="00000000" w14:paraId="0000023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APJR is committed to enhance the institutional capacity of Philja. As a first step, the latter has already completed an assessment of the environment or conditions of directions for change. Reform efforts will be directed at improving the profile of Philja's educators, changing the method of instruction from law-school type to adult professional instruction, regionalizing training programs,  and improving the curricula to respond to current trends and emerging perspectives.</w:t>
      </w:r>
    </w:p>
    <w:p w:rsidR="00000000" w:rsidDel="00000000" w:rsidP="00000000" w:rsidRDefault="00000000" w:rsidRPr="00000000" w14:paraId="0000023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area of concern is the improvement of legal education. The APJR recognizes that many problems in the profession can be traced to the system of basic legal education and the quality of learning derived from law schools. There is thus a need to review today's law curriculum to make it responsive to changing cultures and legal trends. Specific projects under this sector include the incorporation into the curriculum of a public internship program for law students in order to promote public interest in lawyering, as well as the review of the conduct of bar examinations.</w:t>
      </w:r>
    </w:p>
    <w:p w:rsidR="00000000" w:rsidDel="00000000" w:rsidP="00000000" w:rsidRDefault="00000000" w:rsidRPr="00000000" w14:paraId="00000239">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3A">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2.     Capacity Building and Training for Nonjudicial Personnel</w:t>
      </w:r>
    </w:p>
    <w:p w:rsidR="00000000" w:rsidDel="00000000" w:rsidP="00000000" w:rsidRDefault="00000000" w:rsidRPr="00000000" w14:paraId="0000023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APJR is committed to develop not only judicial but also nonjudicial personnel, who are key components in an efficient and  effective judicial organization. The program aims to design a comprehensive human resource development plan that will identify the training needs of the personnel in the context of a reforming judicial organization. </w:t>
      </w:r>
    </w:p>
    <w:p w:rsidR="00000000" w:rsidDel="00000000" w:rsidP="00000000" w:rsidRDefault="00000000" w:rsidRPr="00000000" w14:paraId="0000023C">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3D">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3.   Judicial Appointments and Career Development</w:t>
      </w:r>
    </w:p>
    <w:p w:rsidR="00000000" w:rsidDel="00000000" w:rsidP="00000000" w:rsidRDefault="00000000" w:rsidRPr="00000000" w14:paraId="0000023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JBC is responsible for screening, assessing and positions of justices and judges. It was created to insulate the appointment process from political pressure and thus ensure that the appointees are the most qualified.</w:t>
      </w:r>
    </w:p>
    <w:p w:rsidR="00000000" w:rsidDel="00000000" w:rsidP="00000000" w:rsidRDefault="00000000" w:rsidRPr="00000000" w14:paraId="0000023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Reforms in judicial appointment will be directed toward the re-engineering of the appointment process for better transparency and accountability. To be pursued are steps for clarifying, simplifying and publicizing procedures for screening, selection and nomination; as well as results of evaluations by the JBC and, if possible, by the President. </w:t>
      </w:r>
    </w:p>
    <w:p w:rsidR="00000000" w:rsidDel="00000000" w:rsidP="00000000" w:rsidRDefault="00000000" w:rsidRPr="00000000" w14:paraId="00000240">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1">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4. Judicial Remuneration </w:t>
      </w:r>
    </w:p>
    <w:p w:rsidR="00000000" w:rsidDel="00000000" w:rsidP="00000000" w:rsidRDefault="00000000" w:rsidRPr="00000000" w14:paraId="0000024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Advocacy for adequate and competitive compensation for justices and judges is the core of this reform.</w:t>
      </w:r>
    </w:p>
    <w:p w:rsidR="00000000" w:rsidDel="00000000" w:rsidP="00000000" w:rsidRDefault="00000000" w:rsidRPr="00000000" w14:paraId="0000024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Remuneration, particularly basic salaries in the Philippine Civil Service, is governed by Republic Act No. 6758, otherwise known as the "Compensation and Position Classification Act of 1989." The basic salaries of judges and justices are set in accordance with this law. Compared with remuneration in the private sector, that for the justices and judges is low. It is thus difficult to attract qualified professionals to positions in the judiciary. </w:t>
      </w:r>
    </w:p>
    <w:p w:rsidR="00000000" w:rsidDel="00000000" w:rsidP="00000000" w:rsidRDefault="00000000" w:rsidRPr="00000000" w14:paraId="0000024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Various schemes have been attempted to increase the overall take-home pay of justices and judges, but these have not been satisfactory. However, a strong advocacy to remedy this problem has recently generated a concrete solution. The Twelfth Congress of the Philippines passed on second reading bills granting "[a]ll justices, judges and all other positions in the judiciary with the equivalent rank of justices of the Court of Appeals and judges of the Regional Trial Court" a "special monthly allowance equivalent to one hundred percent (100%) of the basic monthly salary specified for their respective salary grades under Republic Act No. 6758."</w:t>
      </w:r>
    </w:p>
    <w:p w:rsidR="00000000" w:rsidDel="00000000" w:rsidP="00000000" w:rsidRDefault="00000000" w:rsidRPr="00000000" w14:paraId="0000024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Taking into consideration the financial limitations of the government, the proposed law seeks to provide that special allowances be given in four equal installments over a period of four years. The first 25 percent of the compensation package is to be drawn from national government funds, while the succeeding installments are to be sourced from the collections of new fees imposed after the law's effectiveness." </w:t>
      </w:r>
    </w:p>
    <w:p w:rsidR="00000000" w:rsidDel="00000000" w:rsidP="00000000" w:rsidRDefault="00000000" w:rsidRPr="00000000" w14:paraId="0000024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47">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Reform Support Systems</w:t>
      </w:r>
    </w:p>
    <w:p w:rsidR="00000000" w:rsidDel="00000000" w:rsidP="00000000" w:rsidRDefault="00000000" w:rsidRPr="00000000" w14:paraId="0000024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Reform Support Systems component of the APJR involves efforts that harness the symbiotic relationship of the various stakeholders in the judiciary's reform program in order to sustain its smooth, timely and effective implementation.</w:t>
      </w:r>
    </w:p>
    <w:p w:rsidR="00000000" w:rsidDel="00000000" w:rsidP="00000000" w:rsidRDefault="00000000" w:rsidRPr="00000000" w14:paraId="0000024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reform component requires advocacy work and consensus-building activities. The target areas of development are organizational culture, public information, education and communication, and networking and collaboration with other branches of government, civil society and the business sector. </w:t>
      </w:r>
    </w:p>
    <w:p w:rsidR="00000000" w:rsidDel="00000000" w:rsidP="00000000" w:rsidRDefault="00000000" w:rsidRPr="00000000" w14:paraId="0000024A">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 Organizational Culture </w:t>
      </w:r>
    </w:p>
    <w:p w:rsidR="00000000" w:rsidDel="00000000" w:rsidP="00000000" w:rsidRDefault="00000000" w:rsidRPr="00000000" w14:paraId="0000024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Organizational culture is the system of shared meanings that are held by the members and that distinguish their organization from other organizations. The judiciary has defined its desired organizational culture and provided directions for its attainment through its vision and mission as expressed in the "Davide Watch," which is supported by the Blueprint of Action for the Judiciary.</w:t>
      </w:r>
    </w:p>
    <w:p w:rsidR="00000000" w:rsidDel="00000000" w:rsidP="00000000" w:rsidRDefault="00000000" w:rsidRPr="00000000" w14:paraId="0000024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reform projects that are aimed at strengthening the judiciary's organizational culture involve the conduct of dialogues and orientation seminars for all court officials and employees, the development of a court identity manual, and the establishment of a performance awards system for judicial and nonjudicial employees.</w:t>
      </w:r>
    </w:p>
    <w:p w:rsidR="00000000" w:rsidDel="00000000" w:rsidP="00000000" w:rsidRDefault="00000000" w:rsidRPr="00000000" w14:paraId="0000024D">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2.   Public Information, Education and Communication (IEC)</w:t>
      </w:r>
    </w:p>
    <w:p w:rsidR="00000000" w:rsidDel="00000000" w:rsidP="00000000" w:rsidRDefault="00000000" w:rsidRPr="00000000" w14:paraId="0000024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system of public information, education, and communication is a key component of a well-functioning system of justice and judicial process. Such system is mutually beneficial to the judiciary and the public, for it is a significant factor in organizational improvement and people empowerment.</w:t>
      </w:r>
    </w:p>
    <w:p w:rsidR="00000000" w:rsidDel="00000000" w:rsidP="00000000" w:rsidRDefault="00000000" w:rsidRPr="00000000" w14:paraId="0000024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Efforts at public lEC aim to achieve a consensus among the judiciary's external stakeholders such as the executive department - particularly agencies in the criminal justice system - the legislative department, local government units, the legal profession, business and industry, civil organizations such as nongovernmental organizations and local communities, as well as the mass media. </w:t>
      </w:r>
    </w:p>
    <w:p w:rsidR="00000000" w:rsidDel="00000000" w:rsidP="00000000" w:rsidRDefault="00000000" w:rsidRPr="00000000" w14:paraId="0000025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Specific projects under this sub-component are the production and the dissemination of information materials regarding the APJR, the creation of a manual of court processes and of a mass media-judiciary manual, surveys of awareness and opinion, the establishment of a speakers bureau, legislative tours of legal schools, and multi-sectoral conferences on critical judicial issues. </w:t>
      </w:r>
    </w:p>
    <w:p w:rsidR="00000000" w:rsidDel="00000000" w:rsidP="00000000" w:rsidRDefault="00000000" w:rsidRPr="00000000" w14:paraId="00000251">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3.  Networking and Collaboration </w:t>
      </w:r>
    </w:p>
    <w:p w:rsidR="00000000" w:rsidDel="00000000" w:rsidP="00000000" w:rsidRDefault="00000000" w:rsidRPr="00000000" w14:paraId="0000025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Networking is the establishment of working relationships with other sectors and organizations for collaborative and coordinated IEC activities. Networking and collaboration facilitate information exchange, lities, co technology transfer, sharing of equipment and facilities, cost sharing, access to other types of manpower (expertise), and reinforcement and maximum dissemination of messages. They promote better understanding of the problems confronting the judiciary and produce various alternatives for addressing issues and generating commitment to the  resolution of those issues. </w:t>
      </w:r>
    </w:p>
    <w:p w:rsidR="00000000" w:rsidDel="00000000" w:rsidP="00000000" w:rsidRDefault="00000000" w:rsidRPr="00000000" w14:paraId="0000025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thrust of this reform component, therefore, is to establish strong linkages and to organize community-based or multi-sectoral groups in order to remove any communication gaps and thereby build trust and confidence in the judiciary. Specifically, this component endeavors to assist in the creation of watchdog organizations, multisectoral support groups and inter-agency bodies. </w:t>
      </w:r>
    </w:p>
    <w:p w:rsidR="00000000" w:rsidDel="00000000" w:rsidP="00000000" w:rsidRDefault="00000000" w:rsidRPr="00000000" w14:paraId="0000025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regard to media relations, friendly and formal contacts with media organizations have been initiated nationwide. Formal relations with media practitioners s assigned to judicial beats have also been established. News bulletins and backgrounders on Court decisions and activities have been issued to the media on a regular basis Such information is also available through the Court's website, www.supremecourt.gov.ph.</w:t>
      </w:r>
    </w:p>
    <w:p w:rsidR="00000000" w:rsidDel="00000000" w:rsidP="00000000" w:rsidRDefault="00000000" w:rsidRPr="00000000" w14:paraId="0000025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Integrity Infrastructure Development </w:t>
      </w:r>
    </w:p>
    <w:p w:rsidR="00000000" w:rsidDel="00000000" w:rsidP="00000000" w:rsidRDefault="00000000" w:rsidRPr="00000000" w14:paraId="0000025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level of the people's faith and confidence in the judiciary is a gauge of how well it performs its functions or how effectively it attains its purpose in society. For this reason, the judiciary makes it a major component of its reform program to aggressively address the issues that affect people's trust in the justice system.</w:t>
      </w:r>
    </w:p>
    <w:p w:rsidR="00000000" w:rsidDel="00000000" w:rsidP="00000000" w:rsidRDefault="00000000" w:rsidRPr="00000000" w14:paraId="0000025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the thrust of this component is to eradicate graft and corruption, not only within the ranks of the judiciary, but also in other government agencies through the court cases filed against public servants. This effort is in line with the national government's drive to improve governance, build public trust and confidence locally and internationally, and strengthen the global competitiveness of the economy. </w:t>
      </w:r>
    </w:p>
    <w:p w:rsidR="00000000" w:rsidDel="00000000" w:rsidP="00000000" w:rsidRDefault="00000000" w:rsidRPr="00000000" w14:paraId="0000025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judiciary recognizes, however, that addressing graft and corruption requires a comprehensive approach. This approach involves not just the strengthening of the disciplinary system or the policing mechanism but, more importantly, removing the institutional weaknesses that render the system and its personnel vulnerable. In the judiciary, the operational areas where opportunities for graft and corruption may arise include the appointment of judges, litigation practices of lawyers, adjudication practices of judges, the procurement and disposal of assets, revenue administration, auditing, and resource support from the local government units.</w:t>
      </w:r>
    </w:p>
    <w:p w:rsidR="00000000" w:rsidDel="00000000" w:rsidP="00000000" w:rsidRDefault="00000000" w:rsidRPr="00000000" w14:paraId="0000025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implementation of the integrity infrastructure development program necessarily involves institutional and procedural reforms, civil society education and information, and public sector inter-agency collaboration.</w:t>
      </w:r>
    </w:p>
    <w:p w:rsidR="00000000" w:rsidDel="00000000" w:rsidP="00000000" w:rsidRDefault="00000000" w:rsidRPr="00000000" w14:paraId="0000025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Particularly, the following projects are being pursued: 1) establishment and adoption of a comprehensive judicial code of ethics for justices, judges, court personnel and lawyers; 2) streamlining of judicial systems and procedures or to reduce case congestion and delay and to speed up judicial is its services; 3) redefinition of the role of the Office of the Court Administrator to correspond to the decentralization of administrative and financial management operations of the judiciary; 4) adoption of an appropriate disclosure policy that will guide the public as to what information is available and what will not be disclosed; and 5) strengthening of the institutional capacity of the Sandiganbayan to improve its efficiency and clearance rates. </w:t>
      </w:r>
    </w:p>
    <w:p w:rsidR="00000000" w:rsidDel="00000000" w:rsidP="00000000" w:rsidRDefault="00000000" w:rsidRPr="00000000" w14:paraId="0000025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implementation of these projects is already ongoing. The details of the program designs have already been presented to key officials of the judiciary. These are now being revised,     taking into consideration the recommendations that were raised during the presentation </w:t>
      </w:r>
    </w:p>
    <w:p w:rsidR="00000000" w:rsidDel="00000000" w:rsidP="00000000" w:rsidRDefault="00000000" w:rsidRPr="00000000" w14:paraId="0000025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Poor's Access to Justice</w:t>
      </w:r>
    </w:p>
    <w:p w:rsidR="00000000" w:rsidDel="00000000" w:rsidP="00000000" w:rsidRDefault="00000000" w:rsidRPr="00000000" w14:paraId="0000025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One of the goals of the judiciary is to ensure the accessibility of the judicial system to everyone, especially the marginalized and disadvantaged sectors, which are vulnerable to injustice and to diminished access to basic services. Thus, the APJR explicitly addresses this issue by ensuring that the poor have equal access to and treatment under the law, within a judicial system that ensures impartiality.</w:t>
      </w:r>
    </w:p>
    <w:p w:rsidR="00000000" w:rsidDel="00000000" w:rsidP="00000000" w:rsidRDefault="00000000" w:rsidRPr="00000000" w14:paraId="0000025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Access has several dimensions. It includes convenience (level of ease in physically reaching the starting point of service, as well as level of ease and speed in receiving the necessary service), as well as availability (presence of the service and its geographical proximity and accessibility) and affordability of several services in the justice system. The APJR aims to respond to the requirements of each dimension. </w:t>
      </w:r>
    </w:p>
    <w:p w:rsidR="00000000" w:rsidDel="00000000" w:rsidP="00000000" w:rsidRDefault="00000000" w:rsidRPr="00000000" w14:paraId="0000025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an initial activity, a survey was conducted to evaluate the sufficiency of existing programs and to establish preliminary indicators to be used in a baseline study of the poor's access to justice. Baseline studies on inmates, private legal practitioners, the Public Attorney's Office and expanded caseloads have also been completed.</w:t>
      </w:r>
    </w:p>
    <w:p w:rsidR="00000000" w:rsidDel="00000000" w:rsidP="00000000" w:rsidRDefault="00000000" w:rsidRPr="00000000" w14:paraId="0000026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Projects are likewise being directed at reviewing substantive laws and their impact on the access to justice by the poor and disadvantaged. The areas of concern include gender mainstreaming, strengthening of the legal protection of children, and responsiveness of the Code of Muslim Personal Laws.</w:t>
      </w:r>
    </w:p>
    <w:p w:rsidR="00000000" w:rsidDel="00000000" w:rsidP="00000000" w:rsidRDefault="00000000" w:rsidRPr="00000000" w14:paraId="0000026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APJR also recognizes the need for collaborative work with other agencies involved in providing improved access to justice. Specifically, it is committed to assist in the design and the implementation of the Department of Justice's own reform agenda. Likewise, it will endeavor to strengthen investigative, prosecutorial and legal assistance services rendered by the Department of Interior and Local Governments; and the legal or quasi-legal services provided by other national government agencies. </w:t>
      </w:r>
    </w:p>
    <w:p w:rsidR="00000000" w:rsidDel="00000000" w:rsidP="00000000" w:rsidRDefault="00000000" w:rsidRPr="00000000" w14:paraId="00000262">
      <w:pPr>
        <w:jc w:val="both"/>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4</w:t>
      </w:r>
    </w:p>
    <w:p w:rsidR="00000000" w:rsidDel="00000000" w:rsidP="00000000" w:rsidRDefault="00000000" w:rsidRPr="00000000" w14:paraId="00000264">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Essentials of Legal Education</w:t>
      </w:r>
    </w:p>
    <w:p w:rsidR="00000000" w:rsidDel="00000000" w:rsidP="00000000" w:rsidRDefault="00000000" w:rsidRPr="00000000" w14:paraId="0000026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6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are a few things in life that senior citizens in their mid-sixties like me relish and enjoy. One of them is the opportunity to relate with young, promising and talented people like all of you tonight. In this light, I wish to thank your affable and illustrious Dean Antonio H. Abad Jr. for inviting me to this gathering. Dean Abad and I finished our legal education in the same University - the best law school on Quezon Boulevard, Manila!</w:t>
      </w:r>
    </w:p>
    <w:p w:rsidR="00000000" w:rsidDel="00000000" w:rsidP="00000000" w:rsidRDefault="00000000" w:rsidRPr="00000000" w14:paraId="0000026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Many, many years ago when most of you were not yet born, we were law partners. I can therefore attest to the brilliance and the high ethical conduct of Dean Abad, whose one and only lifetime inspiration is my comadre, Atty. Marina Dalena-Abad. </w:t>
      </w:r>
    </w:p>
    <w:p w:rsidR="00000000" w:rsidDel="00000000" w:rsidP="00000000" w:rsidRDefault="00000000" w:rsidRPr="00000000" w14:paraId="0000026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Having thus personally known Dean Abad for almost half a century, I can openly tell you that my fervent wish is for him to be a member of the Supreme Court! But he would not hear of it, because his sense of delicadeza would not allow him to sign the usual application forms required by the Judicial and Bar Council from judicial applicants. Indeed, Dean Abad is so sensitive about judicial ethics that avoids talking with me. I attest to and truly appreciate the fact that in spite of our lifetime close professional, personal and family ties, he has never - at any time, anywhere - spoken with me about any matter pending in the courts, especially the Supreme Court. He is someone special who needs no reminder that a magistrate's independence and confidence should always be respected and preserved. </w:t>
      </w:r>
    </w:p>
    <w:p w:rsidR="00000000" w:rsidDel="00000000" w:rsidP="00000000" w:rsidRDefault="00000000" w:rsidRPr="00000000" w14:paraId="0000026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Tonight, we are gathered in this elegant ballroom of the Hyatt Hotel to break bread and to celebrate the 61st anniversary of the Adamson University College of Law. On this occasion of warm felicitations and glorious jubilation, allow me to share with you a few thoughts on a subject matter that constitutes the very cornerstone of every law school in this country - legal education.</w:t>
      </w:r>
    </w:p>
    <w:p w:rsidR="00000000" w:rsidDel="00000000" w:rsidP="00000000" w:rsidRDefault="00000000" w:rsidRPr="00000000" w14:paraId="0000026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preparing this address, I reviewed the statement of vision, mission and values of Adamson University in general and your College of Law in particular.</w:t>
      </w:r>
    </w:p>
    <w:p w:rsidR="00000000" w:rsidDel="00000000" w:rsidP="00000000" w:rsidRDefault="00000000" w:rsidRPr="00000000" w14:paraId="0000026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must say that I admire your University's express devotion to be a "leading center for quality education particularly for the socially disadvantaged." I identify most avidly with this philosophy, because during my school days I belonged to the socially disadvantaged. To support myself in elementary and high school, I hawked newspapers, shined shoes and peddled cigarettes to jeepney drivers while they waited for the green light at traffic intersections. During my law school days, I sold bibles to my professors and textbooks to my classmates so I could own one myself as my sales commission. </w:t>
      </w:r>
    </w:p>
    <w:p w:rsidR="00000000" w:rsidDel="00000000" w:rsidP="00000000" w:rsidRDefault="00000000" w:rsidRPr="00000000" w14:paraId="0000026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let me go back to my topic tonight. In its most simplistic sense, legal education can easily be defined as the teaching of the law. Moreover, it is the formal training that law students undergo in preparation for the bar examinations and their eventual induction to the legal profession. Indeed, the standard by which any law school is judged is the "quality" of legal education that it offers.</w:t>
      </w:r>
    </w:p>
    <w:p w:rsidR="00000000" w:rsidDel="00000000" w:rsidP="00000000" w:rsidRDefault="00000000" w:rsidRPr="00000000" w14:paraId="0000026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achieve this standard, many law schools have adopted educational frameworks that are geared largely, if not entirely, to the mastery of the law. They emphasize the need to memorize the constitution, the codes and the statute They stress the necessity of repeating judicial doctrines and many times, of Latin maxims they hardly understand.</w:t>
      </w:r>
    </w:p>
    <w:p w:rsidR="00000000" w:rsidDel="00000000" w:rsidP="00000000" w:rsidRDefault="00000000" w:rsidRPr="00000000" w14:paraId="0000026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my mind, such overzealous focus on pure legal craftsmanship, although advantageous in some respects, tends to neglect the other essential aspects of a legal education. It is important to note that its primary purpose is to turn law students into great lawyers, not into mere walking encyclopedias or computer chips of statutes and decisions.</w:t>
      </w:r>
    </w:p>
    <w:p w:rsidR="00000000" w:rsidDel="00000000" w:rsidP="00000000" w:rsidRDefault="00000000" w:rsidRPr="00000000" w14:paraId="0000026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this note, let me briefly discuss with you what I consider as the three fundamental paradigms in the training and development of every law student. For convenient reference and recall, I have labeled them as the three Ls of legal education: language, law and life. </w:t>
      </w:r>
    </w:p>
    <w:p w:rsidR="00000000" w:rsidDel="00000000" w:rsidP="00000000" w:rsidRDefault="00000000" w:rsidRPr="00000000" w14:paraId="0000027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Language</w:t>
      </w:r>
    </w:p>
    <w:p w:rsidR="00000000" w:rsidDel="00000000" w:rsidP="00000000" w:rsidRDefault="00000000" w:rsidRPr="00000000" w14:paraId="0000027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let me talk about language. It has been said that "knowing the law" is one thing and "speaking the law" is quite another. In my experience as a law practitioner, law professor and jurist, I have encountered many lawyers who, despite their exemplary knowledge of the law, are unable to express themselves in plain and simple English. </w:t>
      </w:r>
    </w:p>
    <w:p w:rsidR="00000000" w:rsidDel="00000000" w:rsidP="00000000" w:rsidRDefault="00000000" w:rsidRPr="00000000" w14:paraId="0000027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lawyer's deficiency in "linguistic aptitude," so to speak, can easily be detected in poorly drafted pleadings as well as in dismal oral arguments. Effective legal communication requires the mastery of four Cs = correct, complete, clear and concise. "Correct" refers not only to proficiency in law, but also to accuracy in grammar. Nothing is more frustrating than to read or hear ungrammatical presentations of misplaced law. "Complete" means that all relevant issues and aspects of a problem are presented and addressed. "Clear" refers to the use of simple but elegant words, phrases and sentences to express an idea and to make it understandable. We must avoid the use of hackneyed, highfalutin language that merely calls attention to itself and       not to the subject being discussed. "Concise" requires the use of as little time and as few words as we can to express an idea.</w:t>
      </w:r>
    </w:p>
    <w:p w:rsidR="00000000" w:rsidDel="00000000" w:rsidP="00000000" w:rsidRDefault="00000000" w:rsidRPr="00000000" w14:paraId="0000027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basics of oral and written communication ought to have been learned by law students in their pre-law courses or even as early as in high school. Still, it would be advisable that some relevant reminders in this regard be included in the teaching of every law subject by requiring the use of these four Cs at every opportunity - during classroom recitation, discussion and examination.</w:t>
      </w:r>
    </w:p>
    <w:p w:rsidR="00000000" w:rsidDel="00000000" w:rsidP="00000000" w:rsidRDefault="00000000" w:rsidRPr="00000000" w14:paraId="00000274">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Law </w:t>
      </w:r>
    </w:p>
    <w:p w:rsidR="00000000" w:rsidDel="00000000" w:rsidP="00000000" w:rsidRDefault="00000000" w:rsidRPr="00000000" w14:paraId="0000027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mentioned earlier, mastery of the law is not the endall and be-all of legal education. The ultimate objective is not so much to know the law but to understand its rationale and application. Certainly, there is a vast difference between merely stating the law with utmost precision on the one hand and comprehending its purpose and meaning on the other. Thus, law students should be trained to look into the history and the rationale of statutes, to study the development of jurisprudence on important legal issues, and to think and argue logically on the basis of their analysis of the law as applied to specific factual situations. </w:t>
      </w:r>
    </w:p>
    <w:p w:rsidR="00000000" w:rsidDel="00000000" w:rsidP="00000000" w:rsidRDefault="00000000" w:rsidRPr="00000000" w14:paraId="0000027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the measure of the talents of lawyers is how they can invoke a favorable rule of law in one case and provide a substantially meritorious exception in another. To be able to do this, their grasp of the law should transcend mere memory work. It should involve the ability to analyze the interaction of different, yet related, legal provisions as well as their implications to a case under consideration. Clearly then, it is not simply a matter of how much you know about the law but rather how you decipher, interpret and apply it to a given factual milieu.</w:t>
      </w:r>
    </w:p>
    <w:p w:rsidR="00000000" w:rsidDel="00000000" w:rsidP="00000000" w:rsidRDefault="00000000" w:rsidRPr="00000000" w14:paraId="0000027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Indispensably, it is both the duty and the function of law professors to sharpen the minds of their students by asking incisive and probing questions that involve more than just a cursory appraisal of legal principles and concepts. Whether it is a change in the school curriculum or the teaching styles of professors, what is important is for law students to be trained to think critically and independently. By providing them with training modules that test their analytical techniques and logical reasoning more than just the reading comprehension and memory capacity, we can be sure that they will be better prepared for the many different challenges that they may encounter in their profession.</w:t>
      </w:r>
    </w:p>
    <w:p w:rsidR="00000000" w:rsidDel="00000000" w:rsidP="00000000" w:rsidRDefault="00000000" w:rsidRPr="00000000" w14:paraId="0000027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Hence, aside from the typical Socratic method of conducting recitations in class, I would suggest that a free-flowing or an open-forum type of discussion be conducted from time to time. In this way the students will be encouraged to speak their minds freely on legal issues and case studies without the pressure and the fear of humiliation or low recitation grades. This method will evoke creativity and analytical thinking on their part and will certainly build their confidence in intellectual discourse and public speaking. </w:t>
      </w:r>
    </w:p>
    <w:p w:rsidR="00000000" w:rsidDel="00000000" w:rsidP="00000000" w:rsidRDefault="00000000" w:rsidRPr="00000000" w14:paraId="0000027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Life</w:t>
      </w:r>
    </w:p>
    <w:p w:rsidR="00000000" w:rsidDel="00000000" w:rsidP="00000000" w:rsidRDefault="00000000" w:rsidRPr="00000000" w14:paraId="0000027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Finally, we should remember that in any field of study or specialized discipline, the purpose is not only to prepare the student for a professional career, but also for the journey of life itself. To realize this goal, every institution of learning should promote more than just academic excellence or scholastic aptitude in its students. It should aim to develop their full potentials so that they will become noble members of society, country and humanity.</w:t>
      </w:r>
    </w:p>
    <w:p w:rsidR="00000000" w:rsidDel="00000000" w:rsidP="00000000" w:rsidRDefault="00000000" w:rsidRPr="00000000" w14:paraId="0000027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Law students are, first and foremost, human beings who pursue their respective dreams amidst the many realities of life. Some of these realities may not be as appealing as one might wish, and they may demand more than just technical expertise in the law. Mere intellectual capabilities may not be sufficient to enable a law student to survive the trials and tribulations of life. Certainly, there are many questions in this world that cannot easily be answered solely by the finite expanse of the mind.</w:t>
      </w:r>
    </w:p>
    <w:p w:rsidR="00000000" w:rsidDel="00000000" w:rsidP="00000000" w:rsidRDefault="00000000" w:rsidRPr="00000000" w14:paraId="0000027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Long ago, I thought that success in one's profession and in life in general is assured for people with high intelligence quotients. Later on, however, I observed that there were many </w:t>
      </w:r>
      <w:r w:rsidDel="00000000" w:rsidR="00000000" w:rsidRPr="00000000">
        <w:rPr>
          <w:rFonts w:ascii="Georgia" w:cs="Georgia" w:eastAsia="Georgia" w:hAnsi="Georgia"/>
          <w:i w:val="1"/>
          <w:iCs w:val="1"/>
          <w:rtl w:val="0"/>
        </w:rPr>
        <w:t xml:space="preserve">summa cum laudes</w:t>
      </w:r>
      <w:r w:rsidDel="00000000" w:rsidR="00000000" w:rsidRPr="00000000">
        <w:rPr>
          <w:rFonts w:ascii="Georgia" w:cs="Georgia" w:eastAsia="Georgia" w:hAnsi="Georgia"/>
          <w:rtl w:val="0"/>
        </w:rPr>
        <w:t xml:space="preserve"> and bar topnotchers who could not hack the jungle of life and the rigors of the profession, and they ended up as mere clerks in large corporations or as also rans and wannabes elsewhere. On the other hand, I also noted that there were many students of average intelligence who rose to become great advocates, jurists, educators, business entrepreneurs and government leaders. So I kept on asking myself this question: why is it that some people with high IQ flounder, while many with modest 1Q do surprisingly well?</w:t>
      </w:r>
    </w:p>
    <w:p w:rsidR="00000000" w:rsidDel="00000000" w:rsidP="00000000" w:rsidRDefault="00000000" w:rsidRPr="00000000" w14:paraId="0000027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Two years ago, my wife Leni, who was associate dean at the Asian Institute of Management asked me to read Daniel Goleman's Emotional Intelligence. </w:t>
      </w:r>
    </w:p>
    <w:p w:rsidR="00000000" w:rsidDel="00000000" w:rsidP="00000000" w:rsidRDefault="00000000" w:rsidRPr="00000000" w14:paraId="0000027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book explains that to succeed in life, we must rely not merely on our intelligence quotient or IQ; we must also develop our emotional intelligence or EQ. EQ is the proper development of emotions - the ability to express the proper emotion with "the right person, to the right degree, at the right time, for the right purpose and in the right way." It includes self-control, zeal and persistence, and the ability to motivate oneself.</w:t>
      </w:r>
    </w:p>
    <w:p w:rsidR="00000000" w:rsidDel="00000000" w:rsidP="00000000" w:rsidRDefault="00000000" w:rsidRPr="00000000" w14:paraId="0000027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Goleman says that new scientific discoveries about the brain's emotional architecture offer an explanation of those baffling moments in our lives when feeling overwhelms rationality. Understanding the interplay of brain structures that rule our moments of rage and fear or passion and joy - reveals a lot about how much our emotional habits can undermine our best intentions, and what we can do to subdue our more destructive or self-defeating emotional impulses. </w:t>
      </w:r>
    </w:p>
    <w:p w:rsidR="00000000" w:rsidDel="00000000" w:rsidP="00000000" w:rsidRDefault="00000000" w:rsidRPr="00000000" w14:paraId="0000028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 recently, my wife again showed me a book entitled Spiritual Intelligence by Danah Zohar and Ian Marshall. This book explains that apart from IQ and EQ, there is a third aspect: spiritual intelligence or SQ, which is our ultimate intelligence. It says that human beings are essentially spiritual creatures who are driven by a need to ask "fundamental" or ultimate questions, like why was I born? What is the meaning of life? Why should I go on when I amit so tired or depressed, or when I feel beaten? What makes all worthwhile? In short, human beings are driven by a longing to find meaning and value in what they do and experience.</w:t>
      </w:r>
    </w:p>
    <w:p w:rsidR="00000000" w:rsidDel="00000000" w:rsidP="00000000" w:rsidRDefault="00000000" w:rsidRPr="00000000" w14:paraId="0000028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quote directly from the book. "SQ gives us our ability to discriminate. It gives us our moral sense, an abi to temper rigid rules with understanding and compassion and an equal ability to see when compassion and understanding have their limits. We use SQ to wrestle with questions of good and evil and to envision unrealized possibilities - to dream, to aspire, to raise ourselves out of the mud."</w:t>
      </w:r>
    </w:p>
    <w:p w:rsidR="00000000" w:rsidDel="00000000" w:rsidP="00000000" w:rsidRDefault="00000000" w:rsidRPr="00000000" w14:paraId="0000028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book on Spiritual Intelligence was first published in the year 2000, but it became an instant hit in the United States after the 9/11 terrorist attacks at the World Trade Center and the Pentagon building. All of a sudden, Americans were awakened from their complacency and sense of security when so many thousands could be killed so brazenly in their favorite sanctuaries. Hence, they started to ask: What is the meaning of all these? Why is human life so brittle? What is the purpose of life? Raising these questions does not mean that Americans are becoming religious or liturgical. Spiritual quotient is not measured or enhanced by plain religiosity. Going to church regularly or mumbling repetitive prayers is not the equivalent of high SQ. </w:t>
      </w:r>
    </w:p>
    <w:p w:rsidR="00000000" w:rsidDel="00000000" w:rsidP="00000000" w:rsidRDefault="00000000" w:rsidRPr="00000000" w14:paraId="0000028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All in all, these new readings on EQ and SQ tell me that we need to develop three kinds of intelligence: intellectual, emotional and spiritual. The intellectual gives us vast academic knowledge; the emotional allows us to judge what situation we are in and then to behave properly within it through the discrete use of our knowledge; the spiritual enables us to ask if we want to be in this particular situation in the first place and to dare us to create a better one. </w:t>
      </w:r>
    </w:p>
    <w:p w:rsidR="00000000" w:rsidDel="00000000" w:rsidP="00000000" w:rsidRDefault="00000000" w:rsidRPr="00000000" w14:paraId="0000028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short, IQ deals with the mind, EQ with the heart, and SQ with the spirit.</w:t>
      </w:r>
    </w:p>
    <w:p w:rsidR="00000000" w:rsidDel="00000000" w:rsidP="00000000" w:rsidRDefault="00000000" w:rsidRPr="00000000" w14:paraId="0000028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our schools should prepare us not only for the present life, but also for the hereafter and forever. No matter how the world turns or how civilizations progress or how events affect our very existence, never for a moment think that our lives on earth are the only ones we have. Rather, believe that there is life after death, and that there is eternity where our final destiny lies. </w:t>
      </w:r>
    </w:p>
    <w:p w:rsidR="00000000" w:rsidDel="00000000" w:rsidP="00000000" w:rsidRDefault="00000000" w:rsidRPr="00000000" w14:paraId="0000028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 as there are human and physical laws, there are also spiritual laws. And just as there are consequences for violations of human and physical laws, so are there penalties for the transgression of God's commands. For example, civil laws protect contracts, and a party who breaks them may be liable for damages. In the same manner, one who injures another violates criminal laws and is jailed as a consequence. So, too, a violation of the laws of physics impels consequences; hence, one who jumps out of a window falls in accordance with the law of gravity.</w:t>
      </w:r>
    </w:p>
    <w:p w:rsidR="00000000" w:rsidDel="00000000" w:rsidP="00000000" w:rsidRDefault="00000000" w:rsidRPr="00000000" w14:paraId="0000028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the same token, spiritual laws operate on our spirits, whether we like it or not. When we transgress the Ten Commandments or the beatitudes proclaimed by our Lord Jesus, our spirits suffer the necessary consequences by being damned in eternity. Just as there are reparations for violations of human and physical laws, there is also salvation from our sins - by repentance, restitution and reformation.</w:t>
      </w:r>
    </w:p>
    <w:p w:rsidR="00000000" w:rsidDel="00000000" w:rsidP="00000000" w:rsidRDefault="00000000" w:rsidRPr="00000000" w14:paraId="0000028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Even as we feast and celebrate on this beautiful evening, isn't it wonderful to know that God is present with us, here and now, in this beautiful ballroom? He is amongst us to share our joy, above us to inspire us, before us to lead us, beside us to guide us, behind us to protect us, and within us - in our minds, our hearts and our spirits - to possess us and bring us to His everlasting Kingdom!                           </w:t>
      </w:r>
    </w:p>
    <w:p w:rsidR="00000000" w:rsidDel="00000000" w:rsidP="00000000" w:rsidRDefault="00000000" w:rsidRPr="00000000" w14:paraId="00000289">
      <w:pPr>
        <w:spacing w:after="80" w:before="80" w:lineRule="auto"/>
        <w:ind w:firstLine="360"/>
        <w:jc w:val="center"/>
        <w:rPr>
          <w:rFonts w:ascii="Georgia" w:cs="Georgia" w:eastAsia="Georgia" w:hAnsi="Georgia"/>
        </w:rPr>
      </w:pPr>
      <w:r w:rsidDel="00000000" w:rsidR="00000000" w:rsidRPr="00000000">
        <w:rPr>
          <w:rFonts w:ascii="Georgia" w:cs="Georgia" w:eastAsia="Georgia" w:hAnsi="Georgia"/>
          <w:b w:val="1"/>
          <w:bCs w:val="1"/>
          <w:rtl w:val="0"/>
        </w:rPr>
        <w:t xml:space="preserve">Epilogue</w:t>
      </w:r>
      <w:r w:rsidDel="00000000" w:rsidR="00000000" w:rsidRPr="00000000">
        <w:rPr>
          <w:rtl w:val="0"/>
        </w:rPr>
      </w:r>
    </w:p>
    <w:p w:rsidR="00000000" w:rsidDel="00000000" w:rsidP="00000000" w:rsidRDefault="00000000" w:rsidRPr="00000000" w14:paraId="0000028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close this address, let me summarize. I believe that every great school of law must teach its students the three Ls of legal education; namely, language, law and life. Looking over your school brochure, I see that these triple Ls have already been taken into account. Furthermore, Adamson University is committed to the core values of, first, academic a excellence which involves the IQ; second, social responsibility which your school defines as the "building of a society based on justice, peace, respect for human dignity and the integrity of creation" - all of which are really encompassed by EQ; and third, inspiration of St. Vincent de Paul in pursuing  gospel values, a pursuit that develops the SQ.</w:t>
      </w:r>
    </w:p>
    <w:p w:rsidR="00000000" w:rsidDel="00000000" w:rsidP="00000000" w:rsidRDefault="00000000" w:rsidRPr="00000000" w14:paraId="0000028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short, let me again congratulate all of you tonight on the 61st anniversary of the College of Law of Adamson University - an institution of higher learning that inculcates in its students the three Ls of quality legal education.</w:t>
      </w:r>
    </w:p>
    <w:p w:rsidR="00000000" w:rsidDel="00000000" w:rsidP="00000000" w:rsidRDefault="00000000" w:rsidRPr="00000000" w14:paraId="0000028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Mabuhay ang Adamson University!                            </w:t>
      </w:r>
    </w:p>
    <w:p w:rsidR="00000000" w:rsidDel="00000000" w:rsidP="00000000" w:rsidRDefault="00000000" w:rsidRPr="00000000" w14:paraId="0000028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8E">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8F">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0">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1">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2">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3">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4">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5">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6">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7">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8">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9">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A">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B">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C">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D">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E">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9F">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0">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1">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2">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3">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4">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5">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6">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7">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8">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9">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A">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B">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C">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D">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E">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AF">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B0">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B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5</w:t>
      </w:r>
    </w:p>
    <w:p w:rsidR="00000000" w:rsidDel="00000000" w:rsidP="00000000" w:rsidRDefault="00000000" w:rsidRPr="00000000" w14:paraId="000002B2">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B3">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Excellence and Ethics </w:t>
      </w:r>
    </w:p>
    <w:p w:rsidR="00000000" w:rsidDel="00000000" w:rsidP="00000000" w:rsidRDefault="00000000" w:rsidRPr="00000000" w14:paraId="000002B4">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in Appellate Practice</w:t>
      </w:r>
    </w:p>
    <w:p w:rsidR="00000000" w:rsidDel="00000000" w:rsidP="00000000" w:rsidRDefault="00000000" w:rsidRPr="00000000" w14:paraId="000002B5">
      <w:pPr>
        <w:spacing w:after="80" w:before="80" w:lineRule="auto"/>
        <w:ind w:firstLine="360"/>
        <w:jc w:val="center"/>
        <w:rPr>
          <w:rFonts w:ascii="Georgia" w:cs="Georgia" w:eastAsia="Georgia" w:hAnsi="Georgia"/>
        </w:rPr>
      </w:pPr>
      <w:r w:rsidDel="00000000" w:rsidR="00000000" w:rsidRPr="00000000">
        <w:rPr>
          <w:rtl w:val="0"/>
        </w:rPr>
      </w:r>
    </w:p>
    <w:p w:rsidR="00000000" w:rsidDel="00000000" w:rsidP="00000000" w:rsidRDefault="00000000" w:rsidRPr="00000000" w14:paraId="000002B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said that justices are better read than heard. Upon their enrolment in the magistracy, they are expected to cut all social, personal and professional ties and become virtual recluses in their sensitive work of deciding litigations. This ode of honor requires them not only to be pure, but also to appear pure before their critical public. It is perhaps for these reasons that Supreme Court justices are sometimes referred to as "the gods of Padre Faura.”</w:t>
      </w:r>
    </w:p>
    <w:p w:rsidR="00000000" w:rsidDel="00000000" w:rsidP="00000000" w:rsidRDefault="00000000" w:rsidRPr="00000000" w14:paraId="000002B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as most of you know, I have tried my best to avoid unnecessary public and even private audiences have refrained from entertaining visitors in my chambers and avoided telephone calls and conversations regarding ending matters in the courts, especially the Supreme Court. </w:t>
      </w:r>
    </w:p>
    <w:p w:rsidR="00000000" w:rsidDel="00000000" w:rsidP="00000000" w:rsidRDefault="00000000" w:rsidRPr="00000000" w14:paraId="000002B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Every year, I receive about thirty speaking invitations, but because of the foregoing reasons, I have accepted only a few. Tonight is one of those exceptions. I regard the Philippine Trial Lawyers Association as a special forum for reaching out to the legal profession with minimal risk of undue public criticism. After all, I know that you understand and appreciate the necessity of preserving the independence and the integrity of our black-robed men and women.</w:t>
      </w:r>
    </w:p>
    <w:p w:rsidR="00000000" w:rsidDel="00000000" w:rsidP="00000000" w:rsidRDefault="00000000" w:rsidRPr="00000000" w14:paraId="000002B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Furthermore, I could not turn down the invitation of your distinguished president, former Assemblyman and former Deputy Education Minister Salvador B. Britanico. Buddy and I have known each other since our student leadership days at Far Eastern University. </w:t>
      </w:r>
    </w:p>
    <w:p w:rsidR="00000000" w:rsidDel="00000000" w:rsidP="00000000" w:rsidRDefault="00000000" w:rsidRPr="00000000" w14:paraId="000002B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your general assembly in this elegant ballroom of the Traders Hotel, I would like to offer you some insights or tips, to use a colloquial term, on how to be more effective appellate court practitioners. I realize that you are the country's most experienced litigation lawyers, who therefore know how to win their cases.</w:t>
      </w:r>
    </w:p>
    <w:p w:rsidR="00000000" w:rsidDel="00000000" w:rsidP="00000000" w:rsidRDefault="00000000" w:rsidRPr="00000000" w14:paraId="000002B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however, give you an insider's window on how to win not only your cases, but also - and perhaps even more important - how to gain the esteem and respect of the Supreme Court. After all, justice - not necessarily victory - in all litigations is the ultimate aim of our profession. Tonight, therefore, let me discuss two sure ways to gain the esteem and even the admiration of our Supreme Court, in the process, win your cases and render justice to all. </w:t>
      </w:r>
    </w:p>
    <w:p w:rsidR="00000000" w:rsidDel="00000000" w:rsidP="00000000" w:rsidRDefault="00000000" w:rsidRPr="00000000" w14:paraId="000002B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 Reputation </w:t>
      </w:r>
    </w:p>
    <w:p w:rsidR="00000000" w:rsidDel="00000000" w:rsidP="00000000" w:rsidRDefault="00000000" w:rsidRPr="00000000" w14:paraId="000002B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for Excellence</w:t>
      </w:r>
    </w:p>
    <w:p w:rsidR="00000000" w:rsidDel="00000000" w:rsidP="00000000" w:rsidRDefault="00000000" w:rsidRPr="00000000" w14:paraId="000002B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cultivate a reputation for excellence. This means that you must know by heart the many special rules observed in and by the Supreme Court. As you all realize, the preparation of pleadings to be filed in the Supreme Courts is much more complicated than that in the lower courts. Many petitions are denied due course at sight, simply because the lawyers have overlooked certain elementary procedural requirements, like the failure to attach an affidavit of service, a no-forum-shopping certification, or a clear duplicate original or certified true copy of the judgment or order contested. In my book Battles in the Supreme Court published in 1998, I listed at least 21 procedural errors, any one of which would be sufficient to justify the outright dismissal of a case.</w:t>
      </w:r>
    </w:p>
    <w:p w:rsidR="00000000" w:rsidDel="00000000" w:rsidP="00000000" w:rsidRDefault="00000000" w:rsidRPr="00000000" w14:paraId="000002B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Those aspiring to be appellate law practitioners should avoid those errors. Otherwise, their petitions would have very slim chances of being granted due course. At this point, I would like you to know that the names of the lawyers of the parties are always listed in the agenda of the court. Thus, when petitions are dismissed because of lapses in elementary procedure, the lawyers are known immediately, and questions about their competence and thoroughness immediately crop up. And when petitions prepared by the same lawyers are repeatedly denied because of simple e technical lapses, they acquire a reputation for sloppiness. Justices invariably comment that, for the sake of their clients, these advocates should stop appearing in the Supreme Court.</w:t>
      </w:r>
    </w:p>
    <w:p w:rsidR="00000000" w:rsidDel="00000000" w:rsidP="00000000" w:rsidRDefault="00000000" w:rsidRPr="00000000" w14:paraId="000002C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Ire of the Court</w:t>
      </w:r>
    </w:p>
    <w:p w:rsidR="00000000" w:rsidDel="00000000" w:rsidP="00000000" w:rsidRDefault="00000000" w:rsidRPr="00000000" w14:paraId="000002C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and of Their Clients</w:t>
      </w:r>
    </w:p>
    <w:p w:rsidR="00000000" w:rsidDel="00000000" w:rsidP="00000000" w:rsidRDefault="00000000" w:rsidRPr="00000000" w14:paraId="000002C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Many times also, some lawyers - either due to negligence or laziness or both - fail to comply with simple resolutions to file a comment, a reply or other pleadings. When the Court threatens them with disciplinary actions, these lawyers often pass the blame on their hapless associates or meek secretaries who have allegedly neglected to remind them of the deadlines for filing those pleadings. I would like you to know that we frown on this hackneyed buck-passing            technique and almost always admonish or fine counsels who habitually do so. Worse, when it is the petitioner's counsel who fails to comply with these simple resolutions, the Court not only disciplines the lawyer, but it also dismisses the petition altogether. As you all know, once a petition is thrown out due to procedural or other lapses, it is quite difficult to have it reinstated. Invariably, the lawyer gets the ire not only of the Court, but also of their clients! </w:t>
      </w:r>
    </w:p>
    <w:p w:rsidR="00000000" w:rsidDel="00000000" w:rsidP="00000000" w:rsidRDefault="00000000" w:rsidRPr="00000000" w14:paraId="000002C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Then, there is the even more pressing need for excellence in presenting the substantive aspects of your case. Except for a few instances like criminal cases, in which the lower courts have imposed the death penalty or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the acceptance of an appeal is purely discretionary on the part of the Supreme Court. The High Tribunal is even more discriminating in giving due course to original actions for certiorari and similar petitions that attribute lack of jurisdiction or grave abuse of discretion to other offices and officials of our country.</w:t>
      </w:r>
    </w:p>
    <w:p w:rsidR="00000000" w:rsidDel="00000000" w:rsidP="00000000" w:rsidRDefault="00000000" w:rsidRPr="00000000" w14:paraId="000002C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Poorly prepared pleadings and difficult-to-understand language inevitably spell denial for many petitions. Since the grant of due course in the High Court is discretionary, it behooves lawyers to write pleadings that are clear, correct, complete and concise. It is not enough to allege ultimate facts; it is equally important to back up your allegations with citations of authorities showing that the lower court has indeed committed reversible errors that should be corrected on appeal.</w:t>
      </w:r>
    </w:p>
    <w:p w:rsidR="00000000" w:rsidDel="00000000" w:rsidP="00000000" w:rsidRDefault="00000000" w:rsidRPr="00000000" w14:paraId="000002C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Overworked Justices </w:t>
      </w:r>
    </w:p>
    <w:p w:rsidR="00000000" w:rsidDel="00000000" w:rsidP="00000000" w:rsidRDefault="00000000" w:rsidRPr="00000000" w14:paraId="000002C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Please remember that justices of the Supreme Court are quite overworked. They have to attend to some 6,000 pending cases, and additionally, to shepherd about 5,000 new cases every year. These figures mean that each justice has an average case load of about 400 pending cases plus 25 new ones per month. You can understand why magistrates dismiss at sight unreadable, illogical, ungrammatical and legally shaky pleadings.</w:t>
      </w:r>
    </w:p>
    <w:p w:rsidR="00000000" w:rsidDel="00000000" w:rsidP="00000000" w:rsidRDefault="00000000" w:rsidRPr="00000000" w14:paraId="000002C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my more than seven-year experience as a sitting justice, I believe that about 60 percent of all new petitions are denied at sight, either because of procedural lapses, or because of the failure of the petitioner to demonstrate clearly any reversible error or grave abuse of discretion on the par of the lower court. A further 20 percent are thrown out after the comment and the reply are filed. In other words, less than 20% of the 5,000 new filings are given due course and mature into full-blown, written ponencias.</w:t>
      </w:r>
    </w:p>
    <w:p w:rsidR="00000000" w:rsidDel="00000000" w:rsidP="00000000" w:rsidRDefault="00000000" w:rsidRPr="00000000" w14:paraId="000002C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Remember that appellate advocates are measured on the basis of how they can invoke a favorable rule of law in one case and provide a substantially meritorious exception in another. Those who are able to decipher, analyze and synthesize nuances of the law eventually get the nod of the Court.</w:t>
      </w:r>
    </w:p>
    <w:p w:rsidR="00000000" w:rsidDel="00000000" w:rsidP="00000000" w:rsidRDefault="00000000" w:rsidRPr="00000000" w14:paraId="000002C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you are new in appellate practice, it is worthwhile to read slowly and deliberately how decisions are written, how justices analyze legal provisions and applicable jurisprudence, and how carefully distinctions are laid out in given factual milieus. As an illustrious US justice once said, cts; general propositions do not decide specific problems; each case has its own peculiarities that must be ruled upon based on the unique factual circumstances obtained. A great lawyer is able to craft a theory that addresses the issues without offending settled doctrines and yet is able to propose a meritorious exception to the prevailing jurisprudence on the matter. It is also suggested that you read petitions, comments and memoranda of respected appellate court practitioners. Study how excellently they present their cases, and why they succeed in persuading the Court to adopt their presentation. They do not merely repeat doctrines or blindly rely on copied quotes; they explain in elegant prose and unbendable logic why their cases and causes deserve to be upheld.</w:t>
      </w:r>
    </w:p>
    <w:p w:rsidR="00000000" w:rsidDel="00000000" w:rsidP="00000000" w:rsidRDefault="00000000" w:rsidRPr="00000000" w14:paraId="000002C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Pleading with </w:t>
      </w:r>
    </w:p>
    <w:p w:rsidR="00000000" w:rsidDel="00000000" w:rsidP="00000000" w:rsidRDefault="00000000" w:rsidRPr="00000000" w14:paraId="000002CB">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Distinction</w:t>
      </w:r>
    </w:p>
    <w:p w:rsidR="00000000" w:rsidDel="00000000" w:rsidP="00000000" w:rsidRDefault="00000000" w:rsidRPr="00000000" w14:paraId="000002C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I have not always agreed with the briefs, memoranda and other pleadings submitted by distinguished advocates like Estelito Mendoza, Mario Bautista, Agustin Benitez, Eduardo de los Angeles, Simeon Marcelo, Theodore Te, Rene Saguisag, Pacifico Agabin, Antonio Abad Jr., Lorna Kapunan, Katrina Legarda, Roberto Abad and, of course, your president Buddy Britanico. But I have always found great pleasure in reading them, especially during weekends when I cram to write my ponencias. </w:t>
      </w:r>
    </w:p>
    <w:p w:rsidR="00000000" w:rsidDel="00000000" w:rsidP="00000000" w:rsidRDefault="00000000" w:rsidRPr="00000000" w14:paraId="000002C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encourage lawyers to prepare their pleadings with distinction, Isomètimes quote them in my ponencias. Always, I indicate their names in an appropriate footnote. As some of you know, since I joined the Court more than seven years ago, I have been working seven days a week including Saturdays, Sundays and holidays. The dreariness of routine work is occasionally broken by the spirit-uplifting and free flowing prose of these practitioners. Their pleadings are structured, well-researched, logic-driven and yet simply written. They avoid highfalutin and bombastic language. Moreover, they are respectful in tone even if emphatic in their arguments.</w:t>
      </w:r>
    </w:p>
    <w:p w:rsidR="00000000" w:rsidDel="00000000" w:rsidP="00000000" w:rsidRDefault="00000000" w:rsidRPr="00000000" w14:paraId="000002C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 than all these, I especially urge you to reserve your best performance for occasional oral arguments called by the Court. Study minutely the facts of your case, stick by your theory, and prepare to answer probing questions on every little detail. I assure you the justices do their homework. They read the pleadings, study the law and applicable jurisprudence, and are always ready to pounce on your case theory. Sometimes, they ask questions because they do not know the answers, but more often, they ask questions to test the lawyers' grasp of their arguments. Many years ago, there was a solicitor general who appeared during oral arguments with less than ideal preparation. Thus, he stumbled from question to question. He would change his theory of the case with each hostile interrogation. Worse, he would contradict justices who were trying to help him, but whom he suspected were against him. Up to this day, he is a favorite topic of private jokes amongst the magistrates.</w:t>
      </w:r>
    </w:p>
    <w:p w:rsidR="00000000" w:rsidDel="00000000" w:rsidP="00000000" w:rsidRDefault="00000000" w:rsidRPr="00000000" w14:paraId="000002CF">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High Ethical </w:t>
      </w:r>
    </w:p>
    <w:p w:rsidR="00000000" w:rsidDel="00000000" w:rsidP="00000000" w:rsidRDefault="00000000" w:rsidRPr="00000000" w14:paraId="000002D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Conduct </w:t>
      </w:r>
    </w:p>
    <w:p w:rsidR="00000000" w:rsidDel="00000000" w:rsidP="00000000" w:rsidRDefault="00000000" w:rsidRPr="00000000" w14:paraId="000002D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second suggestion on how to win the respect of our justices is for you to develop a reputation for high ethical conduct. Ethics embraces, among others, </w:t>
      </w:r>
      <w:r w:rsidDel="00000000" w:rsidR="00000000" w:rsidRPr="00000000">
        <w:rPr>
          <w:rFonts w:ascii="Georgia" w:cs="Georgia" w:eastAsia="Georgia" w:hAnsi="Georgia"/>
          <w:i w:val="1"/>
          <w:iCs w:val="1"/>
          <w:rtl w:val="0"/>
        </w:rPr>
        <w:t xml:space="preserve">fairness, candor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i w:val="1"/>
          <w:iCs w:val="1"/>
          <w:rtl w:val="0"/>
        </w:rPr>
        <w:t xml:space="preserve"> integrity</w:t>
      </w:r>
      <w:r w:rsidDel="00000000" w:rsidR="00000000" w:rsidRPr="00000000">
        <w:rPr>
          <w:rFonts w:ascii="Georgia" w:cs="Georgia" w:eastAsia="Georgia" w:hAnsi="Georgia"/>
          <w:rtl w:val="0"/>
        </w:rPr>
        <w:t xml:space="preserve"> in your professional and personal lives. </w:t>
      </w:r>
    </w:p>
    <w:p w:rsidR="00000000" w:rsidDel="00000000" w:rsidP="00000000" w:rsidRDefault="00000000" w:rsidRPr="00000000" w14:paraId="000002D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Fairness </w:t>
      </w:r>
      <w:r w:rsidDel="00000000" w:rsidR="00000000" w:rsidRPr="00000000">
        <w:rPr>
          <w:rFonts w:ascii="Georgia" w:cs="Georgia" w:eastAsia="Georgia" w:hAnsi="Georgia"/>
          <w:rtl w:val="0"/>
        </w:rPr>
        <w:t xml:space="preserve">means not merely fighting for even-handed treatment of one's cause and case. It extends to a refusal to take </w:t>
      </w:r>
      <w:r w:rsidDel="00000000" w:rsidR="00000000" w:rsidRPr="00000000">
        <w:rPr>
          <w:rFonts w:ascii="Georgia" w:cs="Georgia" w:eastAsia="Georgia" w:hAnsi="Georgia"/>
          <w:i w:val="1"/>
          <w:iCs w:val="1"/>
          <w:rtl w:val="0"/>
        </w:rPr>
        <w:t xml:space="preserve">undue</w:t>
      </w:r>
      <w:r w:rsidDel="00000000" w:rsidR="00000000" w:rsidRPr="00000000">
        <w:rPr>
          <w:rFonts w:ascii="Georgia" w:cs="Georgia" w:eastAsia="Georgia" w:hAnsi="Georgia"/>
          <w:rtl w:val="0"/>
        </w:rPr>
        <w:t xml:space="preserve"> advantage of the other side, of being honorable in battle and of being scrupulous in the choice of legal weapons. </w:t>
      </w:r>
    </w:p>
    <w:p w:rsidR="00000000" w:rsidDel="00000000" w:rsidP="00000000" w:rsidRDefault="00000000" w:rsidRPr="00000000" w14:paraId="000002D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Immediately after passing the bar examinations in 1960, I became an associate in the law office of our then law dean, Dr. Jovito R. Salonga. One early morning, Dean Salonga called me up at home to say that he was indisposed and could I substitute for him in that morning's trial at the then our   Court of First Instance of Pasay. Even if I knew very little about that inheritance case he was directly handling, I stood up gallantly when the case was called that morning and mumbled, "Ready for the defense, Your Honor." </w:t>
      </w:r>
    </w:p>
    <w:p w:rsidR="00000000" w:rsidDel="00000000" w:rsidP="00000000" w:rsidRDefault="00000000" w:rsidRPr="00000000" w14:paraId="000002D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Judge Angel Mojica, who was presiding, looked askance at me and asked suspiciously, "Where is Atty. Salonga? And young man, are you ready to continue the cross-examination of the plaintiff?" </w:t>
      </w:r>
    </w:p>
    <w:p w:rsidR="00000000" w:rsidDel="00000000" w:rsidP="00000000" w:rsidRDefault="00000000" w:rsidRPr="00000000" w14:paraId="000002D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 called me up early this morning to say that he was indisposed, Your Honor. He told me that I should not ask for a postponement because there is a standing agreement not to delay the case," I nervously replied. </w:t>
      </w:r>
    </w:p>
    <w:p w:rsidR="00000000" w:rsidDel="00000000" w:rsidP="00000000" w:rsidRDefault="00000000" w:rsidRPr="00000000" w14:paraId="000002D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"Your Honor," butted in Atty. Jose W. Diokno, the counsel for the plaintiff, “It is true that we agreed not to defer today's hearing. But in fairness to our young compañero, and knowing that Atty. Salonga would not tell a lie about his health, I myself am now moving to postpone the hearing.</w:t>
      </w:r>
    </w:p>
    <w:p w:rsidR="00000000" w:rsidDel="00000000" w:rsidP="00000000" w:rsidRDefault="00000000" w:rsidRPr="00000000" w14:paraId="000002D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Anyway, this case is also scheduled to be heard two more times during the next two weeks." Addressing me, Judge Mojica boomed, "What do you say to that motion, counsel"? </w:t>
      </w:r>
    </w:p>
    <w:p w:rsidR="00000000" w:rsidDel="00000000" w:rsidP="00000000" w:rsidRDefault="00000000" w:rsidRPr="00000000" w14:paraId="000002D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 objection, Your Honor," I quickly answered.</w:t>
      </w:r>
    </w:p>
    <w:p w:rsidR="00000000" w:rsidDel="00000000" w:rsidP="00000000" w:rsidRDefault="00000000" w:rsidRPr="00000000" w14:paraId="000002D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may have been a little incident in the checkered life of the late illustrious Atty. Jose W. Diokno, but it was a major one of mine. It showed me how a great advocate could demonstrate fairness to a young inexperienced lawyer, who hardly knew the pending case; and who, at that point, would probably not have been able to cross-examine the plaintiff adequately. Atty. Diokno earned my immediate admiration and awe, not only for his vaunted competence, but also for his genial sportsmanship in refusing to take undue advantage of a young, nervous lawyer. I am certain that Judge Mojica, who is now in the Great Beyond, was impressed, too. </w:t>
      </w:r>
    </w:p>
    <w:p w:rsidR="00000000" w:rsidDel="00000000" w:rsidP="00000000" w:rsidRDefault="00000000" w:rsidRPr="00000000" w14:paraId="000002D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Candor and </w:t>
      </w:r>
    </w:p>
    <w:p w:rsidR="00000000" w:rsidDel="00000000" w:rsidP="00000000" w:rsidRDefault="00000000" w:rsidRPr="00000000" w14:paraId="000002DB">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Integrity </w:t>
      </w:r>
    </w:p>
    <w:p w:rsidR="00000000" w:rsidDel="00000000" w:rsidP="00000000" w:rsidRDefault="00000000" w:rsidRPr="00000000" w14:paraId="000002DC">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Candor refers to straightforwardness or forthrightness in admitting a weakness or even an error. Some lawyers are so proud they would not admit a mistake. </w:t>
      </w:r>
      <w:r w:rsidDel="00000000" w:rsidR="00000000" w:rsidRPr="00000000">
        <w:rPr>
          <w:rFonts w:ascii="Georgia" w:cs="Georgia" w:eastAsia="Georgia" w:hAnsi="Georgia"/>
          <w:i w:val="1"/>
          <w:iCs w:val="1"/>
          <w:rtl w:val="0"/>
        </w:rPr>
        <w:t xml:space="preserve">Matitigas ang mga ulo.</w:t>
      </w:r>
    </w:p>
    <w:p w:rsidR="00000000" w:rsidDel="00000000" w:rsidP="00000000" w:rsidRDefault="00000000" w:rsidRPr="00000000" w14:paraId="000002D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are also lawyers who insist on equating the </w:t>
      </w:r>
      <w:r w:rsidDel="00000000" w:rsidR="00000000" w:rsidRPr="00000000">
        <w:rPr>
          <w:rFonts w:ascii="Georgia" w:cs="Georgia" w:eastAsia="Georgia" w:hAnsi="Georgia"/>
          <w:i w:val="1"/>
          <w:iCs w:val="1"/>
          <w:rtl w:val="0"/>
        </w:rPr>
        <w:t xml:space="preserve">ratio decidendi </w:t>
      </w:r>
      <w:r w:rsidDel="00000000" w:rsidR="00000000" w:rsidRPr="00000000">
        <w:rPr>
          <w:rFonts w:ascii="Georgia" w:cs="Georgia" w:eastAsia="Georgia" w:hAnsi="Georgia"/>
          <w:rtl w:val="0"/>
        </w:rPr>
        <w:t xml:space="preserve">of a decision with a mere </w:t>
      </w:r>
      <w:r w:rsidDel="00000000" w:rsidR="00000000" w:rsidRPr="00000000">
        <w:rPr>
          <w:rFonts w:ascii="Georgia" w:cs="Georgia" w:eastAsia="Georgia" w:hAnsi="Georgia"/>
          <w:i w:val="1"/>
          <w:iCs w:val="1"/>
          <w:rtl w:val="0"/>
        </w:rPr>
        <w:t xml:space="preserve">obiter dictum. </w:t>
      </w:r>
      <w:r w:rsidDel="00000000" w:rsidR="00000000" w:rsidRPr="00000000">
        <w:rPr>
          <w:rFonts w:ascii="Georgia" w:cs="Georgia" w:eastAsia="Georgia" w:hAnsi="Georgia"/>
          <w:rtl w:val="0"/>
        </w:rPr>
        <w:t xml:space="preserve">Credibility goes up when a lawyer frankly admits that a statement in a decision is a mere obiter and may not be binding. And respect rises even more when the learned counsel explains why the obiter makes sense and should anyway be adopted as a doctrine.</w:t>
      </w:r>
    </w:p>
    <w:p w:rsidR="00000000" w:rsidDel="00000000" w:rsidP="00000000" w:rsidRDefault="00000000" w:rsidRPr="00000000" w14:paraId="000002D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nothing erodes a lawyer's credibility more than the deliberate misquoting of a decision or, worse, the omission of certain words or sentences that qualify or restrict the sense of a ruling. Remember that the eagle-eyed magistrates can easily detect misquotations, out-of-context statements and misleading arguments.</w:t>
      </w:r>
    </w:p>
    <w:p w:rsidR="00000000" w:rsidDel="00000000" w:rsidP="00000000" w:rsidRDefault="00000000" w:rsidRPr="00000000" w14:paraId="000002D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candid lawyer is a humble person - not only one who is not afraid to admit an error or a shortcoming, but also one who rises from a mistake and more than makes up for it the  next time around. </w:t>
      </w:r>
    </w:p>
    <w:p w:rsidR="00000000" w:rsidDel="00000000" w:rsidP="00000000" w:rsidRDefault="00000000" w:rsidRPr="00000000" w14:paraId="000002E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Finally, by </w:t>
      </w:r>
      <w:r w:rsidDel="00000000" w:rsidR="00000000" w:rsidRPr="00000000">
        <w:rPr>
          <w:rFonts w:ascii="Georgia" w:cs="Georgia" w:eastAsia="Georgia" w:hAnsi="Georgia"/>
          <w:i w:val="1"/>
          <w:iCs w:val="1"/>
          <w:rtl w:val="0"/>
        </w:rPr>
        <w:t xml:space="preserve">integrity </w:t>
      </w:r>
      <w:r w:rsidDel="00000000" w:rsidR="00000000" w:rsidRPr="00000000">
        <w:rPr>
          <w:rFonts w:ascii="Georgia" w:cs="Georgia" w:eastAsia="Georgia" w:hAnsi="Georgia"/>
          <w:rtl w:val="0"/>
        </w:rPr>
        <w:t xml:space="preserve">I refer to honesty and truthfulness. A person of integrity acts in accordance with what is true and honest regardless of personal consequences. To act with integrity is to act with moral courage. This involves not only theoretical bravery in battle but, a priori, purity of spirit and clarity of conscience. For only one who is pure of heart and d u e clear of mind can act with integrity.</w:t>
      </w:r>
    </w:p>
    <w:p w:rsidR="00000000" w:rsidDel="00000000" w:rsidP="00000000" w:rsidRDefault="00000000" w:rsidRPr="00000000" w14:paraId="000002E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Assistance in </w:t>
      </w:r>
    </w:p>
    <w:p w:rsidR="00000000" w:rsidDel="00000000" w:rsidP="00000000" w:rsidRDefault="00000000" w:rsidRPr="00000000" w14:paraId="000002E2">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Reforming the Judiciary </w:t>
      </w:r>
    </w:p>
    <w:p w:rsidR="00000000" w:rsidDel="00000000" w:rsidP="00000000" w:rsidRDefault="00000000" w:rsidRPr="00000000" w14:paraId="000002E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Supreme Court, as you know, has embarked on a comprehensive reform program to address the many complaints of corruption, incompetence and delay in the delivery of justice. Many times these problems are brought about, or at least aggravated, by members of the bar. </w:t>
      </w:r>
    </w:p>
    <w:p w:rsidR="00000000" w:rsidDel="00000000" w:rsidP="00000000" w:rsidRDefault="00000000" w:rsidRPr="00000000" w14:paraId="000002E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now take this occasion to call for your cooperation and assistance in eradicating these ills. As active practicing lawyers, you know who are the corrupt and the incompetent among the magistrates. You know who do not deserve to wear their majestic black robes. </w:t>
      </w:r>
    </w:p>
    <w:p w:rsidR="00000000" w:rsidDel="00000000" w:rsidP="00000000" w:rsidRDefault="00000000" w:rsidRPr="00000000" w14:paraId="000002E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Lawyers of integrity will never bribe judges. Remember, corruption will take place only if it is abetted or tolerated by the bar. Integrity demands not only moral courage in denouncing the corrupt and the incompetent but also the initiative in defending the decent and the competent from malicious, unreasonable and scurrilous attacks.</w:t>
      </w:r>
    </w:p>
    <w:p w:rsidR="00000000" w:rsidDel="00000000" w:rsidP="00000000" w:rsidRDefault="00000000" w:rsidRPr="00000000" w14:paraId="000002E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 as there are some dishonest judges, there are also some unscrupulous lawyers who want to win at all costs. Worse, in an effort to earn more, there are lawyers who ask money from clients, allegedly to line the pockets of magistrates. Whether they actually bribe magistrates or merely increase their earnings unethically, such practice is reprehensible and should be condemned by all lawyers of integrity. </w:t>
      </w:r>
    </w:p>
    <w:p w:rsidR="00000000" w:rsidDel="00000000" w:rsidP="00000000" w:rsidRDefault="00000000" w:rsidRPr="00000000" w14:paraId="000002E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also denounce most vehemently some lawyers' habit of terrorizing decent and competent judges with threats of administrative complaints. Thus, the promotion of deserving magistrates are sometimes stymied or delayed. The mere pendency of these baseless charges is enough to hinder the Judicial and Bar Council from processing their otherwise deserving promotions. </w:t>
      </w:r>
    </w:p>
    <w:p w:rsidR="00000000" w:rsidDel="00000000" w:rsidP="00000000" w:rsidRDefault="00000000" w:rsidRPr="00000000" w14:paraId="000002E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summarize, if my presence tonight will have any lasting significance and if you are lending me twenty minutes of your precious attention and time will have any worth, please remember this. To win the hearts and the esteem of the Supreme Court, there are two "E" words to live by: excellence and ethics. If you develop these two values to perfection, I assure you of success, not just in winning cas in the Supreme Court, but also in gaining the respect and the admiration of the justices. </w:t>
      </w:r>
    </w:p>
    <w:p w:rsidR="00000000" w:rsidDel="00000000" w:rsidP="00000000" w:rsidRDefault="00000000" w:rsidRPr="00000000" w14:paraId="000002E9">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Maraming salamat po.</w:t>
      </w:r>
    </w:p>
    <w:p w:rsidR="00000000" w:rsidDel="00000000" w:rsidP="00000000" w:rsidRDefault="00000000" w:rsidRPr="00000000" w14:paraId="000002E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E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E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E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E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E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9">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FD">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FE">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6</w:t>
      </w:r>
    </w:p>
    <w:p w:rsidR="00000000" w:rsidDel="00000000" w:rsidP="00000000" w:rsidRDefault="00000000" w:rsidRPr="00000000" w14:paraId="000002FF">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0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Veracious and Venerable Magistrate</w:t>
      </w:r>
    </w:p>
    <w:p w:rsidR="00000000" w:rsidDel="00000000" w:rsidP="00000000" w:rsidRDefault="00000000" w:rsidRPr="00000000" w14:paraId="0000030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0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behalf of the Supreme Court, I welcome all of you to this newly renovated, awesome, serene and majestic temple of justice in our country. You may be pleased to know that this Session Hall where we are holding our program has just been reopened last Tuesday, April 1, 2003 after being refurbished under the direction of our honoree, Mr. Justice Vicente V. Mendoza. The renovations of this Hall and several other parts of our building, including the construction of a new Division Hearing Room on the ground floor, are part of our honoree's legacy to the Court. </w:t>
      </w:r>
    </w:p>
    <w:p w:rsidR="00000000" w:rsidDel="00000000" w:rsidP="00000000" w:rsidRDefault="00000000" w:rsidRPr="00000000" w14:paraId="0000030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am greatly honored at being chosen by Mr. Justice Vicente V. Mendoza to deliver the Opening Remarks in today's program commemorating his retirement from the Supreme Court. To fulfill my delicate task of setting the proper theme, tone and cadence of this afternoon's proceedings, I decided to speak from the heart and to relate my personal impressions of our honoree. After all, the official appreciation of the entire Court is elegantly expressed in a Plaque that will be read later on during these ceremonies.</w:t>
      </w:r>
    </w:p>
    <w:p w:rsidR="00000000" w:rsidDel="00000000" w:rsidP="00000000" w:rsidRDefault="00000000" w:rsidRPr="00000000" w14:paraId="00000304">
      <w:pPr>
        <w:spacing w:after="80" w:before="80" w:lineRule="auto"/>
        <w:ind w:firstLine="36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Initial Impressions</w:t>
      </w:r>
    </w:p>
    <w:p w:rsidR="00000000" w:rsidDel="00000000" w:rsidP="00000000" w:rsidRDefault="00000000" w:rsidRPr="00000000" w14:paraId="0000030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Prior to my joining the Court in 1995, Mr. Justice Mendoza was a distant star. True, I had telescoped him from afar and learned of his solid reputation as a respected Court of Appeals justice, a hardworking assistant solicitor general and a scholarly professor of constitutional law. But we  had no personal dealings or close friendship to speak about. However, a few months into the Court, I quickly learned to look up to him as a model of how a magistrate of  the High Court should comport himself in public and in private. In my esteem, he has become one of the brightest, calmest, most diligent and most trustworthy jurists I have ever met. </w:t>
      </w:r>
    </w:p>
    <w:p w:rsidR="00000000" w:rsidDel="00000000" w:rsidP="00000000" w:rsidRDefault="00000000" w:rsidRPr="00000000" w14:paraId="0000030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True to his humble, almost self-effacing nature, Mr. Justice Mendoza does not actively volunteer his views on every question placed on our agenda. But he is always ready, when asked, to render an in-depth and a well-studied advice. He speaks in a slow, modulated baritone that exhibits a natural sense of order emanating from a logic-driven mind. The deliberate manner in which he delivers his carefully d, chosen words inspires confidence and concurrence. Indeed, he explains with the methodology of a teacher, the clarity of a savant, the finesse of an artist and the passion of a love all of which he is. </w:t>
      </w:r>
    </w:p>
    <w:p w:rsidR="00000000" w:rsidDel="00000000" w:rsidP="00000000" w:rsidRDefault="00000000" w:rsidRPr="00000000" w14:paraId="0000030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his written opinions, whether representing those of the majority or of the minority, are always carefully phrased, grammatically precise, and minutely calibrated to express as accurately as possible the principle expounded and the limitation within which they can be used.</w:t>
      </w:r>
    </w:p>
    <w:p w:rsidR="00000000" w:rsidDel="00000000" w:rsidP="00000000" w:rsidRDefault="00000000" w:rsidRPr="00000000" w14:paraId="0000030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 is always mindful of the advice of his fellow scholar and co-author, Professor Paul A. Freund of the Harvard Law School, who said: "Judging is a high art, and the judge, like the artist, must feel that the shoddy is an offense against his medium, as a lie is a sin against language.” Indeed, in his judicial pronouncements, Mr. Justice Mendoza is always prudent, never shoddy; and in his language, always precise, never tentative. He is moved, never by pique and spite, never by prejudice and vindictiveness, but always by deliberate and well-studied choice.</w:t>
      </w:r>
    </w:p>
    <w:p w:rsidR="00000000" w:rsidDel="00000000" w:rsidP="00000000" w:rsidRDefault="00000000" w:rsidRPr="00000000" w14:paraId="0000030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Private Person</w:t>
      </w:r>
    </w:p>
    <w:p w:rsidR="00000000" w:rsidDel="00000000" w:rsidP="00000000" w:rsidRDefault="00000000" w:rsidRPr="00000000" w14:paraId="0000030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contrast to his distant, majestic and almost stoic public image, he is in private a very friendly and congenial person. During our informal lunches and meetings, he would freely exchange jokes and repartees with us. He would begin a conversation with an almost wry affability but would eventually break out into a beaming, infectious and disarming smile. </w:t>
      </w:r>
    </w:p>
    <w:p w:rsidR="00000000" w:rsidDel="00000000" w:rsidP="00000000" w:rsidRDefault="00000000" w:rsidRPr="00000000" w14:paraId="0000030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his own assistant and staff, he is known to be a caring elder who is always interested in their mundane problems and concerns. He leads them by his example of extensive research, thorough study, and long working hours even during weekends and holidays. A natural mentor, he likes to needle his subordinates for their less than perfect reports; but at the same time, he is informal enough to break bread with them at lunchtime. In short, he is a demanding disciplinarian when it comes to work, but a sensitive and considerate elder with regard to personal relations. </w:t>
      </w:r>
    </w:p>
    <w:p w:rsidR="00000000" w:rsidDel="00000000" w:rsidP="00000000" w:rsidRDefault="00000000" w:rsidRPr="00000000" w14:paraId="0000030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 young bachelor, Mr. Justice Mendoza was shy and reserved. It took him five long years to court his wife, Thelma. She finally said "yes" only after he had repeatedly but very privately crooned to her his favorite ballad popularized in the 1950s by his </w:t>
      </w:r>
      <w:r w:rsidDel="00000000" w:rsidR="00000000" w:rsidRPr="00000000">
        <w:rPr>
          <w:rFonts w:ascii="Georgia" w:cs="Georgia" w:eastAsia="Georgia" w:hAnsi="Georgia"/>
          <w:i w:val="1"/>
          <w:iCs w:val="1"/>
          <w:rtl w:val="0"/>
        </w:rPr>
        <w:t xml:space="preserve">tocayo</w:t>
      </w:r>
      <w:r w:rsidDel="00000000" w:rsidR="00000000" w:rsidRPr="00000000">
        <w:rPr>
          <w:rFonts w:ascii="Georgia" w:cs="Georgia" w:eastAsia="Georgia" w:hAnsi="Georgia"/>
          <w:rtl w:val="0"/>
        </w:rPr>
        <w:t xml:space="preserve">, Vic Damone, entitled "In My Own Quiet Way." I will quote portions of the song that capture the winning, wooing style of Justice Vic:</w:t>
      </w:r>
    </w:p>
    <w:p w:rsidR="00000000" w:rsidDel="00000000" w:rsidP="00000000" w:rsidRDefault="00000000" w:rsidRPr="00000000" w14:paraId="0000030D">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 am not the kind who sighs</w:t>
      </w:r>
    </w:p>
    <w:p w:rsidR="00000000" w:rsidDel="00000000" w:rsidP="00000000" w:rsidRDefault="00000000" w:rsidRPr="00000000" w14:paraId="0000030E">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Every time you wander by </w:t>
      </w:r>
    </w:p>
    <w:p w:rsidR="00000000" w:rsidDel="00000000" w:rsidP="00000000" w:rsidRDefault="00000000" w:rsidRPr="00000000" w14:paraId="0000030F">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Or weep when you are gone for just a day </w:t>
      </w:r>
    </w:p>
    <w:p w:rsidR="00000000" w:rsidDel="00000000" w:rsidP="00000000" w:rsidRDefault="00000000" w:rsidRPr="00000000" w14:paraId="00000310">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But still and all my dear </w:t>
      </w:r>
    </w:p>
    <w:p w:rsidR="00000000" w:rsidDel="00000000" w:rsidP="00000000" w:rsidRDefault="00000000" w:rsidRPr="00000000" w14:paraId="00000311">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 really love you in my own quiet way.</w:t>
      </w:r>
    </w:p>
    <w:p w:rsidR="00000000" w:rsidDel="00000000" w:rsidP="00000000" w:rsidRDefault="00000000" w:rsidRPr="00000000" w14:paraId="0000031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13">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 admit I'm absentminded and forgetful</w:t>
      </w:r>
    </w:p>
    <w:p w:rsidR="00000000" w:rsidDel="00000000" w:rsidP="00000000" w:rsidRDefault="00000000" w:rsidRPr="00000000" w14:paraId="00000314">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Does your birthday come in April or May? </w:t>
      </w:r>
    </w:p>
    <w:p w:rsidR="00000000" w:rsidDel="00000000" w:rsidP="00000000" w:rsidRDefault="00000000" w:rsidRPr="00000000" w14:paraId="00000315">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There are times when I am likely to be fretful </w:t>
      </w:r>
    </w:p>
    <w:p w:rsidR="00000000" w:rsidDel="00000000" w:rsidP="00000000" w:rsidRDefault="00000000" w:rsidRPr="00000000" w14:paraId="00000316">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Or I'll pick darndest moments to be shy </w:t>
      </w:r>
    </w:p>
    <w:p w:rsidR="00000000" w:rsidDel="00000000" w:rsidP="00000000" w:rsidRDefault="00000000" w:rsidRPr="00000000" w14:paraId="00000317">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But with all my faults you'll find</w:t>
      </w:r>
    </w:p>
    <w:p w:rsidR="00000000" w:rsidDel="00000000" w:rsidP="00000000" w:rsidRDefault="00000000" w:rsidRPr="00000000" w14:paraId="00000318">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I'm the true and steady kind </w:t>
      </w:r>
    </w:p>
    <w:p w:rsidR="00000000" w:rsidDel="00000000" w:rsidP="00000000" w:rsidRDefault="00000000" w:rsidRPr="00000000" w14:paraId="00000319">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And it's no lie believe me when I say </w:t>
      </w:r>
    </w:p>
    <w:p w:rsidR="00000000" w:rsidDel="00000000" w:rsidP="00000000" w:rsidRDefault="00000000" w:rsidRPr="00000000" w14:paraId="0000031A">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Deep down inside I know I'll always love you</w:t>
      </w:r>
    </w:p>
    <w:p w:rsidR="00000000" w:rsidDel="00000000" w:rsidP="00000000" w:rsidRDefault="00000000" w:rsidRPr="00000000" w14:paraId="0000031B">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In my own quiet way!"</w:t>
      </w:r>
    </w:p>
    <w:p w:rsidR="00000000" w:rsidDel="00000000" w:rsidP="00000000" w:rsidRDefault="00000000" w:rsidRPr="00000000" w14:paraId="0000031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1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Here are a few more tidbits about the private Mr. Justice Mendoza:</w:t>
      </w:r>
    </w:p>
    <w:p w:rsidR="00000000" w:rsidDel="00000000" w:rsidP="00000000" w:rsidRDefault="00000000" w:rsidRPr="00000000" w14:paraId="0000031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Every year during the last 39 years since their marriage in 1963, Justice Vic and Professor Thelma always visited at least 7 churches every Maundy Thursday. </w:t>
      </w:r>
    </w:p>
    <w:p w:rsidR="00000000" w:rsidDel="00000000" w:rsidP="00000000" w:rsidRDefault="00000000" w:rsidRPr="00000000" w14:paraId="0000031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Every New Year's Eve, he always relished </w:t>
      </w:r>
      <w:r w:rsidDel="00000000" w:rsidR="00000000" w:rsidRPr="00000000">
        <w:rPr>
          <w:rFonts w:ascii="Georgia" w:cs="Georgia" w:eastAsia="Georgia" w:hAnsi="Georgia"/>
          <w:i w:val="1"/>
          <w:iCs w:val="1"/>
          <w:rtl w:val="0"/>
        </w:rPr>
        <w:t xml:space="preserve">biringhe</w:t>
      </w:r>
      <w:r w:rsidDel="00000000" w:rsidR="00000000" w:rsidRPr="00000000">
        <w:rPr>
          <w:rFonts w:ascii="Georgia" w:cs="Georgia" w:eastAsia="Georgia" w:hAnsi="Georgia"/>
          <w:rtl w:val="0"/>
        </w:rPr>
        <w:t xml:space="preserve">, the Capampangan version of </w:t>
      </w:r>
      <w:r w:rsidDel="00000000" w:rsidR="00000000" w:rsidRPr="00000000">
        <w:rPr>
          <w:rFonts w:ascii="Georgia" w:cs="Georgia" w:eastAsia="Georgia" w:hAnsi="Georgia"/>
          <w:i w:val="1"/>
          <w:iCs w:val="1"/>
          <w:rtl w:val="0"/>
        </w:rPr>
        <w:t xml:space="preserve">arroz valenciana</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nilagang baka</w:t>
      </w:r>
      <w:r w:rsidDel="00000000" w:rsidR="00000000" w:rsidRPr="00000000">
        <w:rPr>
          <w:rFonts w:ascii="Georgia" w:cs="Georgia" w:eastAsia="Georgia" w:hAnsi="Georgia"/>
          <w:rtl w:val="0"/>
        </w:rPr>
        <w:t xml:space="preserve"> with </w:t>
      </w:r>
      <w:r w:rsidDel="00000000" w:rsidR="00000000" w:rsidRPr="00000000">
        <w:rPr>
          <w:rFonts w:ascii="Georgia" w:cs="Georgia" w:eastAsia="Georgia" w:hAnsi="Georgia"/>
          <w:i w:val="1"/>
          <w:iCs w:val="1"/>
          <w:rtl w:val="0"/>
        </w:rPr>
        <w:t xml:space="preserve">chorizo</w:t>
      </w:r>
      <w:r w:rsidDel="00000000" w:rsidR="00000000" w:rsidRPr="00000000">
        <w:rPr>
          <w:rFonts w:ascii="Georgia" w:cs="Georgia" w:eastAsia="Georgia" w:hAnsi="Georgia"/>
          <w:rtl w:val="0"/>
        </w:rPr>
        <w:t xml:space="preserve">, as well as hot chocolate drink - no, not instant variety, but that which is beaten in a </w:t>
      </w:r>
      <w:r w:rsidDel="00000000" w:rsidR="00000000" w:rsidRPr="00000000">
        <w:rPr>
          <w:rFonts w:ascii="Georgia" w:cs="Georgia" w:eastAsia="Georgia" w:hAnsi="Georgia"/>
          <w:i w:val="1"/>
          <w:iCs w:val="1"/>
          <w:rtl w:val="0"/>
        </w:rPr>
        <w:t xml:space="preserve">batirol</w:t>
      </w:r>
      <w:r w:rsidDel="00000000" w:rsidR="00000000" w:rsidRPr="00000000">
        <w:rPr>
          <w:rFonts w:ascii="Georgia" w:cs="Georgia" w:eastAsia="Georgia" w:hAnsi="Georgia"/>
          <w:rtl w:val="0"/>
        </w:rPr>
        <w:t xml:space="preserve"> from round chocolate balls. </w:t>
      </w:r>
    </w:p>
    <w:p w:rsidR="00000000" w:rsidDel="00000000" w:rsidP="00000000" w:rsidRDefault="00000000" w:rsidRPr="00000000" w14:paraId="0000032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Whenever a birthday is celebrated, there has to be a pancit</w:t>
      </w:r>
      <w:r w:rsidDel="00000000" w:rsidR="00000000" w:rsidRPr="00000000">
        <w:rPr>
          <w:rFonts w:ascii="Georgia" w:cs="Georgia" w:eastAsia="Georgia" w:hAnsi="Georgia"/>
          <w:i w:val="1"/>
          <w:iCs w:val="1"/>
          <w:rtl w:val="0"/>
        </w:rPr>
        <w:t xml:space="preserve"> </w:t>
      </w:r>
      <w:r w:rsidDel="00000000" w:rsidR="00000000" w:rsidRPr="00000000">
        <w:rPr>
          <w:rFonts w:ascii="Georgia" w:cs="Georgia" w:eastAsia="Georgia" w:hAnsi="Georgia"/>
          <w:rtl w:val="0"/>
        </w:rPr>
        <w:t xml:space="preserve">to celebrate a long life. </w:t>
      </w:r>
    </w:p>
    <w:p w:rsidR="00000000" w:rsidDel="00000000" w:rsidP="00000000" w:rsidRDefault="00000000" w:rsidRPr="00000000" w14:paraId="0000032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His favorite dishes are </w:t>
      </w:r>
      <w:r w:rsidDel="00000000" w:rsidR="00000000" w:rsidRPr="00000000">
        <w:rPr>
          <w:rFonts w:ascii="Georgia" w:cs="Georgia" w:eastAsia="Georgia" w:hAnsi="Georgia"/>
          <w:i w:val="1"/>
          <w:iCs w:val="1"/>
          <w:rtl w:val="0"/>
        </w:rPr>
        <w:t xml:space="preserve">pesang dalag</w:t>
      </w:r>
      <w:r w:rsidDel="00000000" w:rsidR="00000000" w:rsidRPr="00000000">
        <w:rPr>
          <w:rFonts w:ascii="Georgia" w:cs="Georgia" w:eastAsia="Georgia" w:hAnsi="Georgia"/>
          <w:rtl w:val="0"/>
        </w:rPr>
        <w:t xml:space="preserve"> with </w:t>
      </w:r>
      <w:r w:rsidDel="00000000" w:rsidR="00000000" w:rsidRPr="00000000">
        <w:rPr>
          <w:rFonts w:ascii="Georgia" w:cs="Georgia" w:eastAsia="Georgia" w:hAnsi="Georgia"/>
          <w:i w:val="1"/>
          <w:iCs w:val="1"/>
          <w:rtl w:val="0"/>
        </w:rPr>
        <w:t xml:space="preserve">buro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inihaw na hito</w:t>
      </w:r>
      <w:r w:rsidDel="00000000" w:rsidR="00000000" w:rsidRPr="00000000">
        <w:rPr>
          <w:rFonts w:ascii="Georgia" w:cs="Georgia" w:eastAsia="Georgia" w:hAnsi="Georgia"/>
          <w:rtl w:val="0"/>
        </w:rPr>
        <w:t xml:space="preserve"> with </w:t>
      </w:r>
      <w:r w:rsidDel="00000000" w:rsidR="00000000" w:rsidRPr="00000000">
        <w:rPr>
          <w:rFonts w:ascii="Georgia" w:cs="Georgia" w:eastAsia="Georgia" w:hAnsi="Georgia"/>
          <w:i w:val="1"/>
          <w:iCs w:val="1"/>
          <w:rtl w:val="0"/>
        </w:rPr>
        <w:t xml:space="preserve">atsarang kamias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alige ng talangka, tinolang palaka</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adobong camaro</w:t>
      </w:r>
      <w:r w:rsidDel="00000000" w:rsidR="00000000" w:rsidRPr="00000000">
        <w:rPr>
          <w:rFonts w:ascii="Georgia" w:cs="Georgia" w:eastAsia="Georgia" w:hAnsi="Georgia"/>
          <w:rtl w:val="0"/>
        </w:rPr>
        <w:t xml:space="preserve"> or crickets. His idea of heaven on a Sunday morning is salted fresh carabao milk mixed with hot steamed rice, scooped with his bare fingers. </w:t>
      </w:r>
    </w:p>
    <w:p w:rsidR="00000000" w:rsidDel="00000000" w:rsidP="00000000" w:rsidRDefault="00000000" w:rsidRPr="00000000" w14:paraId="0000032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his early years as a father to two sons and one daughter, he tended to be protective, strict and distant, but not confrontational. He had long ago laid down the household rules and expected all of them to observe them strictly. He exacted simple values: respect for elders, honesty, responsibility and observance of the golden rule. He was the stern </w:t>
      </w:r>
      <w:r w:rsidDel="00000000" w:rsidR="00000000" w:rsidRPr="00000000">
        <w:rPr>
          <w:rFonts w:ascii="Georgia" w:cs="Georgia" w:eastAsia="Georgia" w:hAnsi="Georgia"/>
          <w:i w:val="1"/>
          <w:iCs w:val="1"/>
          <w:rtl w:val="0"/>
        </w:rPr>
        <w:t xml:space="preserve">padre de familia</w:t>
      </w:r>
      <w:r w:rsidDel="00000000" w:rsidR="00000000" w:rsidRPr="00000000">
        <w:rPr>
          <w:rFonts w:ascii="Georgia" w:cs="Georgia" w:eastAsia="Georgia" w:hAnsi="Georgia"/>
          <w:rtl w:val="0"/>
        </w:rPr>
        <w:t xml:space="preserve">, not a back-slapping </w:t>
      </w:r>
      <w:r w:rsidDel="00000000" w:rsidR="00000000" w:rsidRPr="00000000">
        <w:rPr>
          <w:rFonts w:ascii="Georgia" w:cs="Georgia" w:eastAsia="Georgia" w:hAnsi="Georgia"/>
          <w:i w:val="1"/>
          <w:iCs w:val="1"/>
          <w:rtl w:val="0"/>
        </w:rPr>
        <w:t xml:space="preserve">barkada</w:t>
      </w:r>
      <w:r w:rsidDel="00000000" w:rsidR="00000000" w:rsidRPr="00000000">
        <w:rPr>
          <w:rFonts w:ascii="Georgia" w:cs="Georgia" w:eastAsia="Georgia" w:hAnsi="Georgia"/>
          <w:rtl w:val="0"/>
        </w:rPr>
        <w:t xml:space="preserve"> to his children. He preferred to talk to them indirectly by asking Thelma to "tell them this" or "tell them that."</w:t>
      </w:r>
    </w:p>
    <w:p w:rsidR="00000000" w:rsidDel="00000000" w:rsidP="00000000" w:rsidRDefault="00000000" w:rsidRPr="00000000" w14:paraId="0000032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Still and all, behind the tough veneer is the soft-hearted father. Up to now he uses his children's childhood pictures as bookmarks and fusses over their juvenile drawings and sketches. He keeps an album of every picture and letter they had sent him until they left the family residence many years ago.</w:t>
      </w:r>
    </w:p>
    <w:p w:rsidR="00000000" w:rsidDel="00000000" w:rsidP="00000000" w:rsidRDefault="00000000" w:rsidRPr="00000000" w14:paraId="0000032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underneath his stoic expression is a sentimental father who sheds tears of joy every now and then over a child's great achievement, or tears of compassion over a crushing failure or disappointment. But if there is anyone who can make this giant jurist dance on a rope, it is his eldest granddaughter, the apple and orange of his eye. No one, but no one, dares to interrupt his work - certainly not his Supreme Court session - except this little girl. So, when he is really in a bad mood, when he is under insurmountable stress, there is only one sedative and therapy: a hug or even just a phone call from little Allyn. </w:t>
      </w:r>
    </w:p>
    <w:p w:rsidR="00000000" w:rsidDel="00000000" w:rsidP="00000000" w:rsidRDefault="00000000" w:rsidRPr="00000000" w14:paraId="0000032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Disciplined Jurist </w:t>
      </w:r>
    </w:p>
    <w:p w:rsidR="00000000" w:rsidDel="00000000" w:rsidP="00000000" w:rsidRDefault="00000000" w:rsidRPr="00000000" w14:paraId="0000032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 jurist, Justice Mendoza may be characterized as traditional and conservative in the sense that he is a stickler for rules. His mind is very disciplined, methodical and deliberate. His every word and action always carries the authority or backing of some law or precedent. He does not invent or second-guess. He always moves with certainty, predictability and finality. That is why it is easy to concur in his ponencias, but difficult to dissent from them. </w:t>
      </w:r>
    </w:p>
    <w:p w:rsidR="00000000" w:rsidDel="00000000" w:rsidP="00000000" w:rsidRDefault="00000000" w:rsidRPr="00000000" w14:paraId="0000032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every petitioner and pleader, he demands proof of </w:t>
      </w:r>
      <w:r w:rsidDel="00000000" w:rsidR="00000000" w:rsidRPr="00000000">
        <w:rPr>
          <w:rFonts w:ascii="Georgia" w:cs="Georgia" w:eastAsia="Georgia" w:hAnsi="Georgia"/>
          <w:i w:val="1"/>
          <w:iCs w:val="1"/>
          <w:rtl w:val="0"/>
        </w:rPr>
        <w:t xml:space="preserve">standing</w:t>
      </w:r>
      <w:r w:rsidDel="00000000" w:rsidR="00000000" w:rsidRPr="00000000">
        <w:rPr>
          <w:rFonts w:ascii="Georgia" w:cs="Georgia" w:eastAsia="Georgia" w:hAnsi="Georgia"/>
          <w:rtl w:val="0"/>
        </w:rPr>
        <w:t xml:space="preserve">. He does not heed a person who cannot show  any direct and viable interest in a judicial undertaking. He wants to be sure that no interloper or pretender would dilute the purity of judicial proceedings.</w:t>
      </w:r>
    </w:p>
    <w:p w:rsidR="00000000" w:rsidDel="00000000" w:rsidP="00000000" w:rsidRDefault="00000000" w:rsidRPr="00000000" w14:paraId="0000032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the same token, he ardently believes that "the power of judicial review is premised on the existence of an actual case or controversy." To buttress this belief, he often cites Justice Felix Frankfurter and Professor Alexander M. Bickel, who both said that the concepts of standing and case and controversy tend to ensure that the "hopes and prophecies expressed in legislation [would be] tested in the actual workings of our society."</w:t>
      </w:r>
    </w:p>
    <w:p w:rsidR="00000000" w:rsidDel="00000000" w:rsidP="00000000" w:rsidRDefault="00000000" w:rsidRPr="00000000" w14:paraId="0000032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these reasons, he rules narrowly - ever careful to excise obiters, extravagance and bravado from his ponencias. Justified by a passion for unfettered fairness, he follows to the letter the wise advice of one of his favorite American magistrates, Mr. Justice Benjamin Nathan Cardozo, who explained:</w:t>
      </w:r>
    </w:p>
    <w:p w:rsidR="00000000" w:rsidDel="00000000" w:rsidP="00000000" w:rsidRDefault="00000000" w:rsidRPr="00000000" w14:paraId="0000032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judge, even when he is free, is not wholly free. He is not to innovate at pleasure. He is not a knight-errant, roaming at will in the pursuit of his own ideal of beauty or of goodness. He is to draw his inspiration from consecrated principles. He is not to yield to spasmodic sentiments, to vague and unregulated benevolence. He is to exercise a discretion informed by tradition, methodized by analogy, disciplined by system and subordinated to the primordial necessity of order in social life. Wide enough in all conscience is the field of discretion that remains.”</w:t>
      </w:r>
    </w:p>
    <w:p w:rsidR="00000000" w:rsidDel="00000000" w:rsidP="00000000" w:rsidRDefault="00000000" w:rsidRPr="00000000" w14:paraId="0000032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Unlike our honoree, I do not always abide by Cardozo. I do not always follow tradition. Neither am I methodized by analogy or imprisoned by precedent. Sometimes, I like to blaze new trails, to be eclectic, to be daring, to be revolutionary. However, that does not lessen my admiration and awe of Mr. Justice Mendoza. Strangely enough, it is this very difference in legal philosophy and methodology that attracts me to and causes my unbending esteem for him. I admire his tenacity, consistency and insistence on the welltrodden path, on jurisprudential principles tested by time and opportunity. </w:t>
      </w:r>
    </w:p>
    <w:p w:rsidR="00000000" w:rsidDel="00000000" w:rsidP="00000000" w:rsidRDefault="00000000" w:rsidRPr="00000000" w14:paraId="0000032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Although I do not always concur in all his ponencias, and although he does not always agree with mine, I always - without exception - seek his views on all important issues deliberated upon by the Court. And even during those occasions when I suspect beforehand that his opinion may be opposite mine, I still consciously seek it anyway. And he never withholds it, because we both realize that the Supreme Court thrives in a kettle of free ideas where truth, fairness and justice can be distilled only after all sides, including the most outlandish ones, have been poured out and percolated.</w:t>
      </w:r>
    </w:p>
    <w:p w:rsidR="00000000" w:rsidDel="00000000" w:rsidP="00000000" w:rsidRDefault="00000000" w:rsidRPr="00000000" w14:paraId="0000032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we discuss and debate animatedly, even ardently. Although we disagree on ideas, philosophies and other matters of the mind, we never carry those difficulties on a personal plane, much less on an emotional level. In short, our differences are focused on the arguments, never on the person. While our minds may clash some of the time, our friendship is robust and pleasant all the time.</w:t>
      </w:r>
    </w:p>
    <w:p w:rsidR="00000000" w:rsidDel="00000000" w:rsidP="00000000" w:rsidRDefault="00000000" w:rsidRPr="00000000" w14:paraId="0000032E">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Greatest Accolades </w:t>
      </w:r>
    </w:p>
    <w:p w:rsidR="00000000" w:rsidDel="00000000" w:rsidP="00000000" w:rsidRDefault="00000000" w:rsidRPr="00000000" w14:paraId="0000032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Verily, I believe that the greatest accolades to Mr. Justice Mendoza comes not from those who always agree with him, but from those who, from time to time, disagree with him honestly and sincerely; yet have no doubt of his single-mindedness of purpose, his unflinching honesty of opinion and his clarity of thought. His most prized commendations come from his erstwhile critics who have become his new converts.</w:t>
      </w:r>
    </w:p>
    <w:p w:rsidR="00000000" w:rsidDel="00000000" w:rsidP="00000000" w:rsidRDefault="00000000" w:rsidRPr="00000000" w14:paraId="0000033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Deeply ensconced among his cherished mementos is the award given to him two months ago by </w:t>
      </w:r>
      <w:r w:rsidDel="00000000" w:rsidR="00000000" w:rsidRPr="00000000">
        <w:rPr>
          <w:rFonts w:ascii="Georgia" w:cs="Georgia" w:eastAsia="Georgia" w:hAnsi="Georgia"/>
          <w:i w:val="1"/>
          <w:iCs w:val="1"/>
          <w:rtl w:val="0"/>
        </w:rPr>
        <w:t xml:space="preserve">Bantay Katarungan</w:t>
      </w:r>
      <w:r w:rsidDel="00000000" w:rsidR="00000000" w:rsidRPr="00000000">
        <w:rPr>
          <w:rFonts w:ascii="Georgia" w:cs="Georgia" w:eastAsia="Georgia" w:hAnsi="Georgia"/>
          <w:rtl w:val="0"/>
        </w:rPr>
        <w:t xml:space="preserve"> or "Justice Watch" headed by former Senate President Jovito R. Salonga and former Justice Secretary Sedfrey A. Ordoñez. Extolled the former critics and now admirers of our distinguished honoree: </w:t>
      </w:r>
    </w:p>
    <w:p w:rsidR="00000000" w:rsidDel="00000000" w:rsidP="00000000" w:rsidRDefault="00000000" w:rsidRPr="00000000" w14:paraId="0000033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April this year, Supreme Court Justice Vicente Mendoza retired without any taint or blemish after forty one (41) years in public service. During the almost nine (9) years when he served on the Supreme Court, the High Court had to draw on his wisdom, his integrity, and independence of mind, in resolving many difficult, controversial cases. He responded with masterful craftsmanship, relying on his deep knowledge of the law and his conscience as his guide. Through his majority and dissenting opinions, he defined the place of judi power in a constitutional democracy, always striking the delicate balance between political majorities that make for popular democracy, on the one hand, and the transcendental claims enshrined in the Constitution on the other." </w:t>
      </w:r>
    </w:p>
    <w:p w:rsidR="00000000" w:rsidDel="00000000" w:rsidP="00000000" w:rsidRDefault="00000000" w:rsidRPr="00000000" w14:paraId="0000033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Today, Mr. Justice Mendoza retires. Now freed of backbreaking workload in the Court, he will no longer bear the heavy yoke of pulling the judicial cart. I am happy for our friend, but sorry for us who will be orphaned. He was a fountain of wisdom that always refreshed us. Now, with neither fountain nor water, how will his orphans quench thirst? </w:t>
      </w:r>
    </w:p>
    <w:p w:rsidR="00000000" w:rsidDel="00000000" w:rsidP="00000000" w:rsidRDefault="00000000" w:rsidRPr="00000000" w14:paraId="0000033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can talk on and on, all day long, about Mr. Justice my Mendoza until the spoken words are erased from vocabulary. But if my address today is to have any significance, I must in closing leave you two words Justice in my opinion, define the very essence of Mr. Justice Mendoza. These words are </w:t>
      </w:r>
      <w:r w:rsidDel="00000000" w:rsidR="00000000" w:rsidRPr="00000000">
        <w:rPr>
          <w:rFonts w:ascii="Georgia" w:cs="Georgia" w:eastAsia="Georgia" w:hAnsi="Georgia"/>
          <w:i w:val="1"/>
          <w:iCs w:val="1"/>
          <w:rtl w:val="0"/>
        </w:rPr>
        <w:t xml:space="preserve">veracious </w:t>
      </w:r>
      <w:r w:rsidDel="00000000" w:rsidR="00000000" w:rsidRPr="00000000">
        <w:rPr>
          <w:rFonts w:ascii="Georgia" w:cs="Georgia" w:eastAsia="Georgia" w:hAnsi="Georgia"/>
          <w:rtl w:val="0"/>
        </w:rPr>
        <w:t xml:space="preserve">and </w:t>
      </w:r>
      <w:r w:rsidDel="00000000" w:rsidR="00000000" w:rsidRPr="00000000">
        <w:rPr>
          <w:rFonts w:ascii="Georgia" w:cs="Georgia" w:eastAsia="Georgia" w:hAnsi="Georgia"/>
          <w:i w:val="1"/>
          <w:iCs w:val="1"/>
          <w:rtl w:val="0"/>
        </w:rPr>
        <w:t xml:space="preserve">venerable</w:t>
      </w:r>
      <w:r w:rsidDel="00000000" w:rsidR="00000000" w:rsidRPr="00000000">
        <w:rPr>
          <w:rFonts w:ascii="Georgia" w:cs="Georgia" w:eastAsia="Georgia" w:hAnsi="Georgia"/>
          <w:rtl w:val="0"/>
        </w:rPr>
        <w:t xml:space="preserve">: veracious to mean that he is credible, dependable, truthful and upright; and venerable to mean that he is dignified, knowledgeable, respectable and sagacious.</w:t>
      </w:r>
    </w:p>
    <w:p w:rsidR="00000000" w:rsidDel="00000000" w:rsidP="00000000" w:rsidRDefault="00000000" w:rsidRPr="00000000" w14:paraId="0000033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Friends, ladies and gentlemen, join me in remembering and applauding Mr. Justice Vicente V. Mendoza, the veracious and venerable magistrate of the Supreme Court of the Philippines. </w:t>
      </w:r>
    </w:p>
    <w:p w:rsidR="00000000" w:rsidDel="00000000" w:rsidP="00000000" w:rsidRDefault="00000000" w:rsidRPr="00000000" w14:paraId="0000033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thank you.</w:t>
      </w:r>
    </w:p>
    <w:p w:rsidR="00000000" w:rsidDel="00000000" w:rsidP="00000000" w:rsidRDefault="00000000" w:rsidRPr="00000000" w14:paraId="0000033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3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3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39">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3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3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3C">
      <w:pPr>
        <w:spacing w:after="80" w:before="80" w:lineRule="auto"/>
        <w:ind w:firstLine="36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PART II</w:t>
      </w:r>
    </w:p>
    <w:p w:rsidR="00000000" w:rsidDel="00000000" w:rsidP="00000000" w:rsidRDefault="00000000" w:rsidRPr="00000000" w14:paraId="0000033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3E">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3F">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7</w:t>
      </w:r>
    </w:p>
    <w:p w:rsidR="00000000" w:rsidDel="00000000" w:rsidP="00000000" w:rsidRDefault="00000000" w:rsidRPr="00000000" w14:paraId="00000340">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4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i w:val="1"/>
          <w:iCs w:val="1"/>
          <w:rtl w:val="0"/>
        </w:rPr>
        <w:t xml:space="preserve">Socrates v. Comelec</w:t>
      </w:r>
      <w:r w:rsidDel="00000000" w:rsidR="00000000" w:rsidRPr="00000000">
        <w:rPr>
          <w:rFonts w:ascii="Georgia" w:cs="Georgia" w:eastAsia="Georgia" w:hAnsi="Georgia"/>
          <w:b w:val="1"/>
          <w:bCs w:val="1"/>
          <w:rtl w:val="0"/>
        </w:rPr>
        <w:t xml:space="preserve"> and </w:t>
      </w:r>
      <w:r w:rsidDel="00000000" w:rsidR="00000000" w:rsidRPr="00000000">
        <w:rPr>
          <w:rFonts w:ascii="Georgia" w:cs="Georgia" w:eastAsia="Georgia" w:hAnsi="Georgia"/>
          <w:b w:val="1"/>
          <w:bCs w:val="1"/>
          <w:i w:val="1"/>
          <w:iCs w:val="1"/>
          <w:rtl w:val="0"/>
        </w:rPr>
        <w:t xml:space="preserve">Mendoza v. Comelec</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342">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Limits of the Three-Term Limit </w:t>
      </w:r>
    </w:p>
    <w:p w:rsidR="00000000" w:rsidDel="00000000" w:rsidP="00000000" w:rsidRDefault="00000000" w:rsidRPr="00000000" w14:paraId="0000034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4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Constitution and the Local Government Code (RA 7160) state that no elective local officials, like governors and mayors, "shall serve for more than three consecutive terms." Furthermore, "[voluntary renunciation of the office x x x shall not be considered as an interruption" in determining the consecutive nature of the terms. </w:t>
      </w:r>
    </w:p>
    <w:p w:rsidR="00000000" w:rsidDel="00000000" w:rsidP="00000000" w:rsidRDefault="00000000" w:rsidRPr="00000000" w14:paraId="0000034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extent and the coverage of this three-term limit of elective local officials were tested in Socrates v. Comelec and Mendoza v. Comelec.</w:t>
      </w:r>
    </w:p>
    <w:p w:rsidR="00000000" w:rsidDel="00000000" w:rsidP="00000000" w:rsidRDefault="00000000" w:rsidRPr="00000000" w14:paraId="00000346">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4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Article X of the Constitution, states:</w:t>
      </w:r>
    </w:p>
    <w:p w:rsidR="00000000" w:rsidDel="00000000" w:rsidP="00000000" w:rsidRDefault="00000000" w:rsidRPr="00000000" w14:paraId="0000034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term of office of elective local officials, except baranga be determined by law, shall be three years and no such official shall serve three consecutive terms. Voluntary renunciation of the office for any not be considered as an interruption in the continuity of his service for the full term for which he was elected." </w:t>
      </w:r>
    </w:p>
    <w:p w:rsidR="00000000" w:rsidDel="00000000" w:rsidP="00000000" w:rsidRDefault="00000000" w:rsidRPr="00000000" w14:paraId="0000034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43 (b) of RA 7160, The Local Government Code, provides: </w:t>
      </w:r>
    </w:p>
    <w:p w:rsidR="00000000" w:rsidDel="00000000" w:rsidP="00000000" w:rsidRDefault="00000000" w:rsidRPr="00000000" w14:paraId="0000034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 local elective official shall serve for more than three (3) consecutive terms in the same position. Voluntary renunciation of the office for any length of time shall not be considered as an interruption in the continuity of service for the full term for which the elective official concerned was elected." </w:t>
      </w:r>
    </w:p>
    <w:p w:rsidR="00000000" w:rsidDel="00000000" w:rsidP="00000000" w:rsidRDefault="00000000" w:rsidRPr="00000000" w14:paraId="0000034B">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4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Antecedents in </w:t>
      </w:r>
    </w:p>
    <w:p w:rsidR="00000000" w:rsidDel="00000000" w:rsidP="00000000" w:rsidRDefault="00000000" w:rsidRPr="00000000" w14:paraId="0000034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Socrates v. Comelec </w:t>
      </w:r>
    </w:p>
    <w:p w:rsidR="00000000" w:rsidDel="00000000" w:rsidP="00000000" w:rsidRDefault="00000000" w:rsidRPr="00000000" w14:paraId="0000034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summarize the facts in the first case (</w:t>
      </w:r>
      <w:r w:rsidDel="00000000" w:rsidR="00000000" w:rsidRPr="00000000">
        <w:rPr>
          <w:rFonts w:ascii="Georgia" w:cs="Georgia" w:eastAsia="Georgia" w:hAnsi="Georgia"/>
          <w:i w:val="1"/>
          <w:iCs w:val="1"/>
          <w:rtl w:val="0"/>
        </w:rPr>
        <w:t xml:space="preserve">Socrates</w:t>
      </w:r>
      <w:r w:rsidDel="00000000" w:rsidR="00000000" w:rsidRPr="00000000">
        <w:rPr>
          <w:rFonts w:ascii="Georgia" w:cs="Georgia" w:eastAsia="Georgia" w:hAnsi="Georgia"/>
          <w:rtl w:val="0"/>
        </w:rPr>
        <w:t xml:space="preserve">) insofar as they are relevant to the coverage of the three-term limit.</w:t>
      </w:r>
    </w:p>
    <w:p w:rsidR="00000000" w:rsidDel="00000000" w:rsidP="00000000" w:rsidRDefault="00000000" w:rsidRPr="00000000" w14:paraId="0000034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Edward M. Hagedorn was elected during the 1992, 1995 and 1998 elections and served in full these three consecutive terms as mayor of Puerta Princesa. Conscious that he was disqualified from a fourth consecutive term, he did not run as mayor in the 2001 elections.</w:t>
      </w:r>
    </w:p>
    <w:p w:rsidR="00000000" w:rsidDel="00000000" w:rsidP="00000000" w:rsidRDefault="00000000" w:rsidRPr="00000000" w14:paraId="0000035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Instead, Victorino Dennis M. Socrates was elected mayor of that city during the 2001 elections. However, his term was cut short by a recall initiated on July 2, 2002, by 312 out of the 525 members of the then incumbent barangay officials of Puerta Princesa, who convened themselves into a Preparatory Recall Assembly (PRA). </w:t>
      </w:r>
    </w:p>
    <w:p w:rsidR="00000000" w:rsidDel="00000000" w:rsidP="00000000" w:rsidRDefault="00000000" w:rsidRPr="00000000" w14:paraId="0000035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recall elections held on September 24, 2002, Hagedorn, Socrates and Vicente S. Sandoval Jr. ran and were voted for by the electorate, with the following results: </w:t>
      </w:r>
    </w:p>
    <w:p w:rsidR="00000000" w:rsidDel="00000000" w:rsidP="00000000" w:rsidRDefault="00000000" w:rsidRPr="00000000" w14:paraId="0000035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Hagedorn</w:t>
        <w:tab/>
        <w:tab/>
        <w:t xml:space="preserve">20,238 votes</w:t>
      </w:r>
    </w:p>
    <w:p w:rsidR="00000000" w:rsidDel="00000000" w:rsidP="00000000" w:rsidRDefault="00000000" w:rsidRPr="00000000" w14:paraId="0000035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Socrates</w:t>
        <w:tab/>
        <w:tab/>
        <w:t xml:space="preserve">17,220 votes </w:t>
      </w:r>
    </w:p>
    <w:p w:rsidR="00000000" w:rsidDel="00000000" w:rsidP="00000000" w:rsidRDefault="00000000" w:rsidRPr="00000000" w14:paraId="0000035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Sandoval</w:t>
        <w:tab/>
        <w:tab/>
        <w:t xml:space="preserve">13,241 votes</w:t>
      </w:r>
    </w:p>
    <w:p w:rsidR="00000000" w:rsidDel="00000000" w:rsidP="00000000" w:rsidRDefault="00000000" w:rsidRPr="00000000" w14:paraId="0000035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instant case, petitioner claims that Hagedorn, the candidate who gathered the highest number of votes, cannot sit as mayor, because he was not qualified to run in the recall election. Allegedly, the three-term limit barred him from running as mayor in that recall election.</w:t>
      </w:r>
    </w:p>
    <w:p w:rsidR="00000000" w:rsidDel="00000000" w:rsidP="00000000" w:rsidRDefault="00000000" w:rsidRPr="00000000" w14:paraId="00000356">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Recall Election is </w:t>
      </w:r>
    </w:p>
    <w:p w:rsidR="00000000" w:rsidDel="00000000" w:rsidP="00000000" w:rsidRDefault="00000000" w:rsidRPr="00000000" w14:paraId="00000357">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Not "Immediate" Reelection </w:t>
      </w:r>
    </w:p>
    <w:p w:rsidR="00000000" w:rsidDel="00000000" w:rsidP="00000000" w:rsidRDefault="00000000" w:rsidRPr="00000000" w14:paraId="0000035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 Decision written by Justice Antonio T. Carpio, the Court ruled that Hagedorn was no longer covered by the three-term rule. "After [he] ceased to be mayor on June 30, 2001, he became a private citizen until the recall election of September 24, 2002 when he won by 3,018 votes over his closest opponent, Socrates." Explained the Court: </w:t>
      </w:r>
    </w:p>
    <w:p w:rsidR="00000000" w:rsidDel="00000000" w:rsidP="00000000" w:rsidRDefault="00000000" w:rsidRPr="00000000" w14:paraId="0000035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case of Hagedorn, his candidacy in the recall election on September 24, 2002 is not an immediate reelection after his third consecutive term which ended on June 30, 2001. The immediate reelection that the Constitution barred Hagedorn from seeking referred to the regular elections in 2001. Hagedorn did not seek reelection in the 2001 elections.</w:t>
      </w:r>
    </w:p>
    <w:p w:rsidR="00000000" w:rsidDel="00000000" w:rsidP="00000000" w:rsidRDefault="00000000" w:rsidRPr="00000000" w14:paraId="0000035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"Hagedorn was elected for three consecutive terms in the 1992, 1995 and 1998 elections and served in full his three consecutive terms as mayor of Puerto Princesa. Under the Constitution and the Local Government Code, Hagedorn could no longer run for mayor in the 2001 elections. The Constitution and the Local Government Code disqualified Hagedorn, who had reached the maximum three-term limit, from running for a fourth consecutive term as mayor. Thus, Hagedorn did not run for mayor in the 2001 elections. Socrates ran and won as mayor of Puerto Princesa in the 2001 elections. After Hagedorn ceased to be mayor on June 30, 2001, he became a private citizen until the recall election of September 24, 2002 when he won by 3,018 votes over his closest opponent, Socrates.</w:t>
      </w:r>
    </w:p>
    <w:p w:rsidR="00000000" w:rsidDel="00000000" w:rsidP="00000000" w:rsidRDefault="00000000" w:rsidRPr="00000000" w14:paraId="0000035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June 30, 2001 until the recall election on September 24, 2002, the mayor of Puerto Princesa was Socrates. During the same period, Hagedorn was simply a private citizen. This period is clearly an interruption in the continuity of Hagedorn's service as mayor, not because of his voluntary renunciation, but because of a legal prohibition. Hagedorn's three consecutive terms ended on June 30, 2001. Hagedorn's new recall term from September 24, 2002 to June 30, 2004 is not a seamless continuation of his previous three consecutive terms as mayor. One cannot stitch together Hagedorn's previous three-terms with his new recall term to make the recall term a fourth consecutive term because factually it is not. An involuntary interruption occurred from June 30, 2001 to September 24, 2002 which broke the continuity or consecutive character of Hagedorn's service as mayor."</w:t>
      </w:r>
    </w:p>
    <w:p w:rsidR="00000000" w:rsidDel="00000000" w:rsidP="00000000" w:rsidRDefault="00000000" w:rsidRPr="00000000" w14:paraId="0000035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Citing </w:t>
      </w:r>
      <w:r w:rsidDel="00000000" w:rsidR="00000000" w:rsidRPr="00000000">
        <w:rPr>
          <w:rFonts w:ascii="Georgia" w:cs="Georgia" w:eastAsia="Georgia" w:hAnsi="Georgia"/>
          <w:i w:val="1"/>
          <w:iCs w:val="1"/>
          <w:rtl w:val="0"/>
        </w:rPr>
        <w:t xml:space="preserve">Lonzanida v. Comelec</w:t>
      </w:r>
      <w:r w:rsidDel="00000000" w:rsidR="00000000" w:rsidRPr="00000000">
        <w:rPr>
          <w:rFonts w:ascii="Georgia" w:cs="Georgia" w:eastAsia="Georgia" w:hAnsi="Georgia"/>
          <w:rtl w:val="0"/>
        </w:rPr>
        <w:t xml:space="preserve">, the Court explained that "</w:t>
      </w:r>
      <w:r w:rsidDel="00000000" w:rsidR="00000000" w:rsidRPr="00000000">
        <w:rPr>
          <w:rFonts w:ascii="Georgia" w:cs="Georgia" w:eastAsia="Georgia" w:hAnsi="Georgia"/>
          <w:i w:val="1"/>
          <w:iCs w:val="1"/>
          <w:rtl w:val="0"/>
        </w:rPr>
        <w:t xml:space="preserve">involuntary</w:t>
      </w:r>
      <w:r w:rsidDel="00000000" w:rsidR="00000000" w:rsidRPr="00000000">
        <w:rPr>
          <w:rFonts w:ascii="Georgia" w:cs="Georgia" w:eastAsia="Georgia" w:hAnsi="Georgia"/>
          <w:rtl w:val="0"/>
        </w:rPr>
        <w:t xml:space="preserve"> severance from office for any length of time interrupts the continuity of service. In Hagedorn's case, the nearly 15-month period he was out of office - from June 30, 2001, the last day of his third term, until September 24, 2002, the recall election date - "although short of a full term of three years,” was a sufficient interruption. </w:t>
      </w:r>
    </w:p>
    <w:p w:rsidR="00000000" w:rsidDel="00000000" w:rsidP="00000000" w:rsidRDefault="00000000" w:rsidRPr="00000000" w14:paraId="0000035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give an accurate understanding of the Decision, I will quote its conclusion verbatim:</w:t>
      </w:r>
    </w:p>
    <w:p w:rsidR="00000000" w:rsidDel="00000000" w:rsidP="00000000" w:rsidRDefault="00000000" w:rsidRPr="00000000" w14:paraId="0000035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summary, we hold that Hagedorn is qualified to run in the September 24, 2002 recall election for mayor of Puerto Princesa because:</w:t>
      </w:r>
    </w:p>
    <w:p w:rsidR="00000000" w:rsidDel="00000000" w:rsidP="00000000" w:rsidRDefault="00000000" w:rsidRPr="00000000" w14:paraId="0000035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Hagedorn is not running for immediate reelection. Following his three consecutive terms as mayor which ended on June 30, 2001; </w:t>
      </w:r>
    </w:p>
    <w:p w:rsidR="00000000" w:rsidDel="00000000" w:rsidP="00000000" w:rsidRDefault="00000000" w:rsidRPr="00000000" w14:paraId="0000036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Hagedorn's continuity of service as mayor was involuntarily interrupted from June 30, 2001 to September 24, 2002 during which time he was a private citizen; </w:t>
      </w:r>
    </w:p>
    <w:p w:rsidR="00000000" w:rsidDel="00000000" w:rsidP="00000000" w:rsidRDefault="00000000" w:rsidRPr="00000000" w14:paraId="0000036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Hagedorn's recall term from September 24, 2002 to June 30, 2004 cannot be made to retroact to June 30, 2001 to make a fourth consecutive term because factually the recall term is not a fourth consecutive term; and</w:t>
      </w:r>
    </w:p>
    <w:p w:rsidR="00000000" w:rsidDel="00000000" w:rsidP="00000000" w:rsidRDefault="00000000" w:rsidRPr="00000000" w14:paraId="0000036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Term limits should be construed strictly to give the fullest possible effect to the right of the electorate to choose their leaders.”</w:t>
      </w:r>
    </w:p>
    <w:p w:rsidR="00000000" w:rsidDel="00000000" w:rsidP="00000000" w:rsidRDefault="00000000" w:rsidRPr="00000000" w14:paraId="0000036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Puno Concurring Opinion </w:t>
      </w:r>
    </w:p>
    <w:p w:rsidR="00000000" w:rsidDel="00000000" w:rsidP="00000000" w:rsidRDefault="00000000" w:rsidRPr="00000000" w14:paraId="0000036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Puno wrote an exhaustive opinion concurring in the ponencia. He adds the following arguments:</w:t>
      </w:r>
    </w:p>
    <w:p w:rsidR="00000000" w:rsidDel="00000000" w:rsidP="00000000" w:rsidRDefault="00000000" w:rsidRPr="00000000" w14:paraId="0000036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proceedings in the Constitutional Commission show that the three-term limit simply means "no immediate reelection after three successive terms."</w:t>
      </w:r>
    </w:p>
    <w:p w:rsidR="00000000" w:rsidDel="00000000" w:rsidP="00000000" w:rsidRDefault="00000000" w:rsidRPr="00000000" w14:paraId="0000036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Citing </w:t>
      </w:r>
      <w:r w:rsidDel="00000000" w:rsidR="00000000" w:rsidRPr="00000000">
        <w:rPr>
          <w:rFonts w:ascii="Georgia" w:cs="Georgia" w:eastAsia="Georgia" w:hAnsi="Georgia"/>
          <w:i w:val="1"/>
          <w:iCs w:val="1"/>
          <w:rtl w:val="0"/>
        </w:rPr>
        <w:t xml:space="preserve">Borja v. Comelec</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Lonzanida v. Comelec,</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Adormeo v. Comelec</w:t>
      </w:r>
      <w:r w:rsidDel="00000000" w:rsidR="00000000" w:rsidRPr="00000000">
        <w:rPr>
          <w:rFonts w:ascii="Georgia" w:cs="Georgia" w:eastAsia="Georgia" w:hAnsi="Georgia"/>
          <w:rtl w:val="0"/>
        </w:rPr>
        <w:t xml:space="preserve">, Justice Puno opined that term as used in the three-term limit is service of a" full term for three years for elective local officials. x x x. Otherwise stated, it is a fourth consecutive full term that is prohibited."</w:t>
      </w:r>
    </w:p>
    <w:p w:rsidR="00000000" w:rsidDel="00000000" w:rsidP="00000000" w:rsidRDefault="00000000" w:rsidRPr="00000000" w14:paraId="0000036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purpose of putting a term limit is to "curb the undue advantage of the incumbent over other aspirants." Since Hagedorn was not the incumbent during the recall election, he did not enjoy "the undue advantage of the incumbent." </w:t>
      </w:r>
    </w:p>
    <w:p w:rsidR="00000000" w:rsidDel="00000000" w:rsidP="00000000" w:rsidRDefault="00000000" w:rsidRPr="00000000" w14:paraId="0000036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Local officials who assume office via a recall election serve only the unexpired portion of the incumbent's term, and "thus service is not counted as a full term despite the constitutional mandate that the term of Office of Elective Officials is three years." </w:t>
      </w:r>
    </w:p>
    <w:p w:rsidR="00000000" w:rsidDel="00000000" w:rsidP="00000000" w:rsidRDefault="00000000" w:rsidRPr="00000000" w14:paraId="0000036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The people have spoken, and there is no doubt that Hagedorn was their choice. The Court "cannot mute the electorate’s cry and curtail their freedom to choose their leaders."</w:t>
      </w:r>
    </w:p>
    <w:p w:rsidR="00000000" w:rsidDel="00000000" w:rsidP="00000000" w:rsidRDefault="00000000" w:rsidRPr="00000000" w14:paraId="0000036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Davide Dissent</w:t>
      </w:r>
    </w:p>
    <w:p w:rsidR="00000000" w:rsidDel="00000000" w:rsidP="00000000" w:rsidRDefault="00000000" w:rsidRPr="00000000" w14:paraId="0000036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Explaining his Dissent, Chief Justice Hilario G. Davide Jr. wrote that, having already served three terms, Hagedorn was disqualified from seeking reelection and from serving his fourth term, which began from July 1, 2001 to June 30, 2004. Stressed the Chief:</w:t>
      </w:r>
    </w:p>
    <w:p w:rsidR="00000000" w:rsidDel="00000000" w:rsidP="00000000" w:rsidRDefault="00000000" w:rsidRPr="00000000" w14:paraId="0000036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term of office covered by the May 2001 of the Constitution and Section 43(b) of R.A. No. and 7160 are clear in what is prohibited, which is the fourth term. Nothing can be clearer from the wordings thereof: 'the term of office of elective local officials... shall be three years and no such official shall serve for more than three consecutive terms.' In short, an elective local official who has served three consecutive terms, like Hagedorn, is disqualified from seeking re-election for the succeeding fourth term. The provision bars the holding of four consecutive terms.</w:t>
      </w:r>
    </w:p>
    <w:p w:rsidR="00000000" w:rsidDel="00000000" w:rsidP="00000000" w:rsidRDefault="00000000" w:rsidRPr="00000000" w14:paraId="0000036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ponencia is then correct when it holds that the three-term limit bars an immediate reelection for a fourth term. But I disagree when it rules that in the case of Hagedorn he did not seek an immediate reelection for a fourth term because he was not a candidate for reelection in the May 2001 election. It forgets that what would have been his fourth term by virtue of the May 2001 election was for the period from 30 June 2001 to 30 June 2004. The flaw in the ruling results from an apparent confusion between term and election, the root cause of which is the attempt to distinguish 'voluntary renunciation' of office from 'involuntary severance' from office and the term of office to which it relates.</w:t>
      </w:r>
    </w:p>
    <w:p w:rsidR="00000000" w:rsidDel="00000000" w:rsidP="00000000" w:rsidRDefault="00000000" w:rsidRPr="00000000" w14:paraId="0000036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dichotomy made in the ponencia between 'voluntary renunciation of the office' as used in Section 8 of Article X of the Constitution and Section 43(b) of R.A. 7160 and involuntary severance from office is unnecessary, if not misplaced. From the discussion in the ponencia, the latter is made to apply to the banned term, i.e., the fourth term immediately following three consecutive terms. Speaking now of Hagedorn, he cannot have suffered 'involuntary severance from office' because there was nothing to be severed; he was not a holder of an office either in a </w:t>
      </w:r>
      <w:r w:rsidDel="00000000" w:rsidR="00000000" w:rsidRPr="00000000">
        <w:rPr>
          <w:rFonts w:ascii="Georgia" w:cs="Georgia" w:eastAsia="Georgia" w:hAnsi="Georgia"/>
          <w:i w:val="1"/>
          <w:iCs w:val="1"/>
          <w:rtl w:val="0"/>
        </w:rPr>
        <w:t xml:space="preserve">de jure </w:t>
      </w:r>
      <w:r w:rsidDel="00000000" w:rsidR="00000000" w:rsidRPr="00000000">
        <w:rPr>
          <w:rFonts w:ascii="Georgia" w:cs="Georgia" w:eastAsia="Georgia" w:hAnsi="Georgia"/>
          <w:rtl w:val="0"/>
        </w:rPr>
        <w:t xml:space="preserve">or</w:t>
      </w:r>
      <w:r w:rsidDel="00000000" w:rsidR="00000000" w:rsidRPr="00000000">
        <w:rPr>
          <w:rFonts w:ascii="Georgia" w:cs="Georgia" w:eastAsia="Georgia" w:hAnsi="Georgia"/>
          <w:i w:val="1"/>
          <w:iCs w:val="1"/>
          <w:rtl w:val="0"/>
        </w:rPr>
        <w:t xml:space="preserve"> de facto</w:t>
      </w:r>
      <w:r w:rsidDel="00000000" w:rsidR="00000000" w:rsidRPr="00000000">
        <w:rPr>
          <w:rFonts w:ascii="Georgia" w:cs="Georgia" w:eastAsia="Georgia" w:hAnsi="Georgia"/>
          <w:rtl w:val="0"/>
        </w:rPr>
        <w:t xml:space="preserve"> capacity. He knew he was disqualified from seeking a third reelection office.   Disquialification is, definitely, not synonymous with involuntary severance. Even if we concede that involuntary severance is an act which interrupts the continuity of a term for purposes of applying the three-term principle, the rule laid down in </w:t>
      </w:r>
      <w:r w:rsidDel="00000000" w:rsidR="00000000" w:rsidRPr="00000000">
        <w:rPr>
          <w:rFonts w:ascii="Georgia" w:cs="Georgia" w:eastAsia="Georgia" w:hAnsi="Georgia"/>
          <w:i w:val="1"/>
          <w:iCs w:val="1"/>
          <w:rtl w:val="0"/>
        </w:rPr>
        <w:t xml:space="preserve">Lonzanida vs. COMELEC</w:t>
      </w:r>
      <w:r w:rsidDel="00000000" w:rsidR="00000000" w:rsidRPr="00000000">
        <w:rPr>
          <w:rFonts w:ascii="Georgia" w:cs="Georgia" w:eastAsia="Georgia" w:hAnsi="Georgia"/>
          <w:rtl w:val="0"/>
        </w:rPr>
        <w:t xml:space="preserve"> (311 SCRA 609 [1999]), cited in the ponencia, page 17, is not applicable in the case of Hagedorn. The involuntary severance referred to in that case was one that took place during any of the three terms; hence, the term during which it occurred should be excluded in the computation. In the case of Hagedorn, no such involuntary severance took place during any of his three terms brought about by his election in 1992 and reelections in 1995 and 1998. </w:t>
      </w:r>
    </w:p>
    <w:p w:rsidR="00000000" w:rsidDel="00000000" w:rsidP="00000000" w:rsidRDefault="00000000" w:rsidRPr="00000000" w14:paraId="0000036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 importantly, the voluntary renunciation, referred to in Section 8, Article X of the Constitution and Section 43(b) of R.A. No. 7160 is one that takes place at any time during either the first, second, or third term of the three consecutive terms. This is very clear from the last clause of Section 8, Article X of the Constitution, which reads: 'shall not be considered as an interruption in the continuity of his service for the full term for which he was elected. The purpose of the provision is to prevent an elective local official from voluntarily resigning from office for the purpose of circumventing the rule on the belief that the term during which he resigned would be excluded in the counting of the three-term rule. In short, the provision excluded is intended to impose a penalty on one who flouts the rule or makes a mockery of it by the simple act of resigning. Thus, applying it in the case of Hagedorn, even if he voluntarily resigned on his third term, he would still be barred from seeking reelection in the May 2001 election.</w:t>
      </w:r>
    </w:p>
    <w:p w:rsidR="00000000" w:rsidDel="00000000" w:rsidP="00000000" w:rsidRDefault="00000000" w:rsidRPr="00000000" w14:paraId="0000037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Antecedents of </w:t>
      </w:r>
    </w:p>
    <w:p w:rsidR="00000000" w:rsidDel="00000000" w:rsidP="00000000" w:rsidRDefault="00000000" w:rsidRPr="00000000" w14:paraId="0000037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Mendoza v. Comelec</w:t>
      </w:r>
    </w:p>
    <w:p w:rsidR="00000000" w:rsidDel="00000000" w:rsidP="00000000" w:rsidRDefault="00000000" w:rsidRPr="00000000" w14:paraId="0000037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second case, </w:t>
      </w:r>
      <w:r w:rsidDel="00000000" w:rsidR="00000000" w:rsidRPr="00000000">
        <w:rPr>
          <w:rFonts w:ascii="Georgia" w:cs="Georgia" w:eastAsia="Georgia" w:hAnsi="Georgia"/>
          <w:i w:val="1"/>
          <w:iCs w:val="1"/>
          <w:rtl w:val="0"/>
        </w:rPr>
        <w:t xml:space="preserve">Mendoza et al. v. Comelec</w:t>
      </w:r>
      <w:r w:rsidDel="00000000" w:rsidR="00000000" w:rsidRPr="00000000">
        <w:rPr>
          <w:rFonts w:ascii="Georgia" w:cs="Georgia" w:eastAsia="Georgia" w:hAnsi="Georgia"/>
          <w:rtl w:val="0"/>
        </w:rPr>
        <w:t xml:space="preserve">, petitioners sought to unseat Leonardo B. Roman as governor of Bataan by reason of his having allegedly exceeded the three-term limit.</w:t>
      </w:r>
    </w:p>
    <w:p w:rsidR="00000000" w:rsidDel="00000000" w:rsidP="00000000" w:rsidRDefault="00000000" w:rsidRPr="00000000" w14:paraId="0000037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Roman won the recall election in 1993 and served the remainder of'that term, which ended on June 30, 1995. Thereafter, he was reelected in 1995, 1998, and 2001. </w:t>
      </w:r>
    </w:p>
    <w:p w:rsidR="00000000" w:rsidDel="00000000" w:rsidP="00000000" w:rsidRDefault="00000000" w:rsidRPr="00000000" w14:paraId="0000037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Petitioners contend that prior to the 2001 elections, Roman had already served three consecutive terms - the recall term (the unexpired one-year portion of the 1992-1995 term), being considered one term - followed by the 19951998 and the 1998-2001 terms.</w:t>
      </w:r>
    </w:p>
    <w:p w:rsidR="00000000" w:rsidDel="00000000" w:rsidP="00000000" w:rsidRDefault="00000000" w:rsidRPr="00000000" w14:paraId="0000037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Hence, they argue that he should now be deemed disqualified from running and serving in the 2001 elections, because an electoral victory on his part would constitute his fourth consecutive term.</w:t>
      </w:r>
    </w:p>
    <w:p w:rsidR="00000000" w:rsidDel="00000000" w:rsidP="00000000" w:rsidRDefault="00000000" w:rsidRPr="00000000" w14:paraId="0000037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When the case was deliberated and voted upon, eight justices (Bellosillo, Puno, Vitug, Mendoza, Panganiban, Quisumbing, Santiago, and Azcuna) voted to DISMISS the petition, while seven (C] Davide; and Justices Gutierrez, Carpio, Martinez, Corona, Morales and Callejo) voted to grant it. A ponencia was not written, because the majority of eight - while agreeing to dismiss the Petition - were equally divided on their reasons. Even the dissenters were divided</w:t>
      </w:r>
    </w:p>
    <w:p w:rsidR="00000000" w:rsidDel="00000000" w:rsidP="00000000" w:rsidRDefault="00000000" w:rsidRPr="00000000" w14:paraId="00000377">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Court's Resolution</w:t>
      </w:r>
    </w:p>
    <w:p w:rsidR="00000000" w:rsidDel="00000000" w:rsidP="00000000" w:rsidRDefault="00000000" w:rsidRPr="00000000" w14:paraId="0000037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the Court decided to issue a Resolution explaining the justices' positions on the case, which I quote in full as follows :</w:t>
      </w:r>
    </w:p>
    <w:p w:rsidR="00000000" w:rsidDel="00000000" w:rsidP="00000000" w:rsidRDefault="00000000" w:rsidRPr="00000000" w14:paraId="0000037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resolution is a petition for certiorari filed by petitioners Melanio L. Mendoza and Mario E. Ibarra, seeking to set aside the resolution of the Commission on Elections, dated August 15, 2001, in EPC No. 2001-5 and to declare respondent Leonardo B. Roman's election as governor of Bataan on May 14, 2001 as null and void for allegedly being contrary to Article X, 88 of the Constitution, which provides that: </w:t>
      </w:r>
    </w:p>
    <w:p w:rsidR="00000000" w:rsidDel="00000000" w:rsidP="00000000" w:rsidRDefault="00000000" w:rsidRPr="00000000" w14:paraId="0000037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term of office of elective local officials, except barangay officials, which shall be determined by law, shall be three years and no such official shall serve for more than three consecutive terms. Voluntary renunciation of the office for any length of time shall not be considered as an interruption in the continuity of his service for the full term for which he was       elected.'</w:t>
      </w:r>
    </w:p>
    <w:p w:rsidR="00000000" w:rsidDel="00000000" w:rsidP="00000000" w:rsidRDefault="00000000" w:rsidRPr="00000000" w14:paraId="0000037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due deliberation, the Court voted 8 to 7 to DISMISS the petition.</w:t>
      </w:r>
    </w:p>
    <w:p w:rsidR="00000000" w:rsidDel="00000000" w:rsidP="00000000" w:rsidRDefault="00000000" w:rsidRPr="00000000" w14:paraId="0000037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"VITUG, J., joined by YNARES-SANTIAGO, J., voted to dismiss the petition. He contended that as revealed by the records of the Constitutional Commission, the Constitution envisions a      continuous and an uninterrupted service for three full terms, before the proscription applies. Therefore, not being a full term, a recall term should not be counted or used as a basis for the disqualification whether served prior (as in this case or subsequent (as in the Socrates case) to the nine-year, full three-term limit.</w:t>
      </w:r>
    </w:p>
    <w:p w:rsidR="00000000" w:rsidDel="00000000" w:rsidP="00000000" w:rsidRDefault="00000000" w:rsidRPr="00000000" w14:paraId="0000037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"MENDOZA, J., in whose opinion QUISUMBING, J. joined, voted to dismiss the petition on the ground that, in accordance with the ruling in Borja, Jr. v. COMELEC, 295 SCRA 157 (1998); Arcos v. COMELEC, GR. No. 133639, Oct. 6, 1998 (res.); Lonzanida v. COMELEC, 311 SCRA 602 (1999); and Adormeo v. COMELEC, GR No. 147927, February 4, 2002, a term during which succession to a local elective office takes place or a recall election is held should not be counted in determining whether an elective local official has served more than three consecutive terms. He argued that the Constitution does not prohibit elective local officials from serving for more than three consecutive terms because in fact it excludes from the three-term limit interruptions in the continuity of service, so long as such interruptions are not due to the voluntary renunciation of the office by an incumbent. Hence, the period from June 28, 1994 to June 30, 1995, during which respondent Leonardo B. Roman served as governor of Bataan by virtue of a recall election held in 1993, should not be counted. Since on May 14, 2001 respondent had previously served as governor of Bataan for only two consecutive terms (1995-1998 and 1998-2001), his election on that day was actually only his third term for the same position.</w:t>
      </w:r>
    </w:p>
    <w:p w:rsidR="00000000" w:rsidDel="00000000" w:rsidP="00000000" w:rsidRDefault="00000000" w:rsidRPr="00000000" w14:paraId="0000037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“PANGANIBAN, J., joined by Puno, J., also voted to dismiss the petition. He argued that a recall term should not be considered as one full term, because a contrary interpretation would in effect cut short the elected official's service to less than nine years and shortchange his constituents. The desire to prevent monopoly of political power should be balanced against the need to uphold the voters' obvious preference, who, in the present case, is Roman who received 97 percent of the votes cast.</w:t>
      </w:r>
    </w:p>
    <w:p w:rsidR="00000000" w:rsidDel="00000000" w:rsidP="00000000" w:rsidRDefault="00000000" w:rsidRPr="00000000" w14:paraId="0000037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 explained that, in Socrates, he also voted to affirm the clear choice of the electorate, because in a democracy the people should, as much as legally possible, be governed by leaders freely chosen by them in credible elections. He concluded that, in election cases, when two conflicting legal positions are of almost equal weight, the scales of justice should be tilted in favor of the people's overwhelming choice.</w:t>
      </w:r>
    </w:p>
    <w:p w:rsidR="00000000" w:rsidDel="00000000" w:rsidP="00000000" w:rsidRDefault="00000000" w:rsidRPr="00000000" w14:paraId="0000038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"AZCUNA, J., joined by BELLOSILLO, J., also voted to dismiss, arguing that it is clear from the constitutional provision that the disqualification applies only if the terms are consecutive and the service is full and continuous. Hence, service for less than a term, except only in case of voluntary renunciation, should not count to disqualify an elective local official from running for the same position. This case is different from Socrates, where the full three consecutive terms had been continuously served so that disqualification had clearly attached. </w:t>
      </w:r>
    </w:p>
    <w:p w:rsidR="00000000" w:rsidDel="00000000" w:rsidP="00000000" w:rsidRDefault="00000000" w:rsidRPr="00000000" w14:paraId="0000038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Sandoval-Gutierrez, J., with DAVIDE, C.]., and AUSTRIA-MARTINEZ, CORONA, and CALLEJO, SR., JJ. concurred, holds the view that the recall term served by respondent Roman, comprising the period June 28, 1994 to June 30, 1995, should be considered as one term. Since he thereafter served for two consecutive terms from 1995 to 1998 and from 1998 to 2001, his election on May 14, 2001 was actually his fourth term and contravenes Art. X, 8 of the Constitution. For this reason, she voted to grant the petition and to declare respondent's election on May 14, 2001 as null and void.</w:t>
      </w:r>
    </w:p>
    <w:p w:rsidR="00000000" w:rsidDel="00000000" w:rsidP="00000000" w:rsidRDefault="00000000" w:rsidRPr="00000000" w14:paraId="0000038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"CARPIO, J., joined by CARPIO MORALES, J., also dissented and voted to grant the petition. He held that a recall term constitutes one term and that to totally ignore a recall term in determining the three-term limit would allow local officials to serve for more than nine consecutive years contrary to the manifest intent of the framers of the Constitution. He contended that respondent Roman's election in 2001 cannot exempt him from the three-term limit imposed by the Constitution. </w:t>
      </w:r>
    </w:p>
    <w:p w:rsidR="00000000" w:rsidDel="00000000" w:rsidP="00000000" w:rsidRDefault="00000000" w:rsidRPr="00000000" w14:paraId="0000038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"WHEREFORE, THE PETITION FOR CERTIORARI IS DISMISSED."</w:t>
      </w:r>
    </w:p>
    <w:p w:rsidR="00000000" w:rsidDel="00000000" w:rsidP="00000000" w:rsidRDefault="00000000" w:rsidRPr="00000000" w14:paraId="00000384">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Did Mendoza </w:t>
      </w:r>
    </w:p>
    <w:p w:rsidR="00000000" w:rsidDel="00000000" w:rsidP="00000000" w:rsidRDefault="00000000" w:rsidRPr="00000000" w14:paraId="0000038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Reverse Socrates?</w:t>
      </w:r>
    </w:p>
    <w:p w:rsidR="00000000" w:rsidDel="00000000" w:rsidP="00000000" w:rsidRDefault="00000000" w:rsidRPr="00000000" w14:paraId="0000038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Noting that the two cases were decided only a month apart from each other, many legal observers now ask whether Mendoza reversed or modified Socrates.</w:t>
      </w:r>
    </w:p>
    <w:p w:rsidR="00000000" w:rsidDel="00000000" w:rsidP="00000000" w:rsidRDefault="00000000" w:rsidRPr="00000000" w14:paraId="0000038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attempting an answer, consider that Socrates was a ponencia approved by an overwhelming majority, while Mendoza is a resolution dismissing the Petition with no clear majority for such dismissal. </w:t>
      </w:r>
    </w:p>
    <w:p w:rsidR="00000000" w:rsidDel="00000000" w:rsidP="00000000" w:rsidRDefault="00000000" w:rsidRPr="00000000" w14:paraId="0000038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Should a recall term be considered one term for purposes of reckoning the three-term limit? In my own Separate Opinion in Mendoza, joined by Justice Puno, I stressed — quoting </w:t>
      </w:r>
      <w:r w:rsidDel="00000000" w:rsidR="00000000" w:rsidRPr="00000000">
        <w:rPr>
          <w:rFonts w:ascii="Georgia" w:cs="Georgia" w:eastAsia="Georgia" w:hAnsi="Georgia"/>
          <w:i w:val="1"/>
          <w:iCs w:val="1"/>
          <w:rtl w:val="0"/>
        </w:rPr>
        <w:t xml:space="preserve">Frivaldo v. Comelec</w:t>
      </w:r>
      <w:r w:rsidDel="00000000" w:rsidR="00000000" w:rsidRPr="00000000">
        <w:rPr>
          <w:rFonts w:ascii="Georgia" w:cs="Georgia" w:eastAsia="Georgia" w:hAnsi="Georgia"/>
          <w:rtl w:val="0"/>
        </w:rPr>
        <w:t xml:space="preserve"> - "that in applying election laws, it would be far better to err in favor of popular sovereignty than to be right in complex but little understood legalisms." </w:t>
      </w:r>
    </w:p>
    <w:p w:rsidR="00000000" w:rsidDel="00000000" w:rsidP="00000000" w:rsidRDefault="00000000" w:rsidRPr="00000000" w14:paraId="0000038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Furthermore, I opined that in Socrates, the Court merely held that a recall election after the fourth consecutive election had taken place was not deemed to be an "immediate" reelection to a fourth term. "The Court's ratiocination and analysis (in Socrates) that a recall term is one term for purposes of counting the three-term limit may be regarded merely as an </w:t>
      </w:r>
      <w:r w:rsidDel="00000000" w:rsidR="00000000" w:rsidRPr="00000000">
        <w:rPr>
          <w:rFonts w:ascii="Georgia" w:cs="Georgia" w:eastAsia="Georgia" w:hAnsi="Georgia"/>
          <w:i w:val="1"/>
          <w:iCs w:val="1"/>
          <w:rtl w:val="0"/>
        </w:rPr>
        <w:t xml:space="preserve">obiter dictum</w:t>
      </w:r>
      <w:r w:rsidDel="00000000" w:rsidR="00000000" w:rsidRPr="00000000">
        <w:rPr>
          <w:rFonts w:ascii="Georgia" w:cs="Georgia" w:eastAsia="Georgia" w:hAnsi="Georgia"/>
          <w:rtl w:val="0"/>
        </w:rPr>
        <w:t xml:space="preserve">."</w:t>
      </w:r>
    </w:p>
    <w:p w:rsidR="00000000" w:rsidDel="00000000" w:rsidP="00000000" w:rsidRDefault="00000000" w:rsidRPr="00000000" w14:paraId="0000038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Socrates, I voted with the majority, not so much because of the strict legal rationalization that a recall election midway to the fourth term was not an "immediate election" after three consecutive terms. Rather, I did so because the ponencia therein upheld the clear choice of the people: Mr. Edward Hagedorn. I could not in conscience vote to place in office Petitioner Dennis Socrates, who had clearly been defeated in the then just concluded recall election. Verily, this Court should not inflict a rejected candidate upon the people of Puerto Princesa, for such action would have constituted "judicial tyranny and an unacceptable assault" upon its own conscience.</w:t>
      </w:r>
    </w:p>
    <w:p w:rsidR="00000000" w:rsidDel="00000000" w:rsidP="00000000" w:rsidRDefault="00000000" w:rsidRPr="00000000" w14:paraId="0000038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the same token, to unseat Respondent Leonardo B. Roman, the sitting governor of Bataan, would constitute an unwelcome judicial imposition upon the people. To do so would be to remove from office one who has won the clear popular mandate in an honest and credible election, and to install in his place - by judicial fiat - an obscure candidate who has been absolutely rejected by the electorate, or another official (the vice governor) whom nobody voted for governor.</w:t>
      </w:r>
    </w:p>
    <w:p w:rsidR="00000000" w:rsidDel="00000000" w:rsidP="00000000" w:rsidRDefault="00000000" w:rsidRPr="00000000" w14:paraId="0000038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8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8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8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99">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8. </w:t>
      </w:r>
    </w:p>
    <w:p w:rsidR="00000000" w:rsidDel="00000000" w:rsidP="00000000" w:rsidRDefault="00000000" w:rsidRPr="00000000" w14:paraId="0000039A">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Republic v. Meralco: When May Oral Argument Be Called?</w:t>
      </w:r>
    </w:p>
    <w:p w:rsidR="00000000" w:rsidDel="00000000" w:rsidP="00000000" w:rsidRDefault="00000000" w:rsidRPr="00000000" w14:paraId="0000039B">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39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1 of Rule 49 of the Rules of Court provides that "[a]t its own instance or upon motion of a party, the court may hear the parties in oral argument on the merits of a cas or on any material incident in connection therewith. xxx." </w:t>
      </w:r>
    </w:p>
    <w:p w:rsidR="00000000" w:rsidDel="00000000" w:rsidP="00000000" w:rsidRDefault="00000000" w:rsidRPr="00000000" w14:paraId="0000039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trial courts, face-to-face confrontation amongst the parties and verbal skirmishes amongst counsels are very common. In fact, there is a general public impression that litigations are won or lost on the basis of the oral eloquence of lawyers. </w:t>
      </w:r>
    </w:p>
    <w:p w:rsidR="00000000" w:rsidDel="00000000" w:rsidP="00000000" w:rsidRDefault="00000000" w:rsidRPr="00000000" w14:paraId="0000039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verbal tussles are common in trial courts, they are rare in appellate tribunals. Instead of listening to oral argumentation, appellate jurists prefer to read, reflect on, study and decide cases on the basis of the case records; and the parties' pleadings, briefs, memoranda and written arguments.</w:t>
      </w:r>
    </w:p>
    <w:p w:rsidR="00000000" w:rsidDel="00000000" w:rsidP="00000000" w:rsidRDefault="00000000" w:rsidRPr="00000000" w14:paraId="0000039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Supreme Court rarely calls for oral argument. Most of the time - in my view, more than 95 percent of the time - cases are resolved on the basis of written pleadings only.</w:t>
      </w:r>
    </w:p>
    <w:p w:rsidR="00000000" w:rsidDel="00000000" w:rsidP="00000000" w:rsidRDefault="00000000" w:rsidRPr="00000000" w14:paraId="000003A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are no specific rules as to when the High Court may call for Oral Argument.Being completely discretionary on the part of the Supreme Court, it is usually scheduled on the Court's own volition, sometimes, upon motion of the parties. </w:t>
      </w:r>
    </w:p>
    <w:p w:rsidR="00000000" w:rsidDel="00000000" w:rsidP="00000000" w:rsidRDefault="00000000" w:rsidRPr="00000000" w14:paraId="000003A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own observation and experience tell me that oral argument is resorted to in cases that are of "transcendental importance" to the nation, or that involve novel or complicated issues. Recent examples (decisions promulgated from October 11, 2002 to October 10, 2003) include </w:t>
      </w:r>
      <w:r w:rsidDel="00000000" w:rsidR="00000000" w:rsidRPr="00000000">
        <w:rPr>
          <w:rFonts w:ascii="Georgia" w:cs="Georgia" w:eastAsia="Georgia" w:hAnsi="Georgia"/>
          <w:i w:val="1"/>
          <w:iCs w:val="1"/>
          <w:rtl w:val="0"/>
        </w:rPr>
        <w:t xml:space="preserve">Macalintal v. Comelec</w:t>
      </w:r>
      <w:r w:rsidDel="00000000" w:rsidR="00000000" w:rsidRPr="00000000">
        <w:rPr>
          <w:rFonts w:ascii="Georgia" w:cs="Georgia" w:eastAsia="Georgia" w:hAnsi="Georgia"/>
          <w:rtl w:val="0"/>
        </w:rPr>
        <w:t xml:space="preserve"> (constitutionality of the Absentee Voting Law),</w:t>
      </w:r>
      <w:r w:rsidDel="00000000" w:rsidR="00000000" w:rsidRPr="00000000">
        <w:rPr>
          <w:rFonts w:ascii="Georgia" w:cs="Georgia" w:eastAsia="Georgia" w:hAnsi="Georgia"/>
          <w:i w:val="1"/>
          <w:iCs w:val="1"/>
          <w:rtl w:val="0"/>
        </w:rPr>
        <w:t xml:space="preserve"> Agan v. Piatco</w:t>
      </w:r>
      <w:r w:rsidDel="00000000" w:rsidR="00000000" w:rsidRPr="00000000">
        <w:rPr>
          <w:rFonts w:ascii="Georgia" w:cs="Georgia" w:eastAsia="Georgia" w:hAnsi="Georgia"/>
          <w:rtl w:val="0"/>
        </w:rPr>
        <w:t xml:space="preserve"> (validity of the contracts for the construction and the operation of the new Manila International Airport at   Terminal), </w:t>
      </w:r>
      <w:r w:rsidDel="00000000" w:rsidR="00000000" w:rsidRPr="00000000">
        <w:rPr>
          <w:rFonts w:ascii="Georgia" w:cs="Georgia" w:eastAsia="Georgia" w:hAnsi="Georgia"/>
          <w:i w:val="1"/>
          <w:iCs w:val="1"/>
          <w:rtl w:val="0"/>
        </w:rPr>
        <w:t xml:space="preserve">PLDT v. City of Davao </w:t>
      </w:r>
      <w:r w:rsidDel="00000000" w:rsidR="00000000" w:rsidRPr="00000000">
        <w:rPr>
          <w:rFonts w:ascii="Georgia" w:cs="Georgia" w:eastAsia="Georgia" w:hAnsi="Georgia"/>
          <w:rtl w:val="0"/>
        </w:rPr>
        <w:t xml:space="preserve">(validity of certain local taxes on PLDT), and </w:t>
      </w:r>
      <w:r w:rsidDel="00000000" w:rsidR="00000000" w:rsidRPr="00000000">
        <w:rPr>
          <w:rFonts w:ascii="Georgia" w:cs="Georgia" w:eastAsia="Georgia" w:hAnsi="Georgia"/>
          <w:i w:val="1"/>
          <w:iCs w:val="1"/>
          <w:rtl w:val="0"/>
        </w:rPr>
        <w:t xml:space="preserve">Government of the United States v. Purganan</w:t>
      </w:r>
      <w:r w:rsidDel="00000000" w:rsidR="00000000" w:rsidRPr="00000000">
        <w:rPr>
          <w:rFonts w:ascii="Georgia" w:cs="Georgia" w:eastAsia="Georgia" w:hAnsi="Georgia"/>
          <w:rtl w:val="0"/>
        </w:rPr>
        <w:t xml:space="preserve"> (availability of bail in the extradition of Rep. Mark Jimenez). </w:t>
      </w:r>
    </w:p>
    <w:p w:rsidR="00000000" w:rsidDel="00000000" w:rsidP="00000000" w:rsidRDefault="00000000" w:rsidRPr="00000000" w14:paraId="000003A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in all questions, the propriety of calling for oral argumentation is decided by a majority vote of the Court, whether in the Banc or in a Division. In the examples I listed above, the Court unanimously agreed to call for Oral Argument. But in Republico. Manila Electric Company, despite my request, the Court refused to hear the parties orally. </w:t>
      </w:r>
    </w:p>
    <w:p w:rsidR="00000000" w:rsidDel="00000000" w:rsidP="00000000" w:rsidRDefault="00000000" w:rsidRPr="00000000" w14:paraId="000003A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summarize the background of this case. </w:t>
      </w:r>
    </w:p>
    <w:p w:rsidR="00000000" w:rsidDel="00000000" w:rsidP="00000000" w:rsidRDefault="00000000" w:rsidRPr="00000000" w14:paraId="000003A4">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Facts</w:t>
      </w:r>
    </w:p>
    <w:p w:rsidR="00000000" w:rsidDel="00000000" w:rsidP="00000000" w:rsidRDefault="00000000" w:rsidRPr="00000000" w14:paraId="000003A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December 23, 1993, the Manila Electric Company (Meralco) applied with the Energy Regulatory Board (ERB) for a rate increase of an average of P 0.21 per kilowatt-hour (kWh) in its electric distribution charge.</w:t>
      </w:r>
    </w:p>
    <w:p w:rsidR="00000000" w:rsidDel="00000000" w:rsidP="00000000" w:rsidRDefault="00000000" w:rsidRPr="00000000" w14:paraId="000003A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January 28, 1994, ERB granted a provisional increase of P 0.184 per kWh subject to this condition: "If, after hearing and submission by the Commission on Audit [COA] x x x [Meralco] is entitled to a lesser increase in rates, all exc amounts collected from the applicant's customers x x x shall be refunded to them or correspondingly credited in their favor for application to electric bills covering future consumptions."</w:t>
      </w:r>
    </w:p>
    <w:p w:rsidR="00000000" w:rsidDel="00000000" w:rsidP="00000000" w:rsidRDefault="00000000" w:rsidRPr="00000000" w14:paraId="000003A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February 11, 1997, COA recommended to ERB that income taxes paid by Meralco should not be included as part of its operating expenses for purposes of rate determination It further suggested the use of the "net average investment method for the computation of the proportionate value of the properties used by Meralco during the test year for the determination of the rate base."</w:t>
      </w:r>
    </w:p>
    <w:p w:rsidR="00000000" w:rsidDel="00000000" w:rsidP="00000000" w:rsidRDefault="00000000" w:rsidRPr="00000000" w14:paraId="000003A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its Decision, ERB adopted these COA recommendations. As a result, it authorized a rate adjustment of only P .017 per kWh effective February 1994. Furthermore, ERB ordered Meralco to refund its customers or correspondingly credit them for the amount of P .167 per kWh, which was the difference between the provisionally authorized rate of P. 184 and the finally approved one of only P .017.</w:t>
      </w:r>
    </w:p>
    <w:p w:rsidR="00000000" w:rsidDel="00000000" w:rsidP="00000000" w:rsidRDefault="00000000" w:rsidRPr="00000000" w14:paraId="000003A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ERB held that income taxes should not be treated as operating expense, but should instead be "borne by the stockholders who are recipients of the income or profits realized from the operation of their business." In adopting the net average investment method, ERB said that in computing the rate base, "only the proportionate value of the property should be included, determined in accordance with the number of months the same was actually used in service during the test year." </w:t>
      </w:r>
    </w:p>
    <w:p w:rsidR="00000000" w:rsidDel="00000000" w:rsidP="00000000" w:rsidRDefault="00000000" w:rsidRPr="00000000" w14:paraId="000003A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appeal, the Court of Appeals (CA) reversed the ERB insofar as the latter directed the reduction of the Meralco rates by an average of P.167 per kWh.</w:t>
      </w:r>
    </w:p>
    <w:p w:rsidR="00000000" w:rsidDel="00000000" w:rsidP="00000000" w:rsidRDefault="00000000" w:rsidRPr="00000000" w14:paraId="000003A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However, in a ponencia written by Justice Reynato S. Puno, the Supreme Court (Third Division) struck down the CA reversal and upheld the original ERB Decision on the following grounds: </w:t>
      </w:r>
    </w:p>
    <w:p w:rsidR="00000000" w:rsidDel="00000000" w:rsidP="00000000" w:rsidRDefault="00000000" w:rsidRPr="00000000" w14:paraId="000003A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findings and conclusions of the ERB, the specialized agency charged by law with electric rate determination, should be respected, because there is no showing that these were arbitrary or capricious. "The principle of separation of powers dictates that courts should hesitate to review the acts of administrative [offices], except in clear cases of grave abuse of discretion." </w:t>
      </w:r>
    </w:p>
    <w:p w:rsidR="00000000" w:rsidDel="00000000" w:rsidP="00000000" w:rsidRDefault="00000000" w:rsidRPr="00000000" w14:paraId="000003A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"Income tax is imposed on an individual or entity as a form of excise tax or a tax on the privilege of earning an income." By their nature, income tax payments are not expenses which contribute to or are incurred in connection with the production of profit of a public utility. Meralco has no "license to indiscriminately charge any and all types of expenses” to its customers.</w:t>
      </w:r>
    </w:p>
    <w:p w:rsidR="00000000" w:rsidDel="00000000" w:rsidP="00000000" w:rsidRDefault="00000000" w:rsidRPr="00000000" w14:paraId="000003A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American case law allowing income tax payments to be deducted as operating expenses is not applicable here. "Suffice to state that with regard to rate-determination, the government is not hidebound to apply any particular method or formula. x x x. The Court cannot give in to the importuning of Meralco that we blindly apply the rulings of American courts on the treatment of income tax as operating expenses in rate regulation cases." </w:t>
      </w:r>
    </w:p>
    <w:p w:rsidR="00000000" w:rsidDel="00000000" w:rsidP="00000000" w:rsidRDefault="00000000" w:rsidRPr="00000000" w14:paraId="000003A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The net average investment method is reasonable, because it takes into account only properties used in electric distribution "in accordance with the actual number of months" the property has been used. if, as proposed by Meralco, the "trending method" is adopted, a public utility "may easily manipulate the valuation of its property entitled to a return (rate base) by simply including a highly capitalized asset in the computation of the rate base even if the same was used for a limited period of time during the test year." </w:t>
      </w:r>
    </w:p>
    <w:p w:rsidR="00000000" w:rsidDel="00000000" w:rsidP="00000000" w:rsidRDefault="00000000" w:rsidRPr="00000000" w14:paraId="000003B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this Decision, Meralco filed a Motion for Reconsideration which included new arguments. It contended that "(1) the deduction of income tax from revenues allowed for rate determination of public utilities is part of its constitutional right to property; (2) ti corr used the 'average investment method or the simple average' in computing the value of its properties entitled to a return xxx; and (3) the Decision of the ERB x x x should not be given retroactive effect."</w:t>
      </w:r>
    </w:p>
    <w:p w:rsidR="00000000" w:rsidDel="00000000" w:rsidP="00000000" w:rsidRDefault="00000000" w:rsidRPr="00000000" w14:paraId="000003B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Office of the Solicitor General (OSG), which appeared as ERB's counsel, opposed the Motion. But it nonetheless informed the Court that the Energy Regulation Commission (ERC), which took ERB's place, had reversed its position and now agreed with Meralco on the following points:</w:t>
      </w:r>
    </w:p>
    <w:p w:rsidR="00000000" w:rsidDel="00000000" w:rsidP="00000000" w:rsidRDefault="00000000" w:rsidRPr="00000000" w14:paraId="000003B2">
      <w:pPr>
        <w:numPr>
          <w:ilvl w:val="0"/>
          <w:numId w:val="1"/>
        </w:numPr>
        <w:spacing w:after="0" w:before="80"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Income taxes should be included as part of operating expenses. </w:t>
      </w:r>
      <w:r w:rsidDel="00000000" w:rsidR="00000000" w:rsidRPr="00000000">
        <w:rPr>
          <w:rtl w:val="0"/>
        </w:rPr>
      </w:r>
    </w:p>
    <w:p w:rsidR="00000000" w:rsidDel="00000000" w:rsidP="00000000" w:rsidRDefault="00000000" w:rsidRPr="00000000" w14:paraId="000003B3">
      <w:pPr>
        <w:numPr>
          <w:ilvl w:val="0"/>
          <w:numId w:val="1"/>
        </w:numPr>
        <w:spacing w:after="80" w:before="0"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By insisting on the non-inclusion of income taxes in operating expenses, the Court would effectively be reducing the allowable income of Meralco to only 8 percent per annum, which was way below the 12 percent allowed by law. </w:t>
      </w:r>
      <w:r w:rsidDel="00000000" w:rsidR="00000000" w:rsidRPr="00000000">
        <w:rPr>
          <w:rtl w:val="0"/>
        </w:rPr>
      </w:r>
    </w:p>
    <w:p w:rsidR="00000000" w:rsidDel="00000000" w:rsidP="00000000" w:rsidRDefault="00000000" w:rsidRPr="00000000" w14:paraId="000003B4">
      <w:pPr>
        <w:spacing w:after="80" w:before="8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Because of this volte face of ERC, I asked the Court during the deliberations on the Motion for Reconsideration to refer the Motion to the full Court and to call for Oral Argument, preferably before the Banc, to clarify these new developments.</w:t>
      </w:r>
    </w:p>
    <w:p w:rsidR="00000000" w:rsidDel="00000000" w:rsidP="00000000" w:rsidRDefault="00000000" w:rsidRPr="00000000" w14:paraId="000003B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B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four other members of the Third Division, however, refused, and proceeded to deny the Motion for Reconsideration on the basis merely of the OSG's Comment. Hence, I had to content myself with writing a Separate Opinion, arguing that I could not cast my vote on the Motion for Reconsideration because of "lingering questions" I had. Here are excerpts from my Separate Opinion:</w:t>
      </w:r>
    </w:p>
    <w:p w:rsidR="00000000" w:rsidDel="00000000" w:rsidP="00000000" w:rsidRDefault="00000000" w:rsidRPr="00000000" w14:paraId="000003B7">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Effect of ERC’s</w:t>
      </w:r>
    </w:p>
    <w:p w:rsidR="00000000" w:rsidDel="00000000" w:rsidP="00000000" w:rsidRDefault="00000000" w:rsidRPr="00000000" w14:paraId="000003B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Self-Reversal</w:t>
      </w:r>
    </w:p>
    <w:p w:rsidR="00000000" w:rsidDel="00000000" w:rsidP="00000000" w:rsidRDefault="00000000" w:rsidRPr="00000000" w14:paraId="000003B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this case reached this Court because the Energy Regulatory Board (ERB), now known as the Energy Regulatory Commission (ERC), appealed to us the Decision of the Court of Appeals (CA), which upheld Meralco. In its Comment [on] Meralco's Motion for Reconsideration, however, the OSG - as counsel for ERC - informed this Court that ERC has reversed its position and now believes that 'income taxes' x x x are reasonable costs that may be utilities from recovering its income tax payments will effectively lower the return on rate base enjoyed by a public utility to 8%.</w:t>
      </w:r>
    </w:p>
    <w:p w:rsidR="00000000" w:rsidDel="00000000" w:rsidP="00000000" w:rsidRDefault="00000000" w:rsidRPr="00000000" w14:paraId="000003B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By reversing itself, is the ERC effectively abandoning its appeal before this Court? If so, is it still proper for this Court to uphold the old ERB Decision? Be it remembered that our own Decision is anchored on the theory that ERB should be affirmed, because it is the knowledgeable and specialized government agency tasked with electric rate determination, and thus its findings and opinions - unless ring    obviously faulty - merit full faith and credit. fer          </w:t>
      </w:r>
    </w:p>
    <w:p w:rsidR="00000000" w:rsidDel="00000000" w:rsidP="00000000" w:rsidRDefault="00000000" w:rsidRPr="00000000" w14:paraId="000003B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Is the OSG, as counsel for the ERC and the government, authorized to argue against its own clients' position and thereby leave them without any lawyer?"</w:t>
      </w:r>
    </w:p>
    <w:p w:rsidR="00000000" w:rsidDel="00000000" w:rsidP="00000000" w:rsidRDefault="00000000" w:rsidRPr="00000000" w14:paraId="000003B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Effects of the New </w:t>
      </w:r>
    </w:p>
    <w:p w:rsidR="00000000" w:rsidDel="00000000" w:rsidP="00000000" w:rsidRDefault="00000000" w:rsidRPr="00000000" w14:paraId="000003B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EPIRA Law</w:t>
      </w:r>
    </w:p>
    <w:p w:rsidR="00000000" w:rsidDel="00000000" w:rsidP="00000000" w:rsidRDefault="00000000" w:rsidRPr="00000000" w14:paraId="000003B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"Second, in its Comment, OSG informs us that a new law, RA 9136 - the Electric Power Industry Reform Act (EPIRA) - was enacted on June 16, 2002. This law allegedly authorizes ERC to determine rates that will 'allow the recovery of a just and reasonable return of rate base (RORB) to enable the entity to operate viably. On this basis, ERC opines that actual income taxes paid should now be deemed 'reasonable costs' of operating a public utility. </w:t>
      </w:r>
    </w:p>
    <w:p w:rsidR="00000000" w:rsidDel="00000000" w:rsidP="00000000" w:rsidRDefault="00000000" w:rsidRPr="00000000" w14:paraId="000003B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Does this mean that effective June 16, 2002, ERC may allow the deduction of income taxes from operating expenses? Does this render our Decision obsolete? </w:t>
      </w:r>
    </w:p>
    <w:p w:rsidR="00000000" w:rsidDel="00000000" w:rsidP="00000000" w:rsidRDefault="00000000" w:rsidRPr="00000000" w14:paraId="000003C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Reduction of Earnings </w:t>
      </w:r>
    </w:p>
    <w:p w:rsidR="00000000" w:rsidDel="00000000" w:rsidP="00000000" w:rsidRDefault="00000000" w:rsidRPr="00000000" w14:paraId="000003C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to Only Eight Percent </w:t>
      </w:r>
    </w:p>
    <w:p w:rsidR="00000000" w:rsidDel="00000000" w:rsidP="00000000" w:rsidRDefault="00000000" w:rsidRPr="00000000" w14:paraId="000003C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"Third, citing the report of the Commission on Audit (COA), the OSG originally opined that Meralco - after the infusion of the provisional rate increase of 18.4 centavos would still earn 13% RORB if income taxes [were] not treated as operating expenses, and 20% if they [were deducted as operating expenses.</w:t>
      </w:r>
    </w:p>
    <w:p w:rsidR="00000000" w:rsidDel="00000000" w:rsidP="00000000" w:rsidRDefault="00000000" w:rsidRPr="00000000" w14:paraId="000003C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If this is so, why is Meralco still complaining that the old ERB Decision, which this Court is affirming, bars it from earning the maximum allowable profit of 12%? How accurate are the OSG and COA computations? Or is Meralco just misleading the Court? </w:t>
      </w:r>
    </w:p>
    <w:p w:rsidR="00000000" w:rsidDel="00000000" w:rsidP="00000000" w:rsidRDefault="00000000" w:rsidRPr="00000000" w14:paraId="000003C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In any event, despite the COA figures, the OSG concedes that - at least theoretically - Meralco's profit would be reduced by our Decision to a maximum of only 8% RORB, instead of the allowable 12%. At the same time, it justifies the 8% RORB by arguing that the World Bank and the Asian Development Bank consider a public utility earning of 8% RORB still viable (p. 42 of the OSG Comment). Which is which?"</w:t>
      </w:r>
    </w:p>
    <w:p w:rsidR="00000000" w:rsidDel="00000000" w:rsidP="00000000" w:rsidRDefault="00000000" w:rsidRPr="00000000" w14:paraId="000003C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Special Privilege </w:t>
      </w:r>
    </w:p>
    <w:p w:rsidR="00000000" w:rsidDel="00000000" w:rsidP="00000000" w:rsidRDefault="00000000" w:rsidRPr="00000000" w14:paraId="000003C6">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to Meralco</w:t>
      </w:r>
    </w:p>
    <w:p w:rsidR="00000000" w:rsidDel="00000000" w:rsidP="00000000" w:rsidRDefault="00000000" w:rsidRPr="00000000" w14:paraId="000003C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"Fourth, in its Comment, the OSG argues that other public utilities are not allowed to deduct income taxes as operating expenses. Why then should Meralco be given this special privilege, it rhetorically asks]</w:t>
      </w:r>
    </w:p>
    <w:p w:rsidR="00000000" w:rsidDel="00000000" w:rsidP="00000000" w:rsidRDefault="00000000" w:rsidRPr="00000000" w14:paraId="000003C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Is this true? If so, why has the ERC changed its position? Why is it now allowing Meralco to deduct income tax payments as 'reasonable costs' of operation?" </w:t>
      </w:r>
    </w:p>
    <w:p w:rsidR="00000000" w:rsidDel="00000000" w:rsidP="00000000" w:rsidRDefault="00000000" w:rsidRPr="00000000" w14:paraId="000003C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Propriety </w:t>
      </w:r>
    </w:p>
    <w:p w:rsidR="00000000" w:rsidDel="00000000" w:rsidP="00000000" w:rsidRDefault="00000000" w:rsidRPr="00000000" w14:paraId="000003C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of an Oral Argument </w:t>
      </w:r>
    </w:p>
    <w:p w:rsidR="00000000" w:rsidDel="00000000" w:rsidP="00000000" w:rsidRDefault="00000000" w:rsidRPr="00000000" w14:paraId="000003C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foregoing [were] the more important questions I posed when I asked the Third Division to refer this case to the Court en banc and to conduct Oral Argument on the Motion for Reconsideration of Meralco. These questions were not fully taken up by the pleadings of the parties. Thus, it would be pretentious for me to render an opinion on them. On the other hand, I believe that a decision that does not take up these questions would be incomplete.</w:t>
      </w:r>
    </w:p>
    <w:p w:rsidR="00000000" w:rsidDel="00000000" w:rsidP="00000000" w:rsidRDefault="00000000" w:rsidRPr="00000000" w14:paraId="000003C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"Hearing the parties [in] Oral Argument before the entire Court, or even x x x the Third Division, prior to resolving with finality the motion for reconsideration on a very important matter such as the present case is not unusual.</w:t>
      </w:r>
    </w:p>
    <w:p w:rsidR="00000000" w:rsidDel="00000000" w:rsidP="00000000" w:rsidRDefault="00000000" w:rsidRPr="00000000" w14:paraId="000003C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 it noted that </w:t>
      </w:r>
      <w:r w:rsidDel="00000000" w:rsidR="00000000" w:rsidRPr="00000000">
        <w:rPr>
          <w:rFonts w:ascii="Georgia" w:cs="Georgia" w:eastAsia="Georgia" w:hAnsi="Georgia"/>
          <w:i w:val="1"/>
          <w:iCs w:val="1"/>
          <w:rtl w:val="0"/>
        </w:rPr>
        <w:t xml:space="preserve">Republic v. Meralco</w:t>
      </w:r>
      <w:r w:rsidDel="00000000" w:rsidR="00000000" w:rsidRPr="00000000">
        <w:rPr>
          <w:rFonts w:ascii="Georgia" w:cs="Georgia" w:eastAsia="Georgia" w:hAnsi="Georgia"/>
          <w:rtl w:val="0"/>
        </w:rPr>
        <w:t xml:space="preserve"> was a case decided by the Third Division. Is it still possible and proper for the Banc to call for Oral Argument after a decision has already been rendered, and thereafter to resolve the Motion for Reconsideration? The answer is clearly " yes."</w:t>
      </w:r>
    </w:p>
    <w:p w:rsidR="00000000" w:rsidDel="00000000" w:rsidP="00000000" w:rsidRDefault="00000000" w:rsidRPr="00000000" w14:paraId="000003C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Very recently, in </w:t>
      </w:r>
      <w:r w:rsidDel="00000000" w:rsidR="00000000" w:rsidRPr="00000000">
        <w:rPr>
          <w:rFonts w:ascii="Georgia" w:cs="Georgia" w:eastAsia="Georgia" w:hAnsi="Georgia"/>
          <w:i w:val="1"/>
          <w:iCs w:val="1"/>
          <w:rtl w:val="0"/>
        </w:rPr>
        <w:t xml:space="preserve">PLDT v. City of Davao</w:t>
      </w:r>
      <w:r w:rsidDel="00000000" w:rsidR="00000000" w:rsidRPr="00000000">
        <w:rPr>
          <w:rFonts w:ascii="Georgia" w:cs="Georgia" w:eastAsia="Georgia" w:hAnsi="Georgia"/>
          <w:rtl w:val="0"/>
        </w:rPr>
        <w:t xml:space="preserve">, the Court </w:t>
      </w:r>
      <w:r w:rsidDel="00000000" w:rsidR="00000000" w:rsidRPr="00000000">
        <w:rPr>
          <w:rFonts w:ascii="Georgia" w:cs="Georgia" w:eastAsia="Georgia" w:hAnsi="Georgia"/>
          <w:i w:val="1"/>
          <w:iCs w:val="1"/>
          <w:rtl w:val="0"/>
        </w:rPr>
        <w:t xml:space="preserve">en banc </w:t>
      </w:r>
      <w:r w:rsidDel="00000000" w:rsidR="00000000" w:rsidRPr="00000000">
        <w:rPr>
          <w:rFonts w:ascii="Georgia" w:cs="Georgia" w:eastAsia="Georgia" w:hAnsi="Georgia"/>
          <w:rtl w:val="0"/>
        </w:rPr>
        <w:t xml:space="preserve">conducted Oral Argument on the Motion for Reconsideration challenging the unanimous Decision of the Second Division. That case involved the issue of whether the City of Davao may impose local taxes on the Philippine Long Distance Telephone Company. The amount involved therein was only about P4 million. On the other hand, the present case involves the refund of about P2.5 billion per year starting 1994 or about P30 billion up to the year 2003. </w:t>
      </w:r>
    </w:p>
    <w:p w:rsidR="00000000" w:rsidDel="00000000" w:rsidP="00000000" w:rsidRDefault="00000000" w:rsidRPr="00000000" w14:paraId="000003C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Apart from the monetary consideration, I believe the issues raised - including the foregoing questions - are also important enough to merit a hearing. May I stress that this  case will affect, not only Meralco and its customers but, all the electric utilities and all their customers all over the Philippines, which means this case will affect everyone in this country.</w:t>
      </w:r>
    </w:p>
    <w:p w:rsidR="00000000" w:rsidDel="00000000" w:rsidP="00000000" w:rsidRDefault="00000000" w:rsidRPr="00000000" w14:paraId="000003D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interesting to note that the unanimous Second Division Decision in the above-cited PLDT case was upheld by the Banc, with some dissents led by the ponente herein, Mr. Justice Reynato S. Puno himself, but only after a full hearing by the full Court. </w:t>
      </w:r>
    </w:p>
    <w:p w:rsidR="00000000" w:rsidDel="00000000" w:rsidP="00000000" w:rsidRDefault="00000000" w:rsidRPr="00000000" w14:paraId="000003D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have been a few other high-profile Division judgments that were brought to the Banc, granted Oral Argument and resolved by the full Court, as follows: </w:t>
      </w:r>
    </w:p>
    <w:p w:rsidR="00000000" w:rsidDel="00000000" w:rsidP="00000000" w:rsidRDefault="00000000" w:rsidRPr="00000000" w14:paraId="000003D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w:t>
      </w:r>
      <w:r w:rsidDel="00000000" w:rsidR="00000000" w:rsidRPr="00000000">
        <w:rPr>
          <w:rFonts w:ascii="Georgia" w:cs="Georgia" w:eastAsia="Georgia" w:hAnsi="Georgia"/>
          <w:i w:val="1"/>
          <w:iCs w:val="1"/>
          <w:rtl w:val="0"/>
        </w:rPr>
        <w:t xml:space="preserve">Marcos v. Sandiganbayan</w:t>
      </w:r>
      <w:r w:rsidDel="00000000" w:rsidR="00000000" w:rsidRPr="00000000">
        <w:rPr>
          <w:rFonts w:ascii="Georgia" w:cs="Georgia" w:eastAsia="Georgia" w:hAnsi="Georgia"/>
          <w:rtl w:val="0"/>
        </w:rPr>
        <w:t xml:space="preserve"> in which the Third Division convicted Mrs. Imelda R. Marcos of violation of the Anti-Graft Law. However, her Motion for Reconsideration was referred to the Banc which - after conducting Oral Argument - reversed the Third Division and acquitted her. </w:t>
      </w:r>
    </w:p>
    <w:p w:rsidR="00000000" w:rsidDel="00000000" w:rsidP="00000000" w:rsidRDefault="00000000" w:rsidRPr="00000000" w14:paraId="000003D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w:t>
      </w:r>
      <w:r w:rsidDel="00000000" w:rsidR="00000000" w:rsidRPr="00000000">
        <w:rPr>
          <w:rFonts w:ascii="Georgia" w:cs="Georgia" w:eastAsia="Georgia" w:hAnsi="Georgia"/>
          <w:i w:val="1"/>
          <w:iCs w:val="1"/>
          <w:rtl w:val="0"/>
        </w:rPr>
        <w:t xml:space="preserve">Firestone Ceramics v. Court of Appeals</w:t>
      </w:r>
      <w:r w:rsidDel="00000000" w:rsidR="00000000" w:rsidRPr="00000000">
        <w:rPr>
          <w:rFonts w:ascii="Georgia" w:cs="Georgia" w:eastAsia="Georgia" w:hAnsi="Georgia"/>
          <w:rtl w:val="0"/>
        </w:rPr>
        <w:t xml:space="preserve"> in which a unanimous Third Division Decision dismissed the appeal of petitioner. However, by a vote of 8-7, the Banc decided to take up the Motion for Reconsideration. After Oral Argument was called, the Motion was denied unanimously by the Banc.</w:t>
      </w:r>
    </w:p>
    <w:p w:rsidR="00000000" w:rsidDel="00000000" w:rsidP="00000000" w:rsidRDefault="00000000" w:rsidRPr="00000000" w14:paraId="000003D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present case, however, and despite my plea for Oral Argument to clarify new questions raised on a matter which I believed was of "transcendental importance" and which affected almost the entire country, the Third Division resolved to deny the Motion for Reconsideration without any verbal hearing or referral to the Banc. </w:t>
      </w:r>
    </w:p>
    <w:p w:rsidR="00000000" w:rsidDel="00000000" w:rsidP="00000000" w:rsidRDefault="00000000" w:rsidRPr="00000000" w14:paraId="000003D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9">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9">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E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F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9</w:t>
      </w:r>
    </w:p>
    <w:p w:rsidR="00000000" w:rsidDel="00000000" w:rsidP="00000000" w:rsidRDefault="00000000" w:rsidRPr="00000000" w14:paraId="000003FA">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FB">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i w:val="1"/>
          <w:iCs w:val="1"/>
          <w:rtl w:val="0"/>
        </w:rPr>
        <w:t xml:space="preserve">PCGG v. Desierto</w:t>
      </w:r>
      <w:r w:rsidDel="00000000" w:rsidR="00000000" w:rsidRPr="00000000">
        <w:rPr>
          <w:rFonts w:ascii="Georgia" w:cs="Georgia" w:eastAsia="Georgia" w:hAnsi="Georgia"/>
          <w:b w:val="1"/>
          <w:bCs w:val="1"/>
          <w:rtl w:val="0"/>
        </w:rPr>
        <w:t xml:space="preserve">: Investigatory and Prosecutory </w:t>
      </w:r>
    </w:p>
    <w:p w:rsidR="00000000" w:rsidDel="00000000" w:rsidP="00000000" w:rsidRDefault="00000000" w:rsidRPr="00000000" w14:paraId="000003FC">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Powers of the Ombudsman</w:t>
      </w:r>
    </w:p>
    <w:p w:rsidR="00000000" w:rsidDel="00000000" w:rsidP="00000000" w:rsidRDefault="00000000" w:rsidRPr="00000000" w14:paraId="000003FD">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F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Supreme Court's Decision in </w:t>
      </w:r>
      <w:r w:rsidDel="00000000" w:rsidR="00000000" w:rsidRPr="00000000">
        <w:rPr>
          <w:rFonts w:ascii="Georgia" w:cs="Georgia" w:eastAsia="Georgia" w:hAnsi="Georgia"/>
          <w:i w:val="1"/>
          <w:iCs w:val="1"/>
          <w:rtl w:val="0"/>
        </w:rPr>
        <w:t xml:space="preserve">Presidential Commission on Good Government v. Desierto and Disini </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i w:val="1"/>
          <w:iCs w:val="1"/>
          <w:rtl w:val="0"/>
        </w:rPr>
        <w:t xml:space="preserve">PCGG v. Desierto</w:t>
      </w:r>
      <w:r w:rsidDel="00000000" w:rsidR="00000000" w:rsidRPr="00000000">
        <w:rPr>
          <w:rFonts w:ascii="Georgia" w:cs="Georgia" w:eastAsia="Georgia" w:hAnsi="Georgia"/>
          <w:rtl w:val="0"/>
        </w:rPr>
        <w:t xml:space="preserve">), which I had the honor of writing, began with a brief description of the investigatory and prosecutory powers of the Ombudsman (OMB), as follows: </w:t>
      </w:r>
    </w:p>
    <w:p w:rsidR="00000000" w:rsidDel="00000000" w:rsidP="00000000" w:rsidRDefault="00000000" w:rsidRPr="00000000" w14:paraId="000003F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Office of the Ombudsman is endowed with a wide latitude of investigatory and prosecutory prerogatives in the exercise of its power to pass upon criminal complaints. However, such power is not absolute; it cannot be exercised arbitrarily or capriciously. Verily, when it is gravely abused through a gross misappreciation of evidence and a whimsical dismissal of a complaint, this Court has the constitutional duty to reverse the ombudsman. The present Petition is one such exception, involving serious allegations of multi-million dollar bribes and unlawful commissions. At the center of all these is the non-performing, billion-dollar Bataan nuclear power plant - a virtual white elephant - which our impoverished people are still paying for, even if they have not benefited from it at all!" </w:t>
      </w:r>
    </w:p>
    <w:p w:rsidR="00000000" w:rsidDel="00000000" w:rsidP="00000000" w:rsidRDefault="00000000" w:rsidRPr="00000000" w14:paraId="0000040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Facts</w:t>
      </w:r>
    </w:p>
    <w:p w:rsidR="00000000" w:rsidDel="00000000" w:rsidP="00000000" w:rsidRDefault="00000000" w:rsidRPr="00000000" w14:paraId="0000040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Sometime in 1973 (when the country was under Martial Law), then President Ferdinand E. Marcos instructed the National Power Corporation (NPC) to undertake the construction and the eventual operation of the Bataan Nuclear Power Plant (BNPP) in Morong, Bataan. Because of its lack of expertise in designing and constructing commercial nuclear power plants, the NPC needed consultants and contractors.</w:t>
      </w:r>
    </w:p>
    <w:p w:rsidR="00000000" w:rsidDel="00000000" w:rsidP="00000000" w:rsidRDefault="00000000" w:rsidRPr="00000000" w14:paraId="0000040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Herein petitioner, the Presidential Commission on Good Government (PCGG), averred that Westinghouse Electric Corporation and Burns &amp; Roe, both of which are US-based companies, engaged the services of Herminio Disini to secure their appointments as NPC contractor and consultant for the BNPP. The latter, their "go-between with Marcos," was known to be the late President's close personal associate, whose wife was then First Lady Imelda R. Marcos’ first cousin and the Marcos family's personal physician." </w:t>
      </w:r>
    </w:p>
    <w:p w:rsidR="00000000" w:rsidDel="00000000" w:rsidP="00000000" w:rsidRDefault="00000000" w:rsidRPr="00000000" w14:paraId="0000040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Allegedly through Disini’s intercession, Westinghouse was hired as main contractor of the BNPP, and Burns &amp; Roe as consultant. For these appointments, Samuel P. Hull Jr., the international operations director of the latter company, agreed to grant Disini a "commission based on a percentage of the amounts paid to Burns &amp; Roe under the architectural and engineering contract and to pay up front one million dollars in four installments of $250,000 each." </w:t>
      </w:r>
    </w:p>
    <w:p w:rsidR="00000000" w:rsidDel="00000000" w:rsidP="00000000" w:rsidRDefault="00000000" w:rsidRPr="00000000" w14:paraId="0000040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Mrs. Corazon C. Aquino took over the Presidency of the Republic, the PCGG charged Disini (along with several others) with "bribing the late President Ferdinand E. Marcos as a means to induce him to assist and favor" Westinghouse as well as Burns and Roe and their affiliates.</w:t>
      </w:r>
    </w:p>
    <w:p w:rsidR="00000000" w:rsidDel="00000000" w:rsidP="00000000" w:rsidRDefault="00000000" w:rsidRPr="00000000" w14:paraId="0000040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Then Ombudsman Aniano A. Desierto, however, dismissed the charges for insufficiency of evidence. Thus, the PCGG elevated the problem to the Supreme Court via a Petition for Certiorari.</w:t>
      </w:r>
    </w:p>
    <w:p w:rsidR="00000000" w:rsidDel="00000000" w:rsidP="00000000" w:rsidRDefault="00000000" w:rsidRPr="00000000" w14:paraId="00000406">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Court's Ruling </w:t>
      </w:r>
    </w:p>
    <w:p w:rsidR="00000000" w:rsidDel="00000000" w:rsidP="00000000" w:rsidRDefault="00000000" w:rsidRPr="00000000" w14:paraId="0000040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 general rule, the Office of the Ombudsman is endowed with a wide latitude of investigatory and prosecutory prerogatives in the exercise of its power to pass upon criminal complaints. However, such authority is not absolute; it cannot be exercised arbitrarily or capriciously. Verily, the Constitution has placed on the Supreme Court the task of determining "whether or not  there has  been grave abuse of discretion amounting to lack or excess of jurisdiction on the part of any branch or instrumentality of the Government," including the Office of the Ombudsman. Specifically, the Court is mandated to review and to reverse the OMB's evaluation of the existence of probable cause, if it has been made with grave abuse of discretion. </w:t>
      </w:r>
    </w:p>
    <w:p w:rsidR="00000000" w:rsidDel="00000000" w:rsidP="00000000" w:rsidRDefault="00000000" w:rsidRPr="00000000" w14:paraId="0000040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held that, in the present case, the Ombudsman had gravely abused his discretion; thus, it directed him to file in the proper court the appropriate criminal charges against Disini for the following (citations omitted). </w:t>
      </w:r>
    </w:p>
    <w:p w:rsidR="00000000" w:rsidDel="00000000" w:rsidP="00000000" w:rsidRDefault="00000000" w:rsidRPr="00000000" w14:paraId="0000040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First.</w:t>
      </w:r>
      <w:r w:rsidDel="00000000" w:rsidR="00000000" w:rsidRPr="00000000">
        <w:rPr>
          <w:rFonts w:ascii="Georgia" w:cs="Georgia" w:eastAsia="Georgia" w:hAnsi="Georgia"/>
          <w:rtl w:val="0"/>
        </w:rPr>
        <w:t xml:space="preserve"> Contrary to the OMB's findings, the records of the case adequately show that "Disini had actually intervened for Westinghouse as its special representative in the negotiations for the BNPP project." The Affidavit and the Supplemental Affidavit of Samuel Hull Jr. show payments to Disini "in exchange for the selection of Westinghouse and Burns and Roe over other corporations vying for the BNPP project."</w:t>
      </w:r>
    </w:p>
    <w:p w:rsidR="00000000" w:rsidDel="00000000" w:rsidP="00000000" w:rsidRDefault="00000000" w:rsidRPr="00000000" w14:paraId="0000040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Second.</w:t>
      </w:r>
      <w:r w:rsidDel="00000000" w:rsidR="00000000" w:rsidRPr="00000000">
        <w:rPr>
          <w:rFonts w:ascii="Georgia" w:cs="Georgia" w:eastAsia="Georgia" w:hAnsi="Georgia"/>
          <w:rtl w:val="0"/>
        </w:rPr>
        <w:t xml:space="preserve"> The meetings between Hull and Disini — "taken with the whole series of acts, transactions, correspondences, meetings and documents" - are a sufficient ground to determine the existence of probable cause and to sustain a finding that Disini was probably guilty of the crime charged.</w:t>
      </w:r>
    </w:p>
    <w:p w:rsidR="00000000" w:rsidDel="00000000" w:rsidP="00000000" w:rsidRDefault="00000000" w:rsidRPr="00000000" w14:paraId="0000040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Third.</w:t>
      </w:r>
      <w:r w:rsidDel="00000000" w:rsidR="00000000" w:rsidRPr="00000000">
        <w:rPr>
          <w:rFonts w:ascii="Georgia" w:cs="Georgia" w:eastAsia="Georgia" w:hAnsi="Georgia"/>
          <w:rtl w:val="0"/>
        </w:rPr>
        <w:t xml:space="preserve"> The </w:t>
      </w:r>
      <w:r w:rsidDel="00000000" w:rsidR="00000000" w:rsidRPr="00000000">
        <w:rPr>
          <w:rFonts w:ascii="Georgia" w:cs="Georgia" w:eastAsia="Georgia" w:hAnsi="Georgia"/>
          <w:i w:val="1"/>
          <w:iCs w:val="1"/>
          <w:rtl w:val="0"/>
        </w:rPr>
        <w:t xml:space="preserve">Aides-Memoire</w:t>
      </w:r>
      <w:r w:rsidDel="00000000" w:rsidR="00000000" w:rsidRPr="00000000">
        <w:rPr>
          <w:rFonts w:ascii="Georgia" w:cs="Georgia" w:eastAsia="Georgia" w:hAnsi="Georgia"/>
          <w:rtl w:val="0"/>
        </w:rPr>
        <w:t xml:space="preserve"> and the telexes presented by the PCGG show Disini's complicity in the charged crime.</w:t>
      </w:r>
    </w:p>
    <w:p w:rsidR="00000000" w:rsidDel="00000000" w:rsidP="00000000" w:rsidRDefault="00000000" w:rsidRPr="00000000" w14:paraId="0000040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Fourth. </w:t>
      </w:r>
      <w:r w:rsidDel="00000000" w:rsidR="00000000" w:rsidRPr="00000000">
        <w:rPr>
          <w:rFonts w:ascii="Georgia" w:cs="Georgia" w:eastAsia="Georgia" w:hAnsi="Georgia"/>
          <w:rtl w:val="0"/>
        </w:rPr>
        <w:t xml:space="preserve">While it may be true that the documents evidencing the payments to Disini were not signed ("for telexes are not signed"), they were nonetheless "identified and their sources authenticated."</w:t>
      </w:r>
    </w:p>
    <w:p w:rsidR="00000000" w:rsidDel="00000000" w:rsidP="00000000" w:rsidRDefault="00000000" w:rsidRPr="00000000" w14:paraId="0000040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Fifth. </w:t>
      </w:r>
      <w:r w:rsidDel="00000000" w:rsidR="00000000" w:rsidRPr="00000000">
        <w:rPr>
          <w:rFonts w:ascii="Georgia" w:cs="Georgia" w:eastAsia="Georgia" w:hAnsi="Georgia"/>
          <w:rtl w:val="0"/>
        </w:rPr>
        <w:t xml:space="preserve">On the alleged failure to present testimonial evidence of the bank remittances to Disini, the Court said that Angelo V. Manahan - a top official of Herdis, Disini's company - who also executed an Affidavit, could have been asked clarificatory questions. In requiring testimonial evidence, the OMB "brushed aside all other forms of evidence presented by the prosecution." </w:t>
      </w:r>
    </w:p>
    <w:p w:rsidR="00000000" w:rsidDel="00000000" w:rsidP="00000000" w:rsidRDefault="00000000" w:rsidRPr="00000000" w14:paraId="0000040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Sixth. </w:t>
      </w:r>
      <w:r w:rsidDel="00000000" w:rsidR="00000000" w:rsidRPr="00000000">
        <w:rPr>
          <w:rFonts w:ascii="Georgia" w:cs="Georgia" w:eastAsia="Georgia" w:hAnsi="Georgia"/>
          <w:rtl w:val="0"/>
        </w:rPr>
        <w:t xml:space="preserve">The records show that the Disini-controlled companies - like the Power Contractors, Inc. and the Engineering and Construction Company of Asia - had secured BNPP sub-contracts from Westinghouse.</w:t>
      </w:r>
    </w:p>
    <w:p w:rsidR="00000000" w:rsidDel="00000000" w:rsidP="00000000" w:rsidRDefault="00000000" w:rsidRPr="00000000" w14:paraId="0000040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a clearer understanding of the Decision, I would like to quote verbatim the Court's "inventory of evidence offered," which shows "probable cause" that Disini committed the crime charged, as follows:</w:t>
      </w:r>
    </w:p>
    <w:p w:rsidR="00000000" w:rsidDel="00000000" w:rsidP="00000000" w:rsidRDefault="00000000" w:rsidRPr="00000000" w14:paraId="0000041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twelve-page Affidavit of Angelo V. Manahan</w:t>
      </w:r>
    </w:p>
    <w:p w:rsidR="00000000" w:rsidDel="00000000" w:rsidP="00000000" w:rsidRDefault="00000000" w:rsidRPr="00000000" w14:paraId="0000041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ten-page Affidavit of Samuel P. Hull Jr.</w:t>
      </w:r>
    </w:p>
    <w:p w:rsidR="00000000" w:rsidDel="00000000" w:rsidP="00000000" w:rsidRDefault="00000000" w:rsidRPr="00000000" w14:paraId="0000041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more extensive 90-paragraph, 44-page Supplemental Affidavit of Samuel P. Hull Jr.</w:t>
      </w:r>
    </w:p>
    <w:p w:rsidR="00000000" w:rsidDel="00000000" w:rsidP="00000000" w:rsidRDefault="00000000" w:rsidRPr="00000000" w14:paraId="0000041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At least six telexes dated November 1973 to April 1975, which were exchanged amongst Ketterer, Hull, Disini and other Westinghouse and Burns &amp; Roe officials, detailing the negotiations for the PNPP project, including all the transactions leading to the payment of bribes and the unlawful commissions received by Disini and/or his representatives </w:t>
      </w:r>
    </w:p>
    <w:p w:rsidR="00000000" w:rsidDel="00000000" w:rsidP="00000000" w:rsidRDefault="00000000" w:rsidRPr="00000000" w14:paraId="0000041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At least three Aides -Memoire demonstrating how Westinghouse and Burns &amp; Roe were 'preferred' and given special treatment at the expense of other corporations involved in or competing for the PNPP project </w:t>
      </w:r>
    </w:p>
    <w:p w:rsidR="00000000" w:rsidDel="00000000" w:rsidP="00000000" w:rsidRDefault="00000000" w:rsidRPr="00000000" w14:paraId="0000041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The handwritten notations of Marcos expressing his preference for Westinghouse and Burns &amp; Roe</w:t>
      </w:r>
    </w:p>
    <w:p w:rsidR="00000000" w:rsidDel="00000000" w:rsidP="00000000" w:rsidRDefault="00000000" w:rsidRPr="00000000" w14:paraId="0000041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A number of letters, correspondences and notes between Westinghouse and Burns &amp; Roe officials - specifically Ketterer, Hull and Hammett - narrating their transactions involving the PNPP project and the corresponding commission payments to Disini</w:t>
      </w:r>
    </w:p>
    <w:p w:rsidR="00000000" w:rsidDel="00000000" w:rsidP="00000000" w:rsidRDefault="00000000" w:rsidRPr="00000000" w14:paraId="0000041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Three separate documents showing that at least three members of the Marcos administration - NPC General Manager Ravanzo, Executive Secretary Alejandro Melchor and Solicitor General Estelito P. Mendoza - disapproved the Westinghouse and Burns &amp; Roe proposals and objected to the government's PNPP contract with Westinghouse for being highly onerous and disadvantageous to the government </w:t>
      </w:r>
    </w:p>
    <w:p w:rsidR="00000000" w:rsidDel="00000000" w:rsidP="00000000" w:rsidRDefault="00000000" w:rsidRPr="00000000" w14:paraId="0000041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"9. A host of documents showing Disini's Interbank Foreign Currency Deposit Account with a corresponding flow of commission payments into and out of Swiss bank accounts </w:t>
      </w:r>
    </w:p>
    <w:p w:rsidR="00000000" w:rsidDel="00000000" w:rsidP="00000000" w:rsidRDefault="00000000" w:rsidRPr="00000000" w14:paraId="0000041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"10. Documents detailing the formation and the financial transactions of Disini's corporations including Power Contractors, Inc.; Herdis Group; and Vulcan Industrial &amp; Mining Corporation. </w:t>
      </w:r>
    </w:p>
    <w:p w:rsidR="00000000" w:rsidDel="00000000" w:rsidP="00000000" w:rsidRDefault="00000000" w:rsidRPr="00000000" w14:paraId="0000041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our mind, the whole gamut of evidence presented is more than sufficient to support a criminal complaint for the crimes of corruption of public officials in relation to bribery and violation of the Anti-Graft Law. The evidence on record has engendered the reasonable belief that Disini had offered, promised or actually given to a public officer (Marcos) gifts or presents that made the latter liable for bribery.</w:t>
      </w:r>
    </w:p>
    <w:p w:rsidR="00000000" w:rsidDel="00000000" w:rsidP="00000000" w:rsidRDefault="00000000" w:rsidRPr="00000000" w14:paraId="0000041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"Also, the PCGG has sufficiently established probable cause to show that Disini had capitalized, exploited and taken advantage of his close personal relations with the former President, who was to ultimately decide which corporation would undertake the PNPP project. In so doing, Disini requested and received pecuniary considerations from Westinghouse and Burns &amp; Roe, which were endeavoring to close the PNPP contract with the Philippine government. All these things happened in violation of the Revised Penal Code and/or the Anti-Graft and Corrupt Practices Act.</w:t>
      </w:r>
    </w:p>
    <w:p w:rsidR="00000000" w:rsidDel="00000000" w:rsidP="00000000" w:rsidRDefault="00000000" w:rsidRPr="00000000" w14:paraId="0000041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"Should the appropriate information[s] be filed, nothing should prevent the ombudsman from presenting other pieces of evidence to buttress the prosecution's case and to prove beyond reasonable doubt the offense(s) charged."</w:t>
      </w:r>
    </w:p>
    <w:p w:rsidR="00000000" w:rsidDel="00000000" w:rsidP="00000000" w:rsidRDefault="00000000" w:rsidRPr="00000000" w14:paraId="0000041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Decision concluded with this call for speedy justice: </w:t>
      </w:r>
    </w:p>
    <w:p w:rsidR="00000000" w:rsidDel="00000000" w:rsidP="00000000" w:rsidRDefault="00000000" w:rsidRPr="00000000" w14:paraId="0000041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the Bataan nuclear power plant is a monumental, billion-dollar, non-performing white elephant, which our impoverished people are still paying for even if they have not benefited from it at all. Justice is long overdue. Let those who appear to be responsible for this humongous mess be brought to account for their participation. Let justice be done!"</w:t>
      </w:r>
    </w:p>
    <w:p w:rsidR="00000000" w:rsidDel="00000000" w:rsidP="00000000" w:rsidRDefault="00000000" w:rsidRPr="00000000" w14:paraId="0000041F">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Gutierrez Dissent </w:t>
      </w:r>
    </w:p>
    <w:p w:rsidR="00000000" w:rsidDel="00000000" w:rsidP="00000000" w:rsidRDefault="00000000" w:rsidRPr="00000000" w14:paraId="0000042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Angelina Sandoval-Gutierrez' wrote a Dissenting Opinion arguing that the PCGG Petition should be dismissed on the following grounds: </w:t>
      </w:r>
    </w:p>
    <w:p w:rsidR="00000000" w:rsidDel="00000000" w:rsidP="00000000" w:rsidRDefault="00000000" w:rsidRPr="00000000" w14:paraId="0000042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PCGG Petition raised questions of facts resolution of which was "impermissible" in certiorari proceedings. </w:t>
      </w:r>
    </w:p>
    <w:p w:rsidR="00000000" w:rsidDel="00000000" w:rsidP="00000000" w:rsidRDefault="00000000" w:rsidRPr="00000000" w14:paraId="0000042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Since the Court had already dismissed the charges against the other respondents for lack of evidence, so too must the charge against Disini - the principal suspect thrown out.</w:t>
      </w:r>
    </w:p>
    <w:p w:rsidR="00000000" w:rsidDel="00000000" w:rsidP="00000000" w:rsidRDefault="00000000" w:rsidRPr="00000000" w14:paraId="0000042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In any event, the Ombudsman did not in, since discretion in dismissing the complaint against Disi the Affidavits of Hull and Manahan were largely "hearsay, conjectures and speculations. They are worthless since they have no probative value." </w:t>
      </w:r>
    </w:p>
    <w:p w:rsidR="00000000" w:rsidDel="00000000" w:rsidP="00000000" w:rsidRDefault="00000000" w:rsidRPr="00000000" w14:paraId="0000042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There is no proof that President Marcos had any business interest in Disini’s companies. The claims that Marcos had shared in the commissions were "glaringly hearsay, wild conjectures and surmises." Citing Moore, she said that "the sea of suspicion has no shore, and the court that embarks upon it is without rudder or compass." </w:t>
      </w:r>
    </w:p>
    <w:p w:rsidR="00000000" w:rsidDel="00000000" w:rsidP="00000000" w:rsidRDefault="00000000" w:rsidRPr="00000000" w14:paraId="0000042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Gutierrez concluded her Dissent with this summation :</w:t>
      </w:r>
    </w:p>
    <w:p w:rsidR="00000000" w:rsidDel="00000000" w:rsidP="00000000" w:rsidRDefault="00000000" w:rsidRPr="00000000" w14:paraId="0000042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sum, I find that the dismissal by the Ombudsman of the complaint against Disini for lack of probable cause is far from whimsical or capricious. His findings in his assailed Resolution and Order are clearly based on substantial evidence. Section 27 of Republic Act No. 6770 (the Ombudsman Act of 1989) provides that the '(f)indings of fact by the Office of the Ombudsman when supported by substantial evidence are conclusive,' and its decision 'will not be overturned.'"</w:t>
      </w:r>
    </w:p>
    <w:p w:rsidR="00000000" w:rsidDel="00000000" w:rsidP="00000000" w:rsidRDefault="00000000" w:rsidRPr="00000000" w14:paraId="0000042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9">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9">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3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4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4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4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4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4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4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4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47">
      <w:pPr>
        <w:spacing w:after="80" w:before="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448">
      <w:pPr>
        <w:spacing w:after="80" w:before="80"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10</w:t>
      </w:r>
    </w:p>
    <w:p w:rsidR="00000000" w:rsidDel="00000000" w:rsidP="00000000" w:rsidRDefault="00000000" w:rsidRPr="00000000" w14:paraId="00000449">
      <w:pPr>
        <w:spacing w:after="80" w:before="80" w:lineRule="auto"/>
        <w:ind w:left="0" w:firstLine="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44A">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i w:val="1"/>
          <w:iCs w:val="1"/>
          <w:rtl w:val="0"/>
        </w:rPr>
        <w:t xml:space="preserve">Agan v. Piatco</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44B">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Validity of a BOT Contract</w:t>
      </w:r>
    </w:p>
    <w:p w:rsidR="00000000" w:rsidDel="00000000" w:rsidP="00000000" w:rsidRDefault="00000000" w:rsidRPr="00000000" w14:paraId="0000044C">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44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One of the most publicized cases during my eighth year in office was </w:t>
      </w:r>
      <w:r w:rsidDel="00000000" w:rsidR="00000000" w:rsidRPr="00000000">
        <w:rPr>
          <w:rFonts w:ascii="Georgia" w:cs="Georgia" w:eastAsia="Georgia" w:hAnsi="Georgia"/>
          <w:i w:val="1"/>
          <w:iCs w:val="1"/>
          <w:rtl w:val="0"/>
        </w:rPr>
        <w:t xml:space="preserve">Agan v. Piatco.</w:t>
      </w:r>
      <w:r w:rsidDel="00000000" w:rsidR="00000000" w:rsidRPr="00000000">
        <w:rPr>
          <w:rFonts w:ascii="Georgia" w:cs="Georgia" w:eastAsia="Georgia" w:hAnsi="Georgia"/>
          <w:rtl w:val="0"/>
        </w:rPr>
        <w:t xml:space="preserve"> It occupied the attention of the media and the general public for many months. Various parties, including several members of Congress, challenged five agreements executed by the Philippine government with the Philippine International Air Terminals Co., Inc. (Piatco) for the construction and the operation of a new international airport terminal in the National Capital Region ("Terminal III”).</w:t>
      </w:r>
    </w:p>
    <w:p w:rsidR="00000000" w:rsidDel="00000000" w:rsidP="00000000" w:rsidRDefault="00000000" w:rsidRPr="00000000" w14:paraId="0000044E">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Facts </w:t>
      </w:r>
    </w:p>
    <w:p w:rsidR="00000000" w:rsidDel="00000000" w:rsidP="00000000" w:rsidRDefault="00000000" w:rsidRPr="00000000" w14:paraId="0000044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1993, six business leaders of the country - John Gokongwei, Andrew Gotianum, Henry Sy Sr., Lucio Tan, George Ty and Alfonso Yuchengco - formed Asia's Emerging Dragon Corporation (AEDC).</w:t>
      </w:r>
    </w:p>
    <w:p w:rsidR="00000000" w:rsidDel="00000000" w:rsidP="00000000" w:rsidRDefault="00000000" w:rsidRPr="00000000" w14:paraId="0000045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October 5, 1993, AEDC submitted an unsolicited proposal to the government for the construction of the Ninoy Aquino International Airport Terminal III under the buildoperate-and-transfer (BOT) scheme governed by RA 6957. </w:t>
      </w:r>
    </w:p>
    <w:p w:rsidR="00000000" w:rsidDel="00000000" w:rsidP="00000000" w:rsidRDefault="00000000" w:rsidRPr="00000000" w14:paraId="0000045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proposal was endorsed by the Department of Transportation and Communications (DOTC) to the National Economic Development Authority (NEDA ICC), which in turn approved it on February 13, 1996 through Board Resolution No. 2. </w:t>
      </w:r>
    </w:p>
    <w:p w:rsidR="00000000" w:rsidDel="00000000" w:rsidP="00000000" w:rsidRDefault="00000000" w:rsidRPr="00000000" w14:paraId="0000045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Vis-a-vis AEDC's unsolicited proposal, DOTC caused the publication in two daily newspapers of an invitation for competitive or comparative proposals, pursuant to the BOT Law. To supervise the bidding, a Prequalification and Bidding Committee (PBAC) was formed by the government.</w:t>
      </w:r>
    </w:p>
    <w:p w:rsidR="00000000" w:rsidDel="00000000" w:rsidP="00000000" w:rsidRDefault="00000000" w:rsidRPr="00000000" w14:paraId="0000045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September 20, 1996, the Paircargo Consortium - composed of People’s Air Cargo and Grounds Services, Inc. (PAGS) and Security Bank Corporation - submitted a competitive proposal to the PBAC. </w:t>
      </w:r>
    </w:p>
    <w:p w:rsidR="00000000" w:rsidDel="00000000" w:rsidP="00000000" w:rsidRDefault="00000000" w:rsidRPr="00000000" w14:paraId="0000045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resolving some initial reservations and over the objections of AEDC, PBAC accepted the "prequalification" of the consortium. PBAC's action was later approved by the DOTC secretary.</w:t>
      </w:r>
    </w:p>
    <w:p w:rsidR="00000000" w:rsidDel="00000000" w:rsidP="00000000" w:rsidRDefault="00000000" w:rsidRPr="00000000" w14:paraId="0000045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Both AEDC and Paircargo offered (a) to build Terminal III and (b) to pay the government 5 percent share in gross revenues for the first five years of operation, 7.5 percent for the next ten years, and 10 percent for the last ten years. In addition, however, AEDC offered to pay the government a total of P135 million as guaranteed payment for 27 years, while Paircargo offered P17.75 billion - repeat, billion for the same period.</w:t>
      </w:r>
    </w:p>
    <w:p w:rsidR="00000000" w:rsidDel="00000000" w:rsidP="00000000" w:rsidRDefault="00000000" w:rsidRPr="00000000" w14:paraId="0000045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PBAC accepted the Paircargo price proposal and gave AEDC 30 working days or until November 30, 1996 within which to match the bid. AEDC failed to do so. It objected to the alleged undue preference given to the Philippine International Airport Terminals Co., Inc. or Piatco, into which the Paircargo had incorporated itself on February 27, 1997. Because its objections remained unheeded, AEDC filed in the Regional Trial Court of Pasig City a suit to annul the award. </w:t>
      </w:r>
    </w:p>
    <w:p w:rsidR="00000000" w:rsidDel="00000000" w:rsidP="00000000" w:rsidRDefault="00000000" w:rsidRPr="00000000" w14:paraId="0000045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Despite this suit, the government (through DOTC) and Piatco signed on July 12, 1997 the "Concession Agreement for the Build-Operate-and-Transfer Arrangement of the Ninoy Aquino International Airport Passenger Terminal III" (CA). On November 26, 1998, the parties signed an "Amended and Restated Concession Agreement" (ARCA), which modified several provisions of the original CA. Thereafter, the parties executed three supplements to the ARCA. The First Supplement (FS) was signed on August 27, 1999, the Second (SS) on September 4, 2000 and the Third (TS) on June 22, 2001. </w:t>
      </w:r>
    </w:p>
    <w:p w:rsidR="00000000" w:rsidDel="00000000" w:rsidP="00000000" w:rsidRDefault="00000000" w:rsidRPr="00000000" w14:paraId="00000458">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rtl w:val="0"/>
        </w:rPr>
        <w:t xml:space="preserve">On November 29, 2002, President Gloria Macapagal [the Arroyo declared in a speech that she would not "honor Piatco] contracts which the Executive Branch's legal offices have concluded [are] null and void." On March 6, 2003, Piatco informed the Supreme Court that it had commenced arbitration proceedings before the International Chamber of Commerce against the Philippine government, even while the present case was then pending resolution by the Court. </w:t>
      </w:r>
      <w:r w:rsidDel="00000000" w:rsidR="00000000" w:rsidRPr="00000000">
        <w:rPr>
          <w:rtl w:val="0"/>
        </w:rPr>
      </w:r>
    </w:p>
    <w:p w:rsidR="00000000" w:rsidDel="00000000" w:rsidP="00000000" w:rsidRDefault="00000000" w:rsidRPr="00000000" w14:paraId="0000045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Issues</w:t>
      </w:r>
    </w:p>
    <w:p w:rsidR="00000000" w:rsidDel="00000000" w:rsidP="00000000" w:rsidRDefault="00000000" w:rsidRPr="00000000" w14:paraId="0000045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Two sets of issues were raised by the parties. The first set was procedural: Did the Supreme Court have original jurisdiction to hear and decide the Petitions? Though labeled as Petitions for Prohibitions, were they in reality in the n of complaints for declaratory relief, which should have been filed in the regional trial courts? Did petitioners have </w:t>
      </w:r>
      <w:r w:rsidDel="00000000" w:rsidR="00000000" w:rsidRPr="00000000">
        <w:rPr>
          <w:rFonts w:ascii="Georgia" w:cs="Georgia" w:eastAsia="Georgia" w:hAnsi="Georgia"/>
          <w:i w:val="1"/>
          <w:iCs w:val="1"/>
          <w:rtl w:val="0"/>
        </w:rPr>
        <w:t xml:space="preserve">locus standi</w:t>
      </w:r>
      <w:r w:rsidDel="00000000" w:rsidR="00000000" w:rsidRPr="00000000">
        <w:rPr>
          <w:rFonts w:ascii="Georgia" w:cs="Georgia" w:eastAsia="Georgia" w:hAnsi="Georgia"/>
          <w:rtl w:val="0"/>
        </w:rPr>
        <w:t xml:space="preserve">? Should the Court decide the cases directly and ignore Piatco's resort to arbitration? </w:t>
      </w:r>
    </w:p>
    <w:p w:rsidR="00000000" w:rsidDel="00000000" w:rsidP="00000000" w:rsidRDefault="00000000" w:rsidRPr="00000000" w14:paraId="0000045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second set of issues was substantive in character: Was the bidding process conducted in a manner that was unduly favorable to Piatco? Was the 1997 Concession Agreement void? Did the challenged contracts require the government to guarantee Piatco's foreign borrowings?</w:t>
      </w:r>
    </w:p>
    <w:p w:rsidR="00000000" w:rsidDel="00000000" w:rsidP="00000000" w:rsidRDefault="00000000" w:rsidRPr="00000000" w14:paraId="0000045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Court's Decision, written by Justice Reynato S. Puno, brushed aside all the procedural objections and answered all the substantive questions in the affirmative. </w:t>
      </w:r>
    </w:p>
    <w:p w:rsidR="00000000" w:rsidDel="00000000" w:rsidP="00000000" w:rsidRDefault="00000000" w:rsidRPr="00000000" w14:paraId="0000045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On the Procedural Issues </w:t>
      </w:r>
    </w:p>
    <w:p w:rsidR="00000000" w:rsidDel="00000000" w:rsidP="00000000" w:rsidRDefault="00000000" w:rsidRPr="00000000" w14:paraId="0000045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Puno ponencia ruled that all the petitioners had standing, because their rights and interests had been violated by the implementation of the Piatco contracts. The Petitions contended that, by entering into those contracts, the DOTC "committed grave abuse of discretion amounting to lack or excess of jurisdiction which can be remedied only by a writ of prohibition, there being no plain, speedy or adequate remedy in the ordinary course of law." Wrote Justice Puno:</w:t>
      </w:r>
    </w:p>
    <w:p w:rsidR="00000000" w:rsidDel="00000000" w:rsidP="00000000" w:rsidRDefault="00000000" w:rsidRPr="00000000" w14:paraId="0000045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"We hold that petitioners have the requisite standing. In the above-mentioned cases, petitioners have a direct and substantial interest to protect by reason of the implementation of the PIATCO Contracts. They stand to lose their source of livelihood, a property right which is zealously protected by the Constitution. Moreover, subsisting concession agreements between MIAA and petitioners-intervenors in these cases are legitimate interests sufficient to confer on them the requisite standing to file the instant petitions."</w:t>
      </w:r>
    </w:p>
    <w:p w:rsidR="00000000" w:rsidDel="00000000" w:rsidP="00000000" w:rsidRDefault="00000000" w:rsidRPr="00000000" w14:paraId="0000046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standing of the members of Congress, the ponencia opined: </w:t>
      </w:r>
    </w:p>
    <w:p w:rsidR="00000000" w:rsidDel="00000000" w:rsidP="00000000" w:rsidRDefault="00000000" w:rsidRPr="00000000" w14:paraId="0000046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"Standing is a peculiar concept in constitutional law because in some cases, suits are not brought by parties who have been personally injured by the operation of a law or any other government act but by concerned citizens, taxpayers or voters who actually sue in the public interest. Although we are not unmindful of the cases of </w:t>
      </w:r>
      <w:r w:rsidDel="00000000" w:rsidR="00000000" w:rsidRPr="00000000">
        <w:rPr>
          <w:rFonts w:ascii="Georgia" w:cs="Georgia" w:eastAsia="Georgia" w:hAnsi="Georgia"/>
          <w:i w:val="1"/>
          <w:iCs w:val="1"/>
          <w:rtl w:val="0"/>
        </w:rPr>
        <w:t xml:space="preserve">Imus Electric Co. v. Municipality of Imus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i w:val="1"/>
          <w:iCs w:val="1"/>
          <w:rtl w:val="0"/>
        </w:rPr>
        <w:t xml:space="preserve"> Gonzales v. Raquiza</w:t>
      </w:r>
      <w:r w:rsidDel="00000000" w:rsidR="00000000" w:rsidRPr="00000000">
        <w:rPr>
          <w:rFonts w:ascii="Georgia" w:cs="Georgia" w:eastAsia="Georgia" w:hAnsi="Georgia"/>
          <w:rtl w:val="0"/>
        </w:rPr>
        <w:t xml:space="preserve"> wherein this Court held that appropriation must be made only on amounts immediately demandable, public interest demands that we take a more liberal view in determining whether the petitioners suing as legislators, taxpayers and citizens have locus standi to file the instant petition. In Kilosbayan, Inc. v. Guingona, this Court held '[i]n line with the liberal policy of this Court on locus standi, ordinary taxpayers, members of Congress, and even association of planters, and non-profit civic organizations were allowed to initiate and prosecute actions before this Court to question the constitutionality or validity of laws, acts, decisions, rulings, or orders of various government agencies or instrumentalities. Further, 'insofar as taxpayers' suits are concerned... (this Court) is not devoid of discretion as to whether or not it should be entertained.’ As such’...even if, strictly speaking, they [the petitioners] are not covered by the definition, it is still within the wide discretion of the Court to waive the requirement and so remove the impediment to its addressing and resolving the serious constitutional questions raised. In view of the serious legal questions involved and their impact on public interest, we resolve to grant standing to the petitioners." </w:t>
      </w:r>
    </w:p>
    <w:p w:rsidR="00000000" w:rsidDel="00000000" w:rsidP="00000000" w:rsidRDefault="00000000" w:rsidRPr="00000000" w14:paraId="0000046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ponencia also ruled that the hierarchy-of-courts principle, requiring that cases should be initiated in the trial courts, "may be relaxed when the redress desired cannot be obtained in the appropriate courts, or where exceptional and compelling circumstances justify availment of a remedy within and call for the exercise of this Court's primary jurisdiction." </w:t>
      </w:r>
    </w:p>
    <w:p w:rsidR="00000000" w:rsidDel="00000000" w:rsidP="00000000" w:rsidRDefault="00000000" w:rsidRPr="00000000" w14:paraId="0000046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Both petitioners and respondents agree that "these cases are of transcendental importance, as they involve the construction and operation of the country's premier international airport. Moreover, the crucial issues submitted for resolution are of first impression x x x."</w:t>
      </w:r>
    </w:p>
    <w:p w:rsidR="00000000" w:rsidDel="00000000" w:rsidP="00000000" w:rsidRDefault="00000000" w:rsidRPr="00000000" w14:paraId="0000046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arbitration step taken by Piatco did not oust the Court from its jurisdiction over the case. Citing </w:t>
      </w:r>
      <w:r w:rsidDel="00000000" w:rsidR="00000000" w:rsidRPr="00000000">
        <w:rPr>
          <w:rFonts w:ascii="Georgia" w:cs="Georgia" w:eastAsia="Georgia" w:hAnsi="Georgia"/>
          <w:i w:val="1"/>
          <w:iCs w:val="1"/>
          <w:rtl w:val="0"/>
        </w:rPr>
        <w:t xml:space="preserve">Del Monte v. Court of Appeals</w:t>
      </w:r>
      <w:r w:rsidDel="00000000" w:rsidR="00000000" w:rsidRPr="00000000">
        <w:rPr>
          <w:rFonts w:ascii="Georgia" w:cs="Georgia" w:eastAsia="Georgia" w:hAnsi="Georgia"/>
          <w:rtl w:val="0"/>
        </w:rPr>
        <w:t xml:space="preserve">, the ponencia explained that the arbitration clause in the contracts had bound only the parties thereto. In the present case, it was clear that many of the petitioners - were not privy to the assailed agreements. Hence, they were not bound by the arbitration clause.</w:t>
      </w:r>
    </w:p>
    <w:p w:rsidR="00000000" w:rsidDel="00000000" w:rsidP="00000000" w:rsidRDefault="00000000" w:rsidRPr="00000000" w14:paraId="0000046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Substantive Questions </w:t>
      </w:r>
    </w:p>
    <w:p w:rsidR="00000000" w:rsidDel="00000000" w:rsidP="00000000" w:rsidRDefault="00000000" w:rsidRPr="00000000" w14:paraId="0000046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held that Piatco did not have the financial capacity required by the BOT Law. Since the minimum project cost was estimated to be US$350 million or US$ P9,183,650,000, Paircargo consortium had to show to the satisfaction of the PBAC that it had the ability, as required by the BOT Law, to provide the minimum equity for the project in the amount of at least P2,755,095,000."</w:t>
      </w:r>
    </w:p>
    <w:p w:rsidR="00000000" w:rsidDel="00000000" w:rsidP="00000000" w:rsidRDefault="00000000" w:rsidRPr="00000000" w14:paraId="0000046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Consortium, on the other hand, had a total net worth of only "P558,384,871.55 or only 6.08% of the project cost." The Court said that Security Bank, a consortium member, had a total equity "of P3,523,504,377 [which] cannot be taken into the Consortium's networth,’            because the General Banking Act provides that the investment of a bank in the equity of "any one enterprise, x x x shall not exceed fifteen percent (15%) of the net worth of the bank." </w:t>
      </w:r>
    </w:p>
    <w:p w:rsidR="00000000" w:rsidDel="00000000" w:rsidP="00000000" w:rsidRDefault="00000000" w:rsidRPr="00000000" w14:paraId="0000046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PBAC should not be allowed to speculate on the future financial ability of the bidder to undertake the project on the basis of the documents submitted. This would open doors to abuse and defeat the very purpose of public bidding." </w:t>
      </w:r>
    </w:p>
    <w:p w:rsidR="00000000" w:rsidDel="00000000" w:rsidP="00000000" w:rsidRDefault="00000000" w:rsidRPr="00000000" w14:paraId="0000046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Validity of the 1997 </w:t>
      </w:r>
    </w:p>
    <w:p w:rsidR="00000000" w:rsidDel="00000000" w:rsidP="00000000" w:rsidRDefault="00000000" w:rsidRPr="00000000" w14:paraId="0000046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Concession Agreement </w:t>
      </w:r>
    </w:p>
    <w:p w:rsidR="00000000" w:rsidDel="00000000" w:rsidP="00000000" w:rsidRDefault="00000000" w:rsidRPr="00000000" w14:paraId="0000046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held that the 1997 Concession Agreement was invalid, because "it contains provisions that substantially in depart from the draft Concession Agreement included the Bid Documents." Added the Court:</w:t>
      </w:r>
    </w:p>
    <w:p w:rsidR="00000000" w:rsidDel="00000000" w:rsidP="00000000" w:rsidRDefault="00000000" w:rsidRPr="00000000" w14:paraId="0000046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 essential element of a publicly bidded contract is that all bidders must be on equal footing. Not simply in terms of application of the procedural rules and regulations imposed by the relevant government agency, but more importantly, on the contract bidded upon. Each bidder must be able to bid on the same thing. The rationale is obvious.If the winning bidder is allowed to later include or modify certain provisions in the contract awarded such that the contract is altered in any material respect, then the essence of fair competition in the public bidding is destroyed. A public bidding would indeed be a farce if after the contract is awarded, the winning provisions which are favorable to it that were not previously made available to the other bidders. Thus:</w:t>
      </w:r>
    </w:p>
    <w:p w:rsidR="00000000" w:rsidDel="00000000" w:rsidP="00000000" w:rsidRDefault="00000000" w:rsidRPr="00000000" w14:paraId="0000046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inherent in public biddings that there shall be a fair competition among the bidders. The specifications in such biddings provide the common ground or basis for the bidders. The specifications should, accordingly, operate equally or indiscriminately upon all bidders. </w:t>
      </w:r>
    </w:p>
    <w:p w:rsidR="00000000" w:rsidDel="00000000" w:rsidP="00000000" w:rsidRDefault="00000000" w:rsidRPr="00000000" w14:paraId="0000046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we concede that a winning bidder is not precluded from modifying or amending certain provisions of the contract bidded upon, such changes must not constitute substantial or material amendments that would alter the basic parameters of the contract and would constitute a denial to the other bidders of the opportunity to bid on the same terms. Hence, the determination of whether or not a modification or amendment of a contract bidded out constitutes a substantial amendment rests on whether the contract, when taken as a whole, would contain substantially different terms and conditions that would have the effect of altering the technical and/o r financial proposals previously submitted by other bidders. The alterations and modifications in the contract executed between the government and winning bidder must be such as to render such executed contract to be an entirely different contract from the one that was bidded upon." </w:t>
      </w:r>
    </w:p>
    <w:p w:rsidR="00000000" w:rsidDel="00000000" w:rsidP="00000000" w:rsidRDefault="00000000" w:rsidRPr="00000000" w14:paraId="0000046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analyzing and comparing the signed 1997 CA and the draft Concession Agreement, the Court said that the former “clearly gives Piatco more favorable terms than what was available to other bidders at the time the contract was bidded out."</w:t>
      </w:r>
    </w:p>
    <w:p w:rsidR="00000000" w:rsidDel="00000000" w:rsidP="00000000" w:rsidRDefault="00000000" w:rsidRPr="00000000" w14:paraId="0000047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ponencia also said that under the 1997 Concession Agreement, particularly Section 4.04 thereof, "default by Piatco of its loans used to finance the NAIA IPT Ill project triggers the occurrence of certain events that leads to the assumption by the government of the liability for the loans.” Again, this new provision "grants Piatco a financial advantage or benefit which was not previously made available during the bidding process." Explained the Decision: </w:t>
      </w:r>
    </w:p>
    <w:p w:rsidR="00000000" w:rsidDel="00000000" w:rsidP="00000000" w:rsidRDefault="00000000" w:rsidRPr="00000000" w14:paraId="0000047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"Public bidding is a standard practice for procuring government contracts for public service and for furnishing supplies and other materials. It aims to secure for the government the lowest possible price under the most favorable terms and conditions, to curtail favoritism in the award of government contracts and avoid suspicion of anomalies and it places all bidders on equal footing. Any government action which permits any substantial variance between the conditions under which the bids are invited and the contract executed after the award thereof is a grave abuse of discretion amounting to lack or excess of jurisdiction which warrants proper judicial action.</w:t>
      </w:r>
    </w:p>
    <w:p w:rsidR="00000000" w:rsidDel="00000000" w:rsidP="00000000" w:rsidRDefault="00000000" w:rsidRPr="00000000" w14:paraId="0000047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view of the above discussion, the fact that the foregoing substantial amendments were made on the 1997 Concession Agreement renders the same null and void for being contrary to public policy. These amendments convert the 1997 Concession Agreement to an entirely different agreement from the contract bidded out or the draft Concession Agreement. It is not difficult to see that the amendments on (1) the types of fees or charges that are subject to MIAA regulation or control and the extent thereof and (2) the assumption by the Government, under certain conditions, of the liabilities of PIATCO directly translates concrete financial advantages to PIATCO that were previously not available during the bidding merely supplements to or implementing provisions of those already existing in the draft Concession Agreement. The amendments discussed above present new terms and conditions which provide financial benefit to PIATCO which may have altered the technical and financial parameters of other bidders had they known that such terms were available."</w:t>
      </w:r>
    </w:p>
    <w:p w:rsidR="00000000" w:rsidDel="00000000" w:rsidP="00000000" w:rsidRDefault="00000000" w:rsidRPr="00000000" w14:paraId="0000047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Direct Government Guarantee </w:t>
      </w:r>
    </w:p>
    <w:p w:rsidR="00000000" w:rsidDel="00000000" w:rsidP="00000000" w:rsidRDefault="00000000" w:rsidRPr="00000000" w14:paraId="0000047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 than merely violating the "level the playing field" policy of government, Section 4.04 in relation to Section 1.06 of the CA places the government "at risk of being liable to Piatco's creditors should the latter be unable to designate effect, whatever option the government chooses to take in the event of Piatco's failure to fulfill its obligations, the government is still at risk of assuming Piatco’s outstanding loans." </w:t>
      </w:r>
    </w:p>
    <w:p w:rsidR="00000000" w:rsidDel="00000000" w:rsidP="00000000" w:rsidRDefault="00000000" w:rsidRPr="00000000" w14:paraId="0000047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CA provision is prohibited by Section 2(n) of the BOT Law. This violation was not cured by the ARCA, which even "provides for a direct guarantee by the government to pay Piatco's loans not only to its Senior Lenders but to all other entities who provided Piatco funds or services upon Piatco's default in its loan obligation with its Senior Lenders." On this point, the ponencia elucidates: </w:t>
      </w:r>
    </w:p>
    <w:p w:rsidR="00000000" w:rsidDel="00000000" w:rsidP="00000000" w:rsidRDefault="00000000" w:rsidRPr="00000000" w14:paraId="0000047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Court has long and consistently adhered to the legal maxim that those that cannot be done directly cannot be done indirectly." To declare the Piatco contracts valid despite the clear statutory prohibition against a direct government guarantee would not only make a mockery of what the BOT Law seeks to prevent - which is to expose the government to the risk of incurring a monetary obligation resulting from a contract of loan between the project proponent and its lenders and to which the government is not a party to - but would also render the BOT Law useless for what it seeks to achieve - to make use of the resources s of the private sector in the 'financing, operation and maintenance of infrastructure and development projects' which are necessary for have national growth and development but which the government, unfortunately, could ill-afford to finance at this point in time."</w:t>
      </w:r>
    </w:p>
    <w:p w:rsidR="00000000" w:rsidDel="00000000" w:rsidP="00000000" w:rsidRDefault="00000000" w:rsidRPr="00000000" w14:paraId="00000477">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Temporary Government </w:t>
      </w:r>
    </w:p>
    <w:p w:rsidR="00000000" w:rsidDel="00000000" w:rsidP="00000000" w:rsidRDefault="00000000" w:rsidRPr="00000000" w14:paraId="0000047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Takeover Without Payment of Compensation </w:t>
      </w:r>
    </w:p>
    <w:p w:rsidR="00000000" w:rsidDel="00000000" w:rsidP="00000000" w:rsidRDefault="00000000" w:rsidRPr="00000000" w14:paraId="0000047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declaring the Piatco contracts void, the Puno Decision - citing Section 17 of Article XII of the Constitution? - said that the government could "temporarily" take over the operation of Terminal Ill without being "required to compensate the private entity-owner of the said business as there is no transfer of ownership, whether permanent or temporary. The private entity-owner claim affected by the temporary takeover cannot, likewise,and  its just compensation for the use of the said business in the exercise of its police power and not the power of eminent domain." 31 Added the ponencia:</w:t>
      </w:r>
    </w:p>
    <w:p w:rsidR="00000000" w:rsidDel="00000000" w:rsidP="00000000" w:rsidRDefault="00000000" w:rsidRPr="00000000" w14:paraId="0000047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"Piatco cannot, by mere contractual stipulation, contravene the Constitutional provision on temporary government takeover and obligate use the government to pay 'reasonable cost for the le Artic of the Terminal and/ or Terminal Complex'isio ns a XII, Section 17 of the 1987 Constitution env situation wherein the exigencies of the times necessitate the government to 'temporarily takeover or direct the operation of any privately owned public utility or business affected with public interest. It is the welfare and interest of the public which is the paramount consideration in determining whether or not to temporarily take over a particular business. Clearly, the State in effecting the temporary takeover is exercising its police power. Police power is the ‘most essential, insistent, and illimitable of powers.’ Its exercise therefore must not be unreasonably hampered nor its exercise be a source of obligation by the government in the absence of damage due to arbitrariness of its exercise. Thus, requiring the government to pay reasonable compensation for the reasonable use of the property pursuant to the operation of the business contravenes the Constitution."</w:t>
      </w:r>
    </w:p>
    <w:p w:rsidR="00000000" w:rsidDel="00000000" w:rsidP="00000000" w:rsidRDefault="00000000" w:rsidRPr="00000000" w14:paraId="0000047B">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Regulation of Monopoly </w:t>
      </w:r>
    </w:p>
    <w:p w:rsidR="00000000" w:rsidDel="00000000" w:rsidP="00000000" w:rsidRDefault="00000000" w:rsidRPr="00000000" w14:paraId="0000047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Piatco was granted by the 1997 CA "exclusive right to operate a commercial international passenger terminal within the Island of Luzon" with the exception of those already operating like Subic, Clark and Laoag. Hence, the ponencia held that, under Section 19 of Article XII of the Constitution, the State may regulate and supervise the operation of Terminal III. </w:t>
      </w:r>
    </w:p>
    <w:p w:rsidR="00000000" w:rsidDel="00000000" w:rsidP="00000000" w:rsidRDefault="00000000" w:rsidRPr="00000000" w14:paraId="0000047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Finally, the Decision also extended protection to service providers presently operating in Terminal I, as follows:</w:t>
      </w:r>
    </w:p>
    <w:p w:rsidR="00000000" w:rsidDel="00000000" w:rsidP="00000000" w:rsidRDefault="00000000" w:rsidRPr="00000000" w14:paraId="0000047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"We hold that while the service providers presently operating at NAIA Terminal I do not have an absolute right for the renewal or the extension of their respective contracts, those contracts whose duration extends beyond NAIA IPT III's In-Service-Date should not be unduly prejudiced. These contracts must be respected not just by the parties thereto but also by third parties. Piatco cannot, by this portion of law and certainly not by contract, render a valid and binding contract nugatory. Piatco, by the mere expedient of claiming an exclusive right to operate, cannot require the Government to break its contractual obligations to the service providers. In contrast to the arrastre and stevedoring service providers in the case of Anglo-Fil Trading Corporation v. Lazaro whose contracts consist of temporary hold-over permits, the affected service providers in the cases at bar have a valid and binding contract with the Government, through MIAA, whose period of effectivity, as well as the other terms and conditions thereof, cannot be violated."</w:t>
      </w:r>
    </w:p>
    <w:p w:rsidR="00000000" w:rsidDel="00000000" w:rsidP="00000000" w:rsidRDefault="00000000" w:rsidRPr="00000000" w14:paraId="0000047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now quote verbatim the summation of Justice Puno's 76-page ponencia: </w:t>
      </w:r>
    </w:p>
    <w:p w:rsidR="00000000" w:rsidDel="00000000" w:rsidP="00000000" w:rsidRDefault="00000000" w:rsidRPr="00000000" w14:paraId="0000048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sum, this Court rules that in view of the absence of the requisite financial capacity of the Paircargo Consortium, predecessor of respondent Piatco, the award by the PBAC of the contract for the construction, operation and maintenance of the NAIA IPT III is null and void. Further, considering that the 1997 Concession Agreement contains material and substantial amendments, which amendments had the effect of converting the 1997 Concession Agreement into an entirely different agreement from the contract bidded upon, the 1997 Concession Agreement is similarly null and void for being contrary to public policy. The provisions under Sections 4.04(b) and (c) in relation to Section 1.06 of the 1997 Concession Agreement and Section 4.04(c) in relation to Section 1.06 of the ARCA, which constitute a direct government guarantee expressly prohibited by, among others, the BOT Law and its Implementing Rules and Regulations, are also null and void. The Supplements, being accessory contracts to the ARCA, are likewise null and void."</w:t>
      </w:r>
    </w:p>
    <w:p w:rsidR="00000000" w:rsidDel="00000000" w:rsidP="00000000" w:rsidRDefault="00000000" w:rsidRPr="00000000" w14:paraId="0000048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My Separate Opinion</w:t>
      </w:r>
    </w:p>
    <w:p w:rsidR="00000000" w:rsidDel="00000000" w:rsidP="00000000" w:rsidRDefault="00000000" w:rsidRPr="00000000" w14:paraId="0000048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wrote a rather lengthy 98-page Separate Opinion concurring in the ponencia's disposition that the five Piatco contracts were null and void. But I took issue with the ruling that the government could take over the new Terminal "temporarily" without having to pay just compensation. </w:t>
      </w:r>
    </w:p>
    <w:p w:rsidR="00000000" w:rsidDel="00000000" w:rsidP="00000000" w:rsidRDefault="00000000" w:rsidRPr="00000000" w14:paraId="0000048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Separate Opinion no longer narrated the factual antecedents, because these were already adequately presented in the ponencia. Instead, it tackled directly and immediately the two sets of issues: the procedural and the substantive. </w:t>
      </w:r>
    </w:p>
    <w:p w:rsidR="00000000" w:rsidDel="00000000" w:rsidP="00000000" w:rsidRDefault="00000000" w:rsidRPr="00000000" w14:paraId="00000484">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Procedural Issues </w:t>
      </w:r>
    </w:p>
    <w:p w:rsidR="00000000" w:rsidDel="00000000" w:rsidP="00000000" w:rsidRDefault="00000000" w:rsidRPr="00000000" w14:paraId="0000048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discussed in detail each of the procedural questions raised but, in this summary, let me just say that when the whole country, the Court had in the past waived procedural obstacles. The subject contracts pertain to the construction and the operation of the country's premiere international airport terminal that is expected to play a major role in the country's economic development and international image. These five BOT contracts entailed investments and loans in billions of pesos and contained provisions that tended to violate constitutional and legal prohibitions. Clearly, public interest was inevitably affected. In any event, sending the cases to the regional trial court would just have delayed the final resolution of the cases; after all, the proceedings would ultimately be appealed to the High Court. Thus, it w a s to everyone's benefit that the matter be resolved immediately.</w:t>
      </w:r>
    </w:p>
    <w:p w:rsidR="00000000" w:rsidDel="00000000" w:rsidP="00000000" w:rsidRDefault="00000000" w:rsidRPr="00000000" w14:paraId="00000486">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Substantive Issues</w:t>
      </w:r>
    </w:p>
    <w:p w:rsidR="00000000" w:rsidDel="00000000" w:rsidP="00000000" w:rsidRDefault="00000000" w:rsidRPr="00000000" w14:paraId="0000048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discussing the substantive issues, I tracked the incidents in the Piatco contracts from their inception up to the filing of the Petitions.I found that the whole process was riddled with significant lapses. </w:t>
      </w:r>
    </w:p>
    <w:p w:rsidR="00000000" w:rsidDel="00000000" w:rsidP="00000000" w:rsidRDefault="00000000" w:rsidRPr="00000000" w14:paraId="0000048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Lapses During the</w:t>
      </w:r>
    </w:p>
    <w:p w:rsidR="00000000" w:rsidDel="00000000" w:rsidP="00000000" w:rsidRDefault="00000000" w:rsidRPr="00000000" w14:paraId="0000048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Bidding Process</w:t>
      </w:r>
    </w:p>
    <w:p w:rsidR="00000000" w:rsidDel="00000000" w:rsidP="00000000" w:rsidRDefault="00000000" w:rsidRPr="00000000" w14:paraId="0000048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Questionable Prequalification of Paircargo</w:t>
      </w:r>
    </w:p>
    <w:p w:rsidR="00000000" w:rsidDel="00000000" w:rsidP="00000000" w:rsidRDefault="00000000" w:rsidRPr="00000000" w14:paraId="0000048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begin with, the Paircargo consortium was not even qualified to participate in the bidding process, as it had failed to meet the financial standard for prequalification: a combined net worth of at least 30 percent of the project cost, which was US$350 million. The consortium had a combined investible net worth of only P558 million, far below the required P2.755 billion minimum equity. Hence, it should have been rejected outright. </w:t>
      </w:r>
    </w:p>
    <w:p w:rsidR="00000000" w:rsidDel="00000000" w:rsidP="00000000" w:rsidRDefault="00000000" w:rsidRPr="00000000" w14:paraId="0000048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Instead, the chair of the Prequalification and Bidding Committee declared Paircargo prequalified. In violation of Section 21-B of the General Banking Act - which provides that a commercial bank's equity investment in any one enterprise, allied or non-allied, should not exceed 15 percent of the net worth of the investing bank — he treated the entire P3.524 billion equity of Security Bank, a consortium member, as investible in the project. In so doing, he likewise contravened the financial capability requirement of the BOT Law, its 1994 Implementing Rules and Regulations (IRR), as well as the Supreme Court's consistent position emphasizing the strict application of pertinent rules, regulations and guidelines for the public bidding process.</w:t>
      </w:r>
    </w:p>
    <w:p w:rsidR="00000000" w:rsidDel="00000000" w:rsidP="00000000" w:rsidRDefault="00000000" w:rsidRPr="00000000" w14:paraId="0000048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essence of public bidding is an opportunity for fair competition and a basis for a precise comparison of bids. Each bidder must bid under the same conditions; and be subject to the same guidelines, requirements and limitation, so that the best offer or lowest bid may be determined, all n other things being equal. Thus, to permit a variance between under the conditions under which bids are invited and those which proposals are submitted and approved is to go against the very concept of public bidding.</w:t>
      </w:r>
    </w:p>
    <w:p w:rsidR="00000000" w:rsidDel="00000000" w:rsidP="00000000" w:rsidRDefault="00000000" w:rsidRPr="00000000" w14:paraId="0000048E">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2. AEDC's Deprivation of the Right to Match Piatco's Price Challenge</w:t>
      </w:r>
    </w:p>
    <w:p w:rsidR="00000000" w:rsidDel="00000000" w:rsidP="00000000" w:rsidRDefault="00000000" w:rsidRPr="00000000" w14:paraId="0000048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problem followed almost immediately. AEDC, being the originator of the unsolicited proposal for Terminal IlI, had the right under the BOT Law to make a reasonably informed bid and match the price challenge of the Paircargo consortium. Yet, it was effectively shut out of the game altogether and deprived of this right. Misapplying a confidentiality provision in the 1994 IRR, the PBAC chair declared that AEDC would be permitted access only to the schedule of proposed annual guaranteed payments, but not to the financial and technical proposals of Piatco - the basis for the price challenge in the first place. </w:t>
      </w:r>
    </w:p>
    <w:p w:rsidR="00000000" w:rsidDel="00000000" w:rsidP="00000000" w:rsidRDefault="00000000" w:rsidRPr="00000000" w14:paraId="00000490">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3. Substantial Delay in the Issuance of the Notice of Award</w:t>
      </w:r>
    </w:p>
    <w:p w:rsidR="00000000" w:rsidDel="00000000" w:rsidP="00000000" w:rsidRDefault="00000000" w:rsidRPr="00000000" w14:paraId="0000049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Specific guidelines and clear timetables are prescribed by the IRR for the purpose of discouraging collusion and reducing the opportunity for abuse in the course of the award process. Still, several lengthy and unexplained delays occurred in the process of issuing the Notice of Award and, thus, in executing the 1997 Concession Agreement (CA). Because such Notice had set forth specific timetables - for the winning bidder to submit the prescribed performance security, proof of commitment of equity contributions, and indications of sources of financing — the delay in the issuance thereof undoubtedly benefited Piatco by allowing it more time for compliance.</w:t>
      </w:r>
    </w:p>
    <w:p w:rsidR="00000000" w:rsidDel="00000000" w:rsidP="00000000" w:rsidRDefault="00000000" w:rsidRPr="00000000" w14:paraId="0000049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the entire bidding process was flawed from the outset, there was effectively no public bidding to speak of. Therefore, the award of the concession to Paircargo was void; so were the Concession and consequent Agreements executed with it likewise void ab initio. For this reason, Piatco, into which Paircargo was later incorporated on February 27, 1997, should not be allowed to benefit from those contracts.</w:t>
      </w:r>
    </w:p>
    <w:p w:rsidR="00000000" w:rsidDel="00000000" w:rsidP="00000000" w:rsidRDefault="00000000" w:rsidRPr="00000000" w14:paraId="0000049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Lapses After the </w:t>
      </w:r>
    </w:p>
    <w:p w:rsidR="00000000" w:rsidDel="00000000" w:rsidP="00000000" w:rsidRDefault="00000000" w:rsidRPr="00000000" w14:paraId="00000494">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Bidding Process </w:t>
      </w:r>
    </w:p>
    <w:p w:rsidR="00000000" w:rsidDel="00000000" w:rsidP="00000000" w:rsidRDefault="00000000" w:rsidRPr="00000000" w14:paraId="0000049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violations did not stop there. After the contract had been awarded, Piatco still negotiated changes therein and ended up with what amounted to a substantially new contract without any public bidding. </w:t>
      </w:r>
    </w:p>
    <w:p w:rsidR="00000000" w:rsidDel="00000000" w:rsidP="00000000" w:rsidRDefault="00000000" w:rsidRPr="00000000" w14:paraId="00000496">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 The 1997 Concession Agreement</w:t>
      </w:r>
    </w:p>
    <w:p w:rsidR="00000000" w:rsidDel="00000000" w:rsidP="00000000" w:rsidRDefault="00000000" w:rsidRPr="00000000" w14:paraId="0000049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the CA, executed on July 12, 1997, differed from the original Draft Concession Agreement (DCA) in several very material and significant respects. For purposes of easier understanding and later comparison, the CA's provisions may be presented, though not originally classified, under the following headings: </w:t>
      </w:r>
    </w:p>
    <w:p w:rsidR="00000000" w:rsidDel="00000000" w:rsidP="00000000" w:rsidRDefault="00000000" w:rsidRPr="00000000" w14:paraId="00000498">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 The Grant of Exclusive Rights</w:t>
      </w:r>
    </w:p>
    <w:p w:rsidR="00000000" w:rsidDel="00000000" w:rsidP="00000000" w:rsidRDefault="00000000" w:rsidRPr="00000000" w14:paraId="0000049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Piatco has the exclusive right to airport-related services for international airlines and passengers.</w:t>
      </w:r>
    </w:p>
    <w:p w:rsidR="00000000" w:rsidDel="00000000" w:rsidP="00000000" w:rsidRDefault="00000000" w:rsidRPr="00000000" w14:paraId="0000049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Certain fees, rentals and other charges (food services; lease/rental charges; transportation utility concessions; concession privilege fees for passenger service</w:t>
      </w:r>
    </w:p>
    <w:p w:rsidR="00000000" w:rsidDel="00000000" w:rsidP="00000000" w:rsidRDefault="00000000" w:rsidRPr="00000000" w14:paraId="0000049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ground handling, catering and other fees) may be adjusted without MIAA's approval or intervention. </w:t>
      </w:r>
    </w:p>
    <w:p w:rsidR="00000000" w:rsidDel="00000000" w:rsidP="00000000" w:rsidRDefault="00000000" w:rsidRPr="00000000" w14:paraId="0000049C">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b.   Provisions on Piatco's Liabilities</w:t>
      </w:r>
    </w:p>
    <w:p w:rsidR="00000000" w:rsidDel="00000000" w:rsidP="00000000" w:rsidRDefault="00000000" w:rsidRPr="00000000" w14:paraId="0000049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government shall answer for the unpaid loans and debts (" Attendant Liabilities") of Piatco in the event the latter fails to pay its Senior Lenders.</w:t>
      </w:r>
    </w:p>
    <w:p w:rsidR="00000000" w:rsidDel="00000000" w:rsidP="00000000" w:rsidRDefault="00000000" w:rsidRPr="00000000" w14:paraId="0000049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To satisfy the claims of its secured creditors first, Piatco is allowed to suspend payments to the government.</w:t>
      </w:r>
    </w:p>
    <w:p w:rsidR="00000000" w:rsidDel="00000000" w:rsidP="00000000" w:rsidRDefault="00000000" w:rsidRPr="00000000" w14:paraId="0000049F">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   Termination Provision</w:t>
      </w:r>
    </w:p>
    <w:p w:rsidR="00000000" w:rsidDel="00000000" w:rsidP="00000000" w:rsidRDefault="00000000" w:rsidRPr="00000000" w14:paraId="000004A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In case of contract termination due to its fault, the government shall pay all expenses that Piatco incurred for the project plus the appraised value of the Terminal.</w:t>
      </w:r>
    </w:p>
    <w:p w:rsidR="00000000" w:rsidDel="00000000" w:rsidP="00000000" w:rsidRDefault="00000000" w:rsidRPr="00000000" w14:paraId="000004A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Obviously, such substantial changes in the original had an existing policy on public bidding as well as the spirit and intent of the BOT Law. The whole point of going through the public bidding exercise was totally subverted. Allowing the winning bidder to renegotiate substantial portions of the original contract was tantamount to permitting it to put in anything it wanted.</w:t>
      </w:r>
    </w:p>
    <w:p w:rsidR="00000000" w:rsidDel="00000000" w:rsidP="00000000" w:rsidRDefault="00000000" w:rsidRPr="00000000" w14:paraId="000004A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Amended and Restated Concession Agreement </w:t>
      </w:r>
    </w:p>
    <w:p w:rsidR="00000000" w:rsidDel="00000000" w:rsidP="00000000" w:rsidRDefault="00000000" w:rsidRPr="00000000" w14:paraId="000004A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 satisfied with the 1997 Concession Agreement, Piatco - once more without bothering with public bidding - negotiated with the government for still more substantive changes. The result was the ARCA, which was executed on November 26, 1998. Again, for purposes of easier understanding and comparison, ARCA's features are grouped as follows: </w:t>
      </w:r>
    </w:p>
    <w:p w:rsidR="00000000" w:rsidDel="00000000" w:rsidP="00000000" w:rsidRDefault="00000000" w:rsidRPr="00000000" w14:paraId="000004A4">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 The Grant of Exclusive Rights</w:t>
      </w:r>
    </w:p>
    <w:p w:rsidR="00000000" w:rsidDel="00000000" w:rsidP="00000000" w:rsidRDefault="00000000" w:rsidRPr="00000000" w14:paraId="000004A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exclusive rights of Piatco were extended: DOTC/MIAA may no longer intervene when the former's non-public utility revenues become exorbitant or excessive. </w:t>
      </w:r>
    </w:p>
    <w:p w:rsidR="00000000" w:rsidDel="00000000" w:rsidP="00000000" w:rsidRDefault="00000000" w:rsidRPr="00000000" w14:paraId="000004A6">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b. Provisions on Piatco's Liabilities</w:t>
      </w:r>
    </w:p>
    <w:p w:rsidR="00000000" w:rsidDel="00000000" w:rsidP="00000000" w:rsidRDefault="00000000" w:rsidRPr="00000000" w14:paraId="000004A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definition of Attendant Liabilities was further revised, such that the unpaid loans of Piatco for which the government may be required to answer are no longer limited to those recorded in the former's books or to those that were actually used in the Terminal Ill project.</w:t>
      </w:r>
    </w:p>
    <w:p w:rsidR="00000000" w:rsidDel="00000000" w:rsidP="00000000" w:rsidRDefault="00000000" w:rsidRPr="00000000" w14:paraId="000004A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parametric formula for the computation of adjustments/ increases in the public utility revenues (from the aircraft parking and tacking fees and check-in counter and terminal fees) was revised to permit Piatco to input its more costly short-term borrowing rates, thus lessening the revenues that should go to the government.</w:t>
      </w:r>
    </w:p>
    <w:p w:rsidR="00000000" w:rsidDel="00000000" w:rsidP="00000000" w:rsidRDefault="00000000" w:rsidRPr="00000000" w14:paraId="000004A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insurance policies Piatco obtained previously intended for the repair and rehabilitation of the facility in case of damage - are now assigned to the Senior Lenders as security for its loans.</w:t>
      </w:r>
    </w:p>
    <w:p w:rsidR="00000000" w:rsidDel="00000000" w:rsidP="00000000" w:rsidRDefault="00000000" w:rsidRPr="00000000" w14:paraId="000004A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government's right to appoint a comptroller for Piatco in case it encounters liquidity problems was removed.</w:t>
      </w:r>
    </w:p>
    <w:p w:rsidR="00000000" w:rsidDel="00000000" w:rsidP="00000000" w:rsidRDefault="00000000" w:rsidRPr="00000000" w14:paraId="000004AB">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   Termination Provisions </w:t>
      </w:r>
    </w:p>
    <w:p w:rsidR="00000000" w:rsidDel="00000000" w:rsidP="00000000" w:rsidRDefault="00000000" w:rsidRPr="00000000" w14:paraId="000004A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In case of breach of contract by Piatco, it shall not under certain circumstances be liable to pay liquidated damages to the government; but in case of the latter's breach, liquidated damages not only have to be paid in a substantially increased amount. </w:t>
      </w:r>
    </w:p>
    <w:p w:rsidR="00000000" w:rsidDel="00000000" w:rsidP="00000000" w:rsidRDefault="00000000" w:rsidRPr="00000000" w14:paraId="000004A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Even if the government is entitled to terminate the ARCA on account of Piatco's breach, if the termination occurs before the in-service date, it shall be liable to pay Piatco the appraised value of Terminal III or the latter's attendant liabilities - whichever is greater. </w:t>
      </w:r>
    </w:p>
    <w:p w:rsidR="00000000" w:rsidDel="00000000" w:rsidP="00000000" w:rsidRDefault="00000000" w:rsidRPr="00000000" w14:paraId="000004A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government shall waive the defense of illegality of contract in the event a case arises; if the contract is nevertheless declared illegal, it shall be liable to pay damages to Piatco. </w:t>
      </w:r>
    </w:p>
    <w:p w:rsidR="00000000" w:rsidDel="00000000" w:rsidP="00000000" w:rsidRDefault="00000000" w:rsidRPr="00000000" w14:paraId="000004AF">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 Special Obligations Imposed on the Government </w:t>
      </w:r>
    </w:p>
    <w:p w:rsidR="00000000" w:rsidDel="00000000" w:rsidP="00000000" w:rsidRDefault="00000000" w:rsidRPr="00000000" w14:paraId="000004B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government shall be liable for incremental and consequential costs and losses in case it fails to comply with the special obligations imposed on it by Piatco.</w:t>
      </w:r>
    </w:p>
    <w:p w:rsidR="00000000" w:rsidDel="00000000" w:rsidP="00000000" w:rsidRDefault="00000000" w:rsidRPr="00000000" w14:paraId="000004B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Patently, the foregoing revisions and amendments as embodied in the ARCA constitute very material alterations of the CA and manifestly give further undue advantage to Piatco at the expense of the government. Although Piatco reasoned that the changes were necessitated by the demands -    of its foreign lenders, no proof whatsoever was adduced to transacting with banks and foreign lenders, it is quite evident that the sum total of these changes resulted in drastically weakening the position of government to a degree that was excessive.</w:t>
      </w:r>
    </w:p>
    <w:p w:rsidR="00000000" w:rsidDel="00000000" w:rsidP="00000000" w:rsidRDefault="00000000" w:rsidRPr="00000000" w14:paraId="000004B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Piatco had managed to breach the protective rampart of public bidding, it boldly went on a rampage of further assaults on the ARCA. </w:t>
      </w:r>
    </w:p>
    <w:p w:rsidR="00000000" w:rsidDel="00000000" w:rsidP="00000000" w:rsidRDefault="00000000" w:rsidRPr="00000000" w14:paraId="000004B3">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3. The First Supplement</w:t>
      </w:r>
    </w:p>
    <w:p w:rsidR="00000000" w:rsidDel="00000000" w:rsidP="00000000" w:rsidRDefault="00000000" w:rsidRPr="00000000" w14:paraId="000004B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First Supplement, executed on August 27, 1999, the following changes were made to the ARCA: </w:t>
      </w:r>
    </w:p>
    <w:p w:rsidR="00000000" w:rsidDel="00000000" w:rsidP="00000000" w:rsidRDefault="00000000" w:rsidRPr="00000000" w14:paraId="000004B5">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 Additional Provision on Piatco's Liabilities </w:t>
      </w:r>
    </w:p>
    <w:p w:rsidR="00000000" w:rsidDel="00000000" w:rsidP="00000000" w:rsidRDefault="00000000" w:rsidRPr="00000000" w14:paraId="000004B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amounts payable to the government were reduced by allowing additional exceptions to the gross revenues in which it was supposed to participate.</w:t>
      </w:r>
    </w:p>
    <w:p w:rsidR="00000000" w:rsidDel="00000000" w:rsidP="00000000" w:rsidRDefault="00000000" w:rsidRPr="00000000" w14:paraId="000004B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Special Obligations Imposed on the Government </w:t>
      </w:r>
    </w:p>
    <w:p w:rsidR="00000000" w:rsidDel="00000000" w:rsidP="00000000" w:rsidRDefault="00000000" w:rsidRPr="00000000" w14:paraId="000004B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The government was obligated to construct and/or maintain at its expense an access road, a taxi lane and a taxi way for Terminal III, even though these were previously part of Piatco's obligations.</w:t>
      </w:r>
    </w:p>
    <w:p w:rsidR="00000000" w:rsidDel="00000000" w:rsidP="00000000" w:rsidRDefault="00000000" w:rsidRPr="00000000" w14:paraId="000004B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MIAA was required to provide funding for the maintenance and repair of airports and facilities owned or operated by it and by third persons under its control and would be liable to Piatco in case of breach.</w:t>
      </w:r>
    </w:p>
    <w:p w:rsidR="00000000" w:rsidDel="00000000" w:rsidP="00000000" w:rsidRDefault="00000000" w:rsidRPr="00000000" w14:paraId="000004B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Imposed on the government were ten "additional special obligations," which included the following: working for the removal of the general aviation traffic from the NAIA complex; providing the land required by Piatco for the taxi lane and the taxi way at no cost to the latter; implementing the government's existing storm drainage master plan; coordinating with DPWH the financing, the implementation and the completion, inter alia, of the following before the in-service date: three left-turning overpasses and a road upgrade and improvement program. </w:t>
      </w:r>
    </w:p>
    <w:p w:rsidR="00000000" w:rsidDel="00000000" w:rsidP="00000000" w:rsidRDefault="00000000" w:rsidRPr="00000000" w14:paraId="000004BB">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4.   The Second Supplement</w:t>
      </w:r>
    </w:p>
    <w:p w:rsidR="00000000" w:rsidDel="00000000" w:rsidP="00000000" w:rsidRDefault="00000000" w:rsidRPr="00000000" w14:paraId="000004B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Second Supplement, executed on September 4, 2000, called for Piatco - acting as a public works contractor - to clear, remove, demolish and dispose of improvements, subterranean obstructions and waste materials at the project site. Though denominated as Second Supplement, it was an entirely new public works contract.</w:t>
      </w:r>
    </w:p>
    <w:p w:rsidR="00000000" w:rsidDel="00000000" w:rsidP="00000000" w:rsidRDefault="00000000" w:rsidRPr="00000000" w14:paraId="000004BD">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5. The Third Supplement </w:t>
      </w:r>
    </w:p>
    <w:p w:rsidR="00000000" w:rsidDel="00000000" w:rsidP="00000000" w:rsidRDefault="00000000" w:rsidRPr="00000000" w14:paraId="000004B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Third Supplement, executed on June 22, 2001, passed on to government some of Piatco's obligations as occupants, improvements and obstructions from the site where the surface road connecting Terminals Il and III was to be constructed, as well as the repair and maintenance thereof.</w:t>
      </w:r>
    </w:p>
    <w:p w:rsidR="00000000" w:rsidDel="00000000" w:rsidP="00000000" w:rsidRDefault="00000000" w:rsidRPr="00000000" w14:paraId="000004B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must be emphasized that the three Supplements are void, inexistent and inoperative.First, they are mere amendments to and wholly dependent upon the ARCA, which is itself void and incapable of being ratified or amended. Second, even assuming arguendo that the ARCA is valid, still, in imposing significant new obligations upon government, the three Supplements altered the fundamental terms and stipulations of the former, thus necessitating a public bidding all over again; as there was none, the latter are consequently also void and inoperative.</w:t>
      </w:r>
    </w:p>
    <w:p w:rsidR="00000000" w:rsidDel="00000000" w:rsidP="00000000" w:rsidRDefault="00000000" w:rsidRPr="00000000" w14:paraId="000004C0">
      <w:pPr>
        <w:spacing w:after="80" w:before="80"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4C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Constitutional and Legal Provisions Violated</w:t>
      </w:r>
    </w:p>
    <w:p w:rsidR="00000000" w:rsidDel="00000000" w:rsidP="00000000" w:rsidRDefault="00000000" w:rsidRPr="00000000" w14:paraId="000004C2">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Terminal III: A Monopoly</w:t>
      </w:r>
    </w:p>
    <w:p w:rsidR="00000000" w:rsidDel="00000000" w:rsidP="00000000" w:rsidRDefault="00000000" w:rsidRPr="00000000" w14:paraId="000004C3">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   Operations </w:t>
      </w:r>
    </w:p>
    <w:p w:rsidR="00000000" w:rsidDel="00000000" w:rsidP="00000000" w:rsidRDefault="00000000" w:rsidRPr="00000000" w14:paraId="000004C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ARCA granted to Piatco, for the entire term of the concession agreement, "the exclusive right to operate a commercial international passenger terminal within the Island of Luzon," with the exception of those already existing (at Subic, Clark and Laoag City). This provision was in violation of Section 11, Article XII of the Constitution, prohibiting the grant of a franchise, a certificate, or any other form of authorization for the operation of a public utility that is "exclusive in character."</w:t>
      </w:r>
    </w:p>
    <w:p w:rsidR="00000000" w:rsidDel="00000000" w:rsidP="00000000" w:rsidRDefault="00000000" w:rsidRPr="00000000" w14:paraId="000004C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What was granted to Piatco was not merely a franchise, but an exclusive right to operate an international passenger terminal within the Island of Luzon. In short, a monopoly. The government is now prohibited from exercising its inherent power to grant any other person another franchise to operate such a public utility or to develop new airports in the event public interest in Luzon requires it. This move is highly detrimental to the government and to the public interest.</w:t>
      </w:r>
    </w:p>
    <w:p w:rsidR="00000000" w:rsidDel="00000000" w:rsidP="00000000" w:rsidRDefault="00000000" w:rsidRPr="00000000" w14:paraId="000004C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a public utility enterprise may constitute a monopoly - on account of the nature of its business and the absence of competition - does not justify a violation of the constitutional prohibition on the grant of an exclusive franchise or exclusive right to operate it. Of course, granting a franchise may result in a monopoly, but making it exclusive is expressly proscribed by the Constitution.</w:t>
      </w:r>
    </w:p>
    <w:p w:rsidR="00000000" w:rsidDel="00000000" w:rsidP="00000000" w:rsidRDefault="00000000" w:rsidRPr="00000000" w14:paraId="000004C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Actually, the ARCA did not just guarantee exclusivity; it also guaranteed that the government would not improve or expand the facilities at Clark. The latter would, instead, put a cap on Clark's operations until after Terminal III shall have been operated at its peak capacity for three consecutive years. But since the rate of influx of international passengers can vary substantially from year to year, it may be many more years before Terminal III operates at peak capacity for three consecutive years. Clark may thus end up stagnating, and the economic progress of a region limping, for a long time — for Piatco's benefit. </w:t>
      </w:r>
    </w:p>
    <w:p w:rsidR="00000000" w:rsidDel="00000000" w:rsidP="00000000" w:rsidRDefault="00000000" w:rsidRPr="00000000" w14:paraId="000004C8">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2. Services</w:t>
      </w:r>
    </w:p>
    <w:p w:rsidR="00000000" w:rsidDel="00000000" w:rsidP="00000000" w:rsidRDefault="00000000" w:rsidRPr="00000000" w14:paraId="000004C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Aside from the monopoly of operating an international airport terminal in Luzon, the ARCA created another one for Piatco within the NAIA - in the business of providing international airlines with airport-related services (ground handling, in-flight catering, cargo handling, and aircraft repair and maintenance services). The ARCA makes Terminal III the only international passenger terminal at NAIA, and therefore the only place where airport-related services for international airlines may be rendered. </w:t>
      </w:r>
    </w:p>
    <w:p w:rsidR="00000000" w:rsidDel="00000000" w:rsidP="00000000" w:rsidRDefault="00000000" w:rsidRPr="00000000" w14:paraId="000004C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the same time, the ARCA required the government not to allow service providers with expired MIAA contracts to renew or extend their contracts. Further the ARCA required the government not to allow service providers with ongoing services and operations at Terminal I to carry over their concession agreements, services, and operations to Terminal III, without first entering into an agreement with Piatco.</w:t>
      </w:r>
    </w:p>
    <w:p w:rsidR="00000000" w:rsidDel="00000000" w:rsidP="00000000" w:rsidRDefault="00000000" w:rsidRPr="00000000" w14:paraId="000004CB">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3. Pricing </w:t>
      </w:r>
    </w:p>
    <w:p w:rsidR="00000000" w:rsidDel="00000000" w:rsidP="00000000" w:rsidRDefault="00000000" w:rsidRPr="00000000" w14:paraId="000004C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Piatco also gained effective control over the fees, the rentals and other charges that these service providers would can regulate its exercise of discretion or ensure free and f "oversight function" the government might be able and minded to exercise is less than sufficient to protect the public interest.</w:t>
      </w:r>
    </w:p>
    <w:p w:rsidR="00000000" w:rsidDel="00000000" w:rsidP="00000000" w:rsidRDefault="00000000" w:rsidRPr="00000000" w14:paraId="000004C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Piatco provisions fall far short of the standard set by the BOT Law. The latter specifies that the project proponent is allowed to charge facility users appropriate tolls, fees, rentals and charges not exceeding those protected in its bid or as negotiated and incorporated in the contract. </w:t>
      </w:r>
    </w:p>
    <w:p w:rsidR="00000000" w:rsidDel="00000000" w:rsidP="00000000" w:rsidRDefault="00000000" w:rsidRPr="00000000" w14:paraId="000004CE">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4.   Impairment of Contract and Deprivation of Property Without Due Process </w:t>
      </w:r>
    </w:p>
    <w:p w:rsidR="00000000" w:rsidDel="00000000" w:rsidP="00000000" w:rsidRDefault="00000000" w:rsidRPr="00000000" w14:paraId="000004C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the in-service date, Terminal III will be the only terminal where the business of providing airport-related services to international airlines and passengers may be conducted at all. Consequently, pursuant to the ARCA, government through DOTC/MIAA will be compelled to break its existing contracts with service providers after that date, as they will no longer be allowed to operate in Terminal III. And because they cannot operate in any other international airport outside Luzon, and the government is not in a position to require Piatco to accommodate them, they will lose their businesses; and their respective employees, their employment.</w:t>
      </w:r>
    </w:p>
    <w:p w:rsidR="00000000" w:rsidDel="00000000" w:rsidP="00000000" w:rsidRDefault="00000000" w:rsidRPr="00000000" w14:paraId="000004D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the Piatco contracts not only impair the obligation on the deprivation of property and of liberty without due process of law. </w:t>
      </w:r>
    </w:p>
    <w:p w:rsidR="00000000" w:rsidDel="00000000" w:rsidP="00000000" w:rsidRDefault="00000000" w:rsidRPr="00000000" w14:paraId="000004D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Direct Government Guarantee </w:t>
      </w:r>
    </w:p>
    <w:p w:rsidR="00000000" w:rsidDel="00000000" w:rsidP="00000000" w:rsidRDefault="00000000" w:rsidRPr="00000000" w14:paraId="000004D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According to Section 4-A of the BOT Law as amended, unsolicited proposals such as the Terminal III project may be accepted by the government, provided </w:t>
      </w:r>
      <w:r w:rsidDel="00000000" w:rsidR="00000000" w:rsidRPr="00000000">
        <w:rPr>
          <w:rFonts w:ascii="Georgia" w:cs="Georgia" w:eastAsia="Georgia" w:hAnsi="Georgia"/>
          <w:i w:val="1"/>
          <w:iCs w:val="1"/>
          <w:rtl w:val="0"/>
        </w:rPr>
        <w:t xml:space="preserve">inter alia</w:t>
      </w:r>
      <w:r w:rsidDel="00000000" w:rsidR="00000000" w:rsidRPr="00000000">
        <w:rPr>
          <w:rFonts w:ascii="Georgia" w:cs="Georgia" w:eastAsia="Georgia" w:hAnsi="Georgia"/>
          <w:rtl w:val="0"/>
        </w:rPr>
        <w:t xml:space="preserve"> that no direct government guarantee, subsidy or equity is required. </w:t>
      </w:r>
      <w:r w:rsidDel="00000000" w:rsidR="00000000" w:rsidRPr="00000000">
        <w:rPr>
          <w:rFonts w:ascii="Georgia" w:cs="Georgia" w:eastAsia="Georgia" w:hAnsi="Georgia"/>
          <w:i w:val="1"/>
          <w:iCs w:val="1"/>
          <w:rtl w:val="0"/>
        </w:rPr>
        <w:t xml:space="preserve">Direct government guarantee</w:t>
      </w:r>
      <w:r w:rsidDel="00000000" w:rsidR="00000000" w:rsidRPr="00000000">
        <w:rPr>
          <w:rFonts w:ascii="Georgia" w:cs="Georgia" w:eastAsia="Georgia" w:hAnsi="Georgia"/>
          <w:rtl w:val="0"/>
        </w:rPr>
        <w:t xml:space="preserve"> is defined as the assumption by government - or by any of its agencies or any local government unit - of responsibility for repayment of debt directly incurred by a proponent in the implementation of its project, in case of a loan default.</w:t>
      </w:r>
    </w:p>
    <w:p w:rsidR="00000000" w:rsidDel="00000000" w:rsidP="00000000" w:rsidRDefault="00000000" w:rsidRPr="00000000" w14:paraId="000004D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Indefinite Postponement of Payments to Government</w:t>
      </w:r>
    </w:p>
    <w:p w:rsidR="00000000" w:rsidDel="00000000" w:rsidP="00000000" w:rsidRDefault="00000000" w:rsidRPr="00000000" w14:paraId="000004D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contract provisions on Piatco's liabilities and termination compensation contravene the above provision. The ARCA provides that in case Piatco is unable to meet any payment obligation to the Senior Lenders, the latter have the right to regulate the use of its cash resources to ensure payment of obligations to them. Only when their claims have been satisfied may any excess cash be used for payments of its obligations to the government. Such indefinite postponement precisely constitutes the direct government subsidy prohibited by the BOT Law. That Piatco will pay interest thereon does not validate the prohibited subsidy. </w:t>
      </w:r>
    </w:p>
    <w:p w:rsidR="00000000" w:rsidDel="00000000" w:rsidP="00000000" w:rsidRDefault="00000000" w:rsidRPr="00000000" w14:paraId="000004D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No Financial Comptrollership by Government The foregoing, combined with ARCA's provisions, removes government's right to appoint a financial comptroller to manage Piatco's cash position during situations of financial distress. The Senior Lende rs are effectively given the right to exercise financial comptrollership over Piatco and places in the hands of foreign lenders the power and authority to determine how much - if at all —the Philippine government (as grantor of the franchise) may be allowed to receive from Piatco, and when. The government will then be at the mercy of foreign lenders, contrary to public policy. Such a situation is an affront to the sovereignty of the Republic and to the national honor. </w:t>
      </w:r>
    </w:p>
    <w:p w:rsidR="00000000" w:rsidDel="00000000" w:rsidP="00000000" w:rsidRDefault="00000000" w:rsidRPr="00000000" w14:paraId="000004D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Compensation Even in Case of Piatco's Default </w:t>
      </w:r>
    </w:p>
    <w:p w:rsidR="00000000" w:rsidDel="00000000" w:rsidP="00000000" w:rsidRDefault="00000000" w:rsidRPr="00000000" w14:paraId="000004D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7 of the BOT Law as amended allows payment of compensation in instances in which contract term occurs without fault on the part of the project proponent, but not otherwise.</w:t>
      </w:r>
    </w:p>
    <w:p w:rsidR="00000000" w:rsidDel="00000000" w:rsidP="00000000" w:rsidRDefault="00000000" w:rsidRPr="00000000" w14:paraId="000004D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provision is clearly violated in the contracts. The ARCA stipulates that the government must pay termination compensation to Piatco, even when termination is initiated by the former for a breach of contractual commitments by the latter. </w:t>
      </w:r>
    </w:p>
    <w:p w:rsidR="00000000" w:rsidDel="00000000" w:rsidP="00000000" w:rsidRDefault="00000000" w:rsidRPr="00000000" w14:paraId="000004D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Moreover, instead of allowing recovery only of actual have sure expenses incurred for the project plus a reasonable rate of  return - or recovery of the proportionate contract cost, as permitted by the BOT Law - the ARCA specifies that termination compensation shall be equivalent to the amount guaranteed by government: either the appraised value of the terminal facility or the aggregate of the Attendant Liabilities, whichever is greater. In fine, a direct government guarantee for the aggregate amount of the money owed by Piatco - any of its debts under the sun. Thus, since that amount may greatly exceed the appraised value of the facility, the government may end up paying very much more than the real worth of Terminal III. </w:t>
      </w:r>
    </w:p>
    <w:p w:rsidR="00000000" w:rsidDel="00000000" w:rsidP="00000000" w:rsidRDefault="00000000" w:rsidRPr="00000000" w14:paraId="000004D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Worse, even if the government pays millions of dollars in termination compensation, the Senior Lenders may still foreclose the mortgage liens on the facility. </w:t>
      </w:r>
    </w:p>
    <w:p w:rsidR="00000000" w:rsidDel="00000000" w:rsidP="00000000" w:rsidRDefault="00000000" w:rsidRPr="00000000" w14:paraId="000004DB">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4.   No Insurance Coverage for Government Interest</w:t>
      </w:r>
    </w:p>
    <w:p w:rsidR="00000000" w:rsidDel="00000000" w:rsidP="00000000" w:rsidRDefault="00000000" w:rsidRPr="00000000" w14:paraId="000004D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Furthermore, where the BOT Law authorizes termination compensation, a prerequisite is that the interest of government be duly insured. The ARCA stipulates all insurance coverage for the terminal facility, but all insurance policies are to be assigned, and all proceeds payable, to the Senior Lenders. In effect, the government's interest is uninsured; it is Piatco's interest that is given another unauthorized government guarantee.</w:t>
      </w:r>
    </w:p>
    <w:p w:rsidR="00000000" w:rsidDel="00000000" w:rsidP="00000000" w:rsidRDefault="00000000" w:rsidRPr="00000000" w14:paraId="000004D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final analysis, the ARCA provisions in question are diametrically at odds with the spirit and intent of BOT Law. This law was meant to mobilize private resources to take on the burden and the risks of financing the construction, the operation and the maintenance of relevant infrastructure and development projects, which the government is not in a position to undertake. To the extent that the project proponent is able to obtain loans to fund the project, it shares those risks with its banks and other lenders. But where the proponent or its lenders manage to cajole or coerce the government into extending a guarantee of payment of the loan obligations, the risks are passed right back to the government.</w:t>
      </w:r>
    </w:p>
    <w:p w:rsidR="00000000" w:rsidDel="00000000" w:rsidP="00000000" w:rsidRDefault="00000000" w:rsidRPr="00000000" w14:paraId="000004DE">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Disbursement of Public Funds </w:t>
      </w:r>
    </w:p>
    <w:p w:rsidR="00000000" w:rsidDel="00000000" w:rsidP="00000000" w:rsidRDefault="00000000" w:rsidRPr="00000000" w14:paraId="000004DF">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for "Special Obligations" </w:t>
      </w:r>
    </w:p>
    <w:p w:rsidR="00000000" w:rsidDel="00000000" w:rsidP="00000000" w:rsidRDefault="00000000" w:rsidRPr="00000000" w14:paraId="000004E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Even Without Valid Appropriation</w:t>
      </w:r>
    </w:p>
    <w:p w:rsidR="00000000" w:rsidDel="00000000" w:rsidP="00000000" w:rsidRDefault="00000000" w:rsidRPr="00000000" w14:paraId="000004E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Clearly prohibited by the Constitution is the disbursement of public funds out of the Treasury except in pursuance of an appropriation made by law. Executive Order 292 of the Administrative Code of 1987 provides that no contract involving expenditure of public funds shall but entered into without an appropriation therefor; or without a certification by the proper accounting official of the ag concerned, stating that funds have been duly appropriated for the purpose, and that the amount needed under the contract is available for the current year. These twin requisites have been held to be the </w:t>
      </w:r>
      <w:r w:rsidDel="00000000" w:rsidR="00000000" w:rsidRPr="00000000">
        <w:rPr>
          <w:rFonts w:ascii="Georgia" w:cs="Georgia" w:eastAsia="Georgia" w:hAnsi="Georgia"/>
          <w:i w:val="1"/>
          <w:iCs w:val="1"/>
          <w:rtl w:val="0"/>
        </w:rPr>
        <w:t xml:space="preserve">conditio sine qua non </w:t>
      </w:r>
      <w:r w:rsidDel="00000000" w:rsidR="00000000" w:rsidRPr="00000000">
        <w:rPr>
          <w:rFonts w:ascii="Georgia" w:cs="Georgia" w:eastAsia="Georgia" w:hAnsi="Georgia"/>
          <w:rtl w:val="0"/>
        </w:rPr>
        <w:t xml:space="preserve">for the execution and the validity of government contracts. </w:t>
      </w:r>
    </w:p>
    <w:p w:rsidR="00000000" w:rsidDel="00000000" w:rsidP="00000000" w:rsidRDefault="00000000" w:rsidRPr="00000000" w14:paraId="000004E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three Supplements to the ARCA imposed on the government additional burdens that involved spending public money without prior appropriation. Piatco's justification - that the contractual stipulations were for d;     compliance on a best-efforts basis only - does not hold water. Many of the additional special obligations set forth in the FS are obviously critical to the success of the Terminal III project, so failure to deliver on any of those obligations may result in a material breach of the Piatco contracts. The concessionaire may then terminate those contracts and seek payment of liquidated damages from the government. Hence, the obligations in the Supplements are not to be performed on a best-efforts basis only, but are mandatory in character. </w:t>
      </w:r>
    </w:p>
    <w:p w:rsidR="00000000" w:rsidDel="00000000" w:rsidP="00000000" w:rsidRDefault="00000000" w:rsidRPr="00000000" w14:paraId="000004E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No Time Limit on Franchises</w:t>
      </w:r>
    </w:p>
    <w:p w:rsidR="00000000" w:rsidDel="00000000" w:rsidP="00000000" w:rsidRDefault="00000000" w:rsidRPr="00000000" w14:paraId="000004E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ARCA has an innovative way to circumvent Section 11 of Article XII in its prohibition on a franchise or certificate for a period longer than fifty years. Full payment by the government of specified liquidated damages to Piatco was made a condition precedent for turnover of the Terminal III facility to the former in the event of contract termination. Until such full payment, the latter shall continue to operate the Terminal, withhold all payments to the government, and apply these to the liquidated damages.</w:t>
      </w:r>
    </w:p>
    <w:p w:rsidR="00000000" w:rsidDel="00000000" w:rsidP="00000000" w:rsidRDefault="00000000" w:rsidRPr="00000000" w14:paraId="000004E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easy payment scheme will allow the government to avoid outright payment of its obligation, which will likely run into billions of pesos. Nevertheless, such a scheme would cost the government considerable lost income that it would earn if it were to operate Terminal III by itself. And since payments to Piatco will be on "installment basis," interest charges on the remaining unpaid balance would cause the total outstanding balance to swell, such that Piatco would be entitled to keep operating the Terminal for an indefinite length of time.</w:t>
      </w:r>
    </w:p>
    <w:p w:rsidR="00000000" w:rsidDel="00000000" w:rsidP="00000000" w:rsidRDefault="00000000" w:rsidRPr="00000000" w14:paraId="000004E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repeat, my Separate Opinion reached the same conclusion as the ponencia that the five Piatco contracts were all void. However, on the decisive question of what to do with the terminal, Justice Puno ruled that the government, invoking its police power, may "temporarily" take over the facility, without need of paying any compensation therefore. In my case, I opined that just compensation based on quantum </w:t>
      </w:r>
      <w:r w:rsidDel="00000000" w:rsidR="00000000" w:rsidRPr="00000000">
        <w:rPr>
          <w:rFonts w:ascii="Georgia" w:cs="Georgia" w:eastAsia="Georgia" w:hAnsi="Georgia"/>
          <w:i w:val="1"/>
          <w:iCs w:val="1"/>
          <w:rtl w:val="0"/>
        </w:rPr>
        <w:t xml:space="preserve">meruit</w:t>
      </w:r>
      <w:r w:rsidDel="00000000" w:rsidR="00000000" w:rsidRPr="00000000">
        <w:rPr>
          <w:rFonts w:ascii="Georgia" w:cs="Georgia" w:eastAsia="Georgia" w:hAnsi="Georgia"/>
          <w:rtl w:val="0"/>
        </w:rPr>
        <w:t xml:space="preserve"> was needed to be paid to Piatco and its investors, funders and contractors. I consider this a significant distinction. Hence, I would like to quote in its entirety my "Epilogue" which explained my position, as follows: </w:t>
      </w:r>
    </w:p>
    <w:p w:rsidR="00000000" w:rsidDel="00000000" w:rsidP="00000000" w:rsidRDefault="00000000" w:rsidRPr="00000000" w14:paraId="000004E7">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4E8">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"Epilogue: </w:t>
      </w:r>
    </w:p>
    <w:p w:rsidR="00000000" w:rsidDel="00000000" w:rsidP="00000000" w:rsidRDefault="00000000" w:rsidRPr="00000000" w14:paraId="000004E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Do We Do Now? </w:t>
      </w:r>
    </w:p>
    <w:p w:rsidR="00000000" w:rsidDel="00000000" w:rsidP="00000000" w:rsidRDefault="00000000" w:rsidRPr="00000000" w14:paraId="000004E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final analysis, there remains but one ultimate question, which I raised during the Oral Argument on December 10, 2002: What do we do with the Piatco contracts and Terminal III? (Feeding directly into the resolution of the decisive question is the other nagging issue: Why should we bother with determining the legality and validity of these contracts, when the Terminal itself has already been built and is practically complete?)</w:t>
      </w:r>
    </w:p>
    <w:p w:rsidR="00000000" w:rsidDel="00000000" w:rsidP="00000000" w:rsidRDefault="00000000" w:rsidRPr="00000000" w14:paraId="000004E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"Prescinding from all the foregoing disquisitions, I find that all the Piatco contracts, without exception, are void ab initio and therefore inoperative. Even the very process by which the contracts came into being - the bidding and the award - has been riddled with irregularities galore and blatant violations of law and public policy, far too many to ignore. There is thus no conceivable way, as proposed by some, of saving one (the original Concession Agreement) while junking all the rest.</w:t>
      </w:r>
    </w:p>
    <w:p w:rsidR="00000000" w:rsidDel="00000000" w:rsidP="00000000" w:rsidRDefault="00000000" w:rsidRPr="00000000" w14:paraId="000004E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"Neither is it possible to argue for the retention of the Draft Concession Agreement (referred to in the various pleadings as the 'Contract Bidded Out') as the contract that should be kept in force and effect to govern the situation, inasmuch as it was never executed by the parties. What Piatco and the government executed was the Concession Agreement, which is entirely different from the Draft Concession Agreement. </w:t>
      </w:r>
    </w:p>
    <w:p w:rsidR="00000000" w:rsidDel="00000000" w:rsidP="00000000" w:rsidRDefault="00000000" w:rsidRPr="00000000" w14:paraId="000004E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"Ultimately, though, it would be tantamount to an outrageous, grievous and unforgivable mutilation of public policy and an insult to ourselves if we opt to keep in place a contract - any contract - for to do so would assume that we agree to having Piatco continue as the concessionaire for Terminal III.</w:t>
      </w:r>
    </w:p>
    <w:p w:rsidR="00000000" w:rsidDel="00000000" w:rsidP="00000000" w:rsidRDefault="00000000" w:rsidRPr="00000000" w14:paraId="000004E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"Despite all the insidious contraventions of the Constitution, law and public policy Piatco perpetrated, keeping Piatco on as concessionaire and even rewarding it by allowing it to operate and profit from Terminal III instead of imposing upon it the stiffest sanctions permissible under the laws - is unconscionable.</w:t>
      </w:r>
    </w:p>
    <w:p w:rsidR="00000000" w:rsidDel="00000000" w:rsidP="00000000" w:rsidRDefault="00000000" w:rsidRPr="00000000" w14:paraId="000004E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no exaggeration to say that Piatco may not really mind which contract we decide to keep in place. For all it may care, we can do just as well without one, if we only let it continue and operate the facility. After all, the real money if Piatco was deemed come not from building the Terminal, but from actually operating it for fifty or more years and charging whatever it feels like, without any competition at all. This scenario must not be allowed to happen. </w:t>
      </w:r>
    </w:p>
    <w:p w:rsidR="00000000" w:rsidDel="00000000" w:rsidP="00000000" w:rsidRDefault="00000000" w:rsidRPr="00000000" w14:paraId="000004F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"If the Piatco contracts are junked altogether as I think  they should be, should not AEDC automatically be considered the winning bidder and therefore allowed to C operate the facility? My answer is a stone-cold 'No.' AED never won the bidding, never signed any contract, and never built any facility. Why should it be allowed to automatically step in and benefit from the greed of another? </w:t>
      </w:r>
    </w:p>
    <w:p w:rsidR="00000000" w:rsidDel="00000000" w:rsidP="00000000" w:rsidRDefault="00000000" w:rsidRPr="00000000" w14:paraId="000004F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"Should the government pay at all for reasonable expenses incurred in the construction of the Terminal? Indeed it should; otherwise, it will be unjustly enriching itself at the expense of Piatco and, in particular , its funders, and investors - both local and foreign. After all, there is no question that the State needs and will make use of Terminal III, it being part and parcel of the critical infrastructure and transportation-related programs of the government. </w:t>
      </w:r>
    </w:p>
    <w:p w:rsidR="00000000" w:rsidDel="00000000" w:rsidP="00000000" w:rsidRDefault="00000000" w:rsidRPr="00000000" w14:paraId="000004F2">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Melchor v. Commission on Audit</w:t>
      </w:r>
      <w:r w:rsidDel="00000000" w:rsidR="00000000" w:rsidRPr="00000000">
        <w:rPr>
          <w:rFonts w:ascii="Georgia" w:cs="Georgia" w:eastAsia="Georgia" w:hAnsi="Georgia"/>
          <w:rtl w:val="0"/>
        </w:rPr>
        <w:t xml:space="preserve">, this Court held that even if the contract therein was void, the principle of payment by </w:t>
      </w:r>
      <w:r w:rsidDel="00000000" w:rsidR="00000000" w:rsidRPr="00000000">
        <w:rPr>
          <w:rFonts w:ascii="Georgia" w:cs="Georgia" w:eastAsia="Georgia" w:hAnsi="Georgia"/>
          <w:i w:val="1"/>
          <w:iCs w:val="1"/>
          <w:rtl w:val="0"/>
        </w:rPr>
        <w:t xml:space="preserve">quantum meruit</w:t>
      </w:r>
      <w:r w:rsidDel="00000000" w:rsidR="00000000" w:rsidRPr="00000000">
        <w:rPr>
          <w:rFonts w:ascii="Georgia" w:cs="Georgia" w:eastAsia="Georgia" w:hAnsi="Georgia"/>
          <w:rtl w:val="0"/>
        </w:rPr>
        <w:t xml:space="preserve"> was found applicable, and the contractor was allowed to recover the reasonable value thing or services rendered (regardless of any agreement as to the supposed value), in order to avoid unjust enrichment on the part of government. The principle of </w:t>
      </w:r>
      <w:r w:rsidDel="00000000" w:rsidR="00000000" w:rsidRPr="00000000">
        <w:rPr>
          <w:rFonts w:ascii="Georgia" w:cs="Georgia" w:eastAsia="Georgia" w:hAnsi="Georgia"/>
          <w:i w:val="1"/>
          <w:iCs w:val="1"/>
          <w:rtl w:val="0"/>
        </w:rPr>
        <w:t xml:space="preserve">quantum meruit </w:t>
      </w:r>
      <w:r w:rsidDel="00000000" w:rsidR="00000000" w:rsidRPr="00000000">
        <w:rPr>
          <w:rFonts w:ascii="Georgia" w:cs="Georgia" w:eastAsia="Georgia" w:hAnsi="Georgia"/>
          <w:rtl w:val="0"/>
        </w:rPr>
        <w:t xml:space="preserve">was likewise applied in </w:t>
      </w:r>
      <w:r w:rsidDel="00000000" w:rsidR="00000000" w:rsidRPr="00000000">
        <w:rPr>
          <w:rFonts w:ascii="Georgia" w:cs="Georgia" w:eastAsia="Georgia" w:hAnsi="Georgia"/>
          <w:i w:val="1"/>
          <w:iCs w:val="1"/>
          <w:rtl w:val="0"/>
        </w:rPr>
        <w:t xml:space="preserve">Eslao v. Commission on Audit</w:t>
      </w:r>
      <w:r w:rsidDel="00000000" w:rsidR="00000000" w:rsidRPr="00000000">
        <w:rPr>
          <w:rFonts w:ascii="Georgia" w:cs="Georgia" w:eastAsia="Georgia" w:hAnsi="Georgia"/>
          <w:rtl w:val="0"/>
        </w:rPr>
        <w:t xml:space="preserve">, because to deny payment for a building almost completed and already occupied would be to permit the government to unjustly enrich itself at the expense of the contractor. The same principle was applied in </w:t>
      </w:r>
      <w:r w:rsidDel="00000000" w:rsidR="00000000" w:rsidRPr="00000000">
        <w:rPr>
          <w:rFonts w:ascii="Georgia" w:cs="Georgia" w:eastAsia="Georgia" w:hAnsi="Georgia"/>
          <w:i w:val="1"/>
          <w:iCs w:val="1"/>
          <w:rtl w:val="0"/>
        </w:rPr>
        <w:t xml:space="preserve">Republic v. Court of Appeals.</w:t>
      </w:r>
    </w:p>
    <w:p w:rsidR="00000000" w:rsidDel="00000000" w:rsidP="00000000" w:rsidRDefault="00000000" w:rsidRPr="00000000" w14:paraId="000004F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"One possible practical solution would be for government - in view of the nullity of the Piatco contracts and of the fact that Terminal III has already been built and almost finished - to bid out the operation of the facility under the same or analogous principles as build-operate-and-transfer projects. To be imposed, however, is the condition that the winning bidder must pay the builder of the facility a price fixed by the government based on quantum meruit; on the real, reasonable -  not inflated - value of the built facility.</w:t>
      </w:r>
    </w:p>
    <w:p w:rsidR="00000000" w:rsidDel="00000000" w:rsidP="00000000" w:rsidRDefault="00000000" w:rsidRPr="00000000" w14:paraId="000004F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 the payment or series of payments to the builder, self at the funders, investors and contractors will be staggered and actors   scheduled will have to be built into the bids, along with the annual guaranteed payments to government. In this manner, this whole sordid mess could result in something truly beneficial for all, especially for the Filipino people." </w:t>
      </w:r>
    </w:p>
    <w:p w:rsidR="00000000" w:rsidDel="00000000" w:rsidP="00000000" w:rsidRDefault="00000000" w:rsidRPr="00000000" w14:paraId="000004F5">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Vitug Dissent</w:t>
      </w:r>
    </w:p>
    <w:p w:rsidR="00000000" w:rsidDel="00000000" w:rsidP="00000000" w:rsidRDefault="00000000" w:rsidRPr="00000000" w14:paraId="000004F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Vitug, joined by Justices Quisumbing and Azcuna, submitted a four-page Separate Opinion, which argued for a dismissal of the Petitions solely on a procedural ground: that the Supreme Court was bereft of jurisdiction over the consolidated cases. He contended that the Petitions, "although denominated to be petitions for prohibitions, actually pray for the nullification of the Piatco contracts and to restrain respondents from implementing said agreements for being illegal and unconstitutional." Thus, he concluded that the Petitions were really disguised complaints for declaratory relief, over which the Supreme Court had no original jurisdiction. The law gives this authority initially to regional trial courts, and to the Supreme Court only on appeal. </w:t>
      </w:r>
    </w:p>
    <w:p w:rsidR="00000000" w:rsidDel="00000000" w:rsidP="00000000" w:rsidRDefault="00000000" w:rsidRPr="00000000" w14:paraId="000004F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now quote in full Justice Vitug’s Dissent: </w:t>
      </w:r>
    </w:p>
    <w:p w:rsidR="00000000" w:rsidDel="00000000" w:rsidP="00000000" w:rsidRDefault="00000000" w:rsidRPr="00000000" w14:paraId="000004F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2, Rule 65 of the Rules of Court states: 'When the proceedings of any tribunal, corporation, board, officer or person, whether exercising judicial, quasi-judicial or ministerial functions, are without or in excess of its or his jurisdiction, or with grave abuse of discretion amounting to lack or excess of jurisdiction, and there is no appeal or any other plain, speedy and adequate remedy in the ordinary course of law, a person aggrieved thereby may file a verified petition in the proper court, alleging the facts with certainty and praying that judgment be rendered commanding the respondent to desist from further proceedings in the action or matter specified therein, or otherwise granting such incidental reliefs as law and justice may require.'</w:t>
      </w:r>
    </w:p>
    <w:p w:rsidR="00000000" w:rsidDel="00000000" w:rsidP="00000000" w:rsidRDefault="00000000" w:rsidRPr="00000000" w14:paraId="000004F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rule is explicit. A petition for prohibition d, may be filed against a tribunal, corporation, board, officer or person, exercising judicial, quasi-judicial or ministerial functions. What the petitions seek from respondents do not involve judicial, quasi-judicial or ministerial functions. In prohibition, only legal issues affecting the jurisdiction of the tribunal, board or officer involved may be resolved on the basis of undisputed facts. The parties allege, respectively, contentious evidentiary facts. It would be difficult, if not anomalous, to decide the jurisdictional issue on the basis of the contradictory factual submissions made by the parties. As the Court has so often exhorted, it is not a trier of fact </w:t>
      </w:r>
    </w:p>
    <w:p w:rsidR="00000000" w:rsidDel="00000000" w:rsidP="00000000" w:rsidRDefault="00000000" w:rsidRPr="00000000" w14:paraId="000004F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Petitions, in effect, are in the nature of actions for declaratory relief under Rule 63 of the Rules of Court. The Rules provide that any person interested under a contract may, before breach or violation thereof, bring an action in the appropriate Regional Trial Court to determine any question of construction or validity arising, and for a declaration of his rights or duties thereunder. The Supreme Court assumes no jurisdiction over petitions for declaratory relief which are cognizable by regional trial courts. </w:t>
      </w:r>
    </w:p>
    <w:p w:rsidR="00000000" w:rsidDel="00000000" w:rsidP="00000000" w:rsidRDefault="00000000" w:rsidRPr="00000000" w14:paraId="000004F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 have so expressed in </w:t>
      </w:r>
      <w:r w:rsidDel="00000000" w:rsidR="00000000" w:rsidRPr="00000000">
        <w:rPr>
          <w:rFonts w:ascii="Georgia" w:cs="Georgia" w:eastAsia="Georgia" w:hAnsi="Georgia"/>
          <w:i w:val="1"/>
          <w:iCs w:val="1"/>
          <w:rtl w:val="0"/>
        </w:rPr>
        <w:t xml:space="preserve">Tolentino vs. Secretary of Finance</w:t>
      </w:r>
      <w:r w:rsidDel="00000000" w:rsidR="00000000" w:rsidRPr="00000000">
        <w:rPr>
          <w:rFonts w:ascii="Georgia" w:cs="Georgia" w:eastAsia="Georgia" w:hAnsi="Georgia"/>
          <w:rtl w:val="0"/>
        </w:rPr>
        <w:t xml:space="preserve">, reiterated in </w:t>
      </w:r>
      <w:r w:rsidDel="00000000" w:rsidR="00000000" w:rsidRPr="00000000">
        <w:rPr>
          <w:rFonts w:ascii="Georgia" w:cs="Georgia" w:eastAsia="Georgia" w:hAnsi="Georgia"/>
          <w:i w:val="1"/>
          <w:iCs w:val="1"/>
          <w:rtl w:val="0"/>
        </w:rPr>
        <w:t xml:space="preserve">Santiago vs. Guingona, Jr.</w:t>
      </w:r>
      <w:r w:rsidDel="00000000" w:rsidR="00000000" w:rsidRPr="00000000">
        <w:rPr>
          <w:rFonts w:ascii="Georgia" w:cs="Georgia" w:eastAsia="Georgia" w:hAnsi="Georgia"/>
          <w:rtl w:val="0"/>
        </w:rPr>
        <w:t xml:space="preserve">, the Supreme Court should not be thought of as having been tasked with the awesome responsibility of overseeing the entire bureaucracy. Pervasive and limitless, such as it may seem to be under the 1987 Constitution, judicial power still succumbs to the paramount doctrine of separation of powers. The Court may not at good liberty intrude, in the guise of sovereign imprimatur, into every affair of government. What significance can still then remain of the time-honored and widely acclaimed principle of separation of powers if, at every turn, the Court allows itself to pass upon at will the disposition of a co-equal, independent and coordinate branch in our system of government. I dread to think of the so varied uncertainties that such an undue interference can lead to. </w:t>
      </w:r>
    </w:p>
    <w:p w:rsidR="00000000" w:rsidDel="00000000" w:rsidP="00000000" w:rsidRDefault="00000000" w:rsidRPr="00000000" w14:paraId="000004F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"Accordingly, I vote for the dismissal of the petition."</w:t>
      </w:r>
    </w:p>
    <w:p w:rsidR="00000000" w:rsidDel="00000000" w:rsidP="00000000" w:rsidRDefault="00000000" w:rsidRPr="00000000" w14:paraId="000004FD">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4FE">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4FF">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0">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1">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2">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3">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4">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5">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6">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7">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8">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9">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A">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B">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C">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D">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E">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0F">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51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11</w:t>
      </w:r>
    </w:p>
    <w:p w:rsidR="00000000" w:rsidDel="00000000" w:rsidP="00000000" w:rsidRDefault="00000000" w:rsidRPr="00000000" w14:paraId="00000511">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512">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Ang Bagong Bayani-OFW Labor Party v. Comelec: </w:t>
      </w:r>
    </w:p>
    <w:p w:rsidR="00000000" w:rsidDel="00000000" w:rsidP="00000000" w:rsidRDefault="00000000" w:rsidRPr="00000000" w14:paraId="00000513">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Determining the Qualified Party-List Candidates,</w:t>
      </w:r>
    </w:p>
    <w:p w:rsidR="00000000" w:rsidDel="00000000" w:rsidP="00000000" w:rsidRDefault="00000000" w:rsidRPr="00000000" w14:paraId="00000514">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Winners and Their Nominees</w:t>
      </w:r>
    </w:p>
    <w:p w:rsidR="00000000" w:rsidDel="00000000" w:rsidP="00000000" w:rsidRDefault="00000000" w:rsidRPr="00000000" w14:paraId="00000515">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51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October 6, 2000, the Supreme Court - in </w:t>
      </w:r>
      <w:r w:rsidDel="00000000" w:rsidR="00000000" w:rsidRPr="00000000">
        <w:rPr>
          <w:rFonts w:ascii="Georgia" w:cs="Georgia" w:eastAsia="Georgia" w:hAnsi="Georgia"/>
          <w:i w:val="1"/>
          <w:iCs w:val="1"/>
          <w:rtl w:val="0"/>
        </w:rPr>
        <w:t xml:space="preserve">Veterans Federation Party v. Comelec</w:t>
      </w:r>
      <w:r w:rsidDel="00000000" w:rsidR="00000000" w:rsidRPr="00000000">
        <w:rPr>
          <w:rFonts w:ascii="Georgia" w:cs="Georgia" w:eastAsia="Georgia" w:hAnsi="Georgia"/>
          <w:rtl w:val="0"/>
        </w:rPr>
        <w:t xml:space="preserve"> - promulgated its first major decision involving the party-list system. This ruling identified four unique parameters or characteristics of the distinctive Philippine-style party-list system as follows:</w:t>
      </w:r>
    </w:p>
    <w:p w:rsidR="00000000" w:rsidDel="00000000" w:rsidP="00000000" w:rsidRDefault="00000000" w:rsidRPr="00000000" w14:paraId="0000051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the twenty percent allocation - the combined number of all party-list congressmen shall not exceed twenty percent of the total membership of the House of Representatives, including those elected under the party list. "Second, the two percent threshold - only those parties garnering a minimum of two percent of the total valid votes cast for the party-list system are 'qualified' to have a seat in the House of Representatives.</w:t>
      </w:r>
    </w:p>
    <w:p w:rsidR="00000000" w:rsidDel="00000000" w:rsidP="00000000" w:rsidRDefault="00000000" w:rsidRPr="00000000" w14:paraId="0000051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"Third, the three-seat limit - each qualified party, regardless of the number of votes it actually obtained, is entitled to a maximum of three seats; that is, one 'qualifying' and two additional seats. </w:t>
      </w:r>
    </w:p>
    <w:p w:rsidR="00000000" w:rsidDel="00000000" w:rsidP="00000000" w:rsidRDefault="00000000" w:rsidRPr="00000000" w14:paraId="0000051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"Fourth, proportional representation - the additional seats which a qualified party is entitled to shall be computed 'in proportion to the total number of votes.’</w:t>
      </w:r>
    </w:p>
    <w:p w:rsidR="00000000" w:rsidDel="00000000" w:rsidP="00000000" w:rsidRDefault="00000000" w:rsidRPr="00000000" w14:paraId="0000051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Specifically, the main issue in </w:t>
      </w:r>
      <w:r w:rsidDel="00000000" w:rsidR="00000000" w:rsidRPr="00000000">
        <w:rPr>
          <w:rFonts w:ascii="Georgia" w:cs="Georgia" w:eastAsia="Georgia" w:hAnsi="Georgia"/>
          <w:i w:val="1"/>
          <w:iCs w:val="1"/>
          <w:rtl w:val="0"/>
        </w:rPr>
        <w:t xml:space="preserve">Veterans</w:t>
      </w:r>
      <w:r w:rsidDel="00000000" w:rsidR="00000000" w:rsidRPr="00000000">
        <w:rPr>
          <w:rFonts w:ascii="Georgia" w:cs="Georgia" w:eastAsia="Georgia" w:hAnsi="Georgia"/>
          <w:rtl w:val="0"/>
        </w:rPr>
        <w:t xml:space="preserve"> was on how to convert the principle of proportional representation into mathematical formulas" that will not contravene, circumvent or amend the above-mentioned parameters." </w:t>
      </w:r>
    </w:p>
    <w:p w:rsidR="00000000" w:rsidDel="00000000" w:rsidP="00000000" w:rsidRDefault="00000000" w:rsidRPr="00000000" w14:paraId="0000051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formulas devised in Veterans found direct application in deciding the winners of the party-list elections of 2001. Such determination was accomplished via the Court's Resolution' issued on June 25, 2003 in </w:t>
      </w:r>
      <w:r w:rsidDel="00000000" w:rsidR="00000000" w:rsidRPr="00000000">
        <w:rPr>
          <w:rFonts w:ascii="Georgia" w:cs="Georgia" w:eastAsia="Georgia" w:hAnsi="Georgia"/>
          <w:i w:val="1"/>
          <w:iCs w:val="1"/>
          <w:rtl w:val="0"/>
        </w:rPr>
        <w:t xml:space="preserve">Ang Bagong Bayani-OFW Labor Party v. Comelec.</w:t>
      </w:r>
      <w:r w:rsidDel="00000000" w:rsidR="00000000" w:rsidRPr="00000000">
        <w:rPr>
          <w:rFonts w:ascii="Georgia" w:cs="Georgia" w:eastAsia="Georgia" w:hAnsi="Georgia"/>
          <w:rtl w:val="0"/>
        </w:rPr>
        <w:t xml:space="preserve"> </w:t>
      </w:r>
    </w:p>
    <w:p w:rsidR="00000000" w:rsidDel="00000000" w:rsidP="00000000" w:rsidRDefault="00000000" w:rsidRPr="00000000" w14:paraId="0000051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Antecedents</w:t>
      </w:r>
    </w:p>
    <w:p w:rsidR="00000000" w:rsidDel="00000000" w:rsidP="00000000" w:rsidRDefault="00000000" w:rsidRPr="00000000" w14:paraId="0000051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June 26, 2001, the Court promulgated its main Decision in </w:t>
      </w:r>
      <w:r w:rsidDel="00000000" w:rsidR="00000000" w:rsidRPr="00000000">
        <w:rPr>
          <w:rFonts w:ascii="Georgia" w:cs="Georgia" w:eastAsia="Georgia" w:hAnsi="Georgia"/>
          <w:i w:val="1"/>
          <w:iCs w:val="1"/>
          <w:rtl w:val="0"/>
        </w:rPr>
        <w:t xml:space="preserve">Ang Bagong Bayani</w:t>
      </w:r>
      <w:r w:rsidDel="00000000" w:rsidR="00000000" w:rsidRPr="00000000">
        <w:rPr>
          <w:rFonts w:ascii="Georgia" w:cs="Georgia" w:eastAsia="Georgia" w:hAnsi="Georgia"/>
          <w:rtl w:val="0"/>
        </w:rPr>
        <w:t xml:space="preserve">, holding that the Filipino style party-list system was reserved only for those: </w:t>
      </w:r>
    </w:p>
    <w:p w:rsidR="00000000" w:rsidDel="00000000" w:rsidP="00000000" w:rsidRDefault="00000000" w:rsidRPr="00000000" w14:paraId="0000051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who belong to marginalized and underrepresented sectors, organizations and parties; and</w:t>
      </w:r>
    </w:p>
    <w:p w:rsidR="00000000" w:rsidDel="00000000" w:rsidP="00000000" w:rsidRDefault="00000000" w:rsidRPr="00000000" w14:paraId="0000051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who lack well-defined constituencies; but</w:t>
      </w:r>
    </w:p>
    <w:p w:rsidR="00000000" w:rsidDel="00000000" w:rsidP="00000000" w:rsidRDefault="00000000" w:rsidRPr="00000000" w14:paraId="0000052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who could contribute to the formulation and enactment of appropriate legislation that will benefit the nation as a whole.</w:t>
      </w:r>
    </w:p>
    <w:p w:rsidR="00000000" w:rsidDel="00000000" w:rsidP="00000000" w:rsidRDefault="00000000" w:rsidRPr="00000000" w14:paraId="0000052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end, the role of the Comelec is to see to it that only those Filipinos who are ‘marginalized and underrepresented’ become members of Congress under the party-list system, Filipino style.”</w:t>
      </w:r>
    </w:p>
    <w:p w:rsidR="00000000" w:rsidDel="00000000" w:rsidP="00000000" w:rsidRDefault="00000000" w:rsidRPr="00000000" w14:paraId="00000522">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Eight-Point </w:t>
      </w:r>
    </w:p>
    <w:p w:rsidR="00000000" w:rsidDel="00000000" w:rsidP="00000000" w:rsidRDefault="00000000" w:rsidRPr="00000000" w14:paraId="0000052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Guideline </w:t>
      </w:r>
    </w:p>
    <w:p w:rsidR="00000000" w:rsidDel="00000000" w:rsidP="00000000" w:rsidRDefault="00000000" w:rsidRPr="00000000" w14:paraId="0000052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Since there were more than 150 groups that were allowed by Comelec to participate in the 2001 party-list elections, it was necessary to lay down guidelines to assist the Commission in determining which of these parties/ organizations and their nominees were qualified to represent the "marginalized and underrepresented." These Courtissued guidelines are as follows: </w:t>
      </w:r>
    </w:p>
    <w:p w:rsidR="00000000" w:rsidDel="00000000" w:rsidP="00000000" w:rsidRDefault="00000000" w:rsidRPr="00000000" w14:paraId="0000052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the political party, sector, organization or coalition must represent the marginalized and underrepresented groups identified in Section 5 of RA 7941. In other words, it must show - through its constitution, articles of incorporation, bylaws, history, platform of government and track record - that it represents and seeks to uplift marginalized and underrepresented sectors. It must demonstrate that in a conflict of interests, it has chosen or is likely to choose the interest of the marginalized and underrepresented. </w:t>
      </w:r>
    </w:p>
    <w:p w:rsidR="00000000" w:rsidDel="00000000" w:rsidP="00000000" w:rsidRDefault="00000000" w:rsidRPr="00000000" w14:paraId="0000052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"Second, while even major political parties are expressly allowed by RA 7941 and the Constitution to participate in the party-list system, they must comply with the declared statutory policy of enabling Filipino citizens belonging marginalized and underrepresented sectors x x x to be elected to the House of Representatives In other words, while they are not disqualified merely on the ground that they are political parties, they must show, however, that they represent  the interests of the marginalized and underrepresented. The counsel of Aksyon Demokratiko at               and other similarly situated political parties admitted as much during the Oral Argument the following quote shows:         </w:t>
      </w:r>
    </w:p>
    <w:p w:rsidR="00000000" w:rsidDel="00000000" w:rsidP="00000000" w:rsidRDefault="00000000" w:rsidRPr="00000000" w14:paraId="00000527">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b w:val="1"/>
          <w:bCs w:val="1"/>
          <w:rtl w:val="0"/>
        </w:rPr>
        <w:t xml:space="preserve">     'JUSTICE PANGANIBAN:</w:t>
      </w:r>
      <w:r w:rsidDel="00000000" w:rsidR="00000000" w:rsidRPr="00000000">
        <w:rPr>
          <w:rFonts w:ascii="Georgia" w:cs="Georgia" w:eastAsia="Georgia" w:hAnsi="Georgia"/>
          <w:rtl w:val="0"/>
        </w:rPr>
        <w:t xml:space="preserve"> I am not disputing that in my question. All I am saying is, the political party must claim to represent the marginalized and underrepresented sectors?</w:t>
      </w:r>
    </w:p>
    <w:p w:rsidR="00000000" w:rsidDel="00000000" w:rsidP="00000000" w:rsidRDefault="00000000" w:rsidRPr="00000000" w14:paraId="0000052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b w:val="1"/>
          <w:bCs w:val="1"/>
          <w:rtl w:val="0"/>
        </w:rPr>
        <w:t xml:space="preserve">'ATTY. KAPUNAN: </w:t>
      </w:r>
      <w:r w:rsidDel="00000000" w:rsidR="00000000" w:rsidRPr="00000000">
        <w:rPr>
          <w:rFonts w:ascii="Georgia" w:cs="Georgia" w:eastAsia="Georgia" w:hAnsi="Georgia"/>
          <w:rtl w:val="0"/>
        </w:rPr>
        <w:t xml:space="preserve">Yes, Your Honor, the answer is yes.' </w:t>
      </w:r>
    </w:p>
    <w:p w:rsidR="00000000" w:rsidDel="00000000" w:rsidP="00000000" w:rsidRDefault="00000000" w:rsidRPr="00000000" w14:paraId="0000052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"Third, in view of the objections directed against the registration of Ang Buhay Hayaang Yumabong, which is allegedly a religious group, the Court notes the express constitutional provision that the religious sector may not be represented in the party-list system. The extent of the constitutional proscription is dem onst rated by the following discussion during the deliberations of the Constitutional Commission:</w:t>
      </w:r>
    </w:p>
    <w:p w:rsidR="00000000" w:rsidDel="00000000" w:rsidP="00000000" w:rsidRDefault="00000000" w:rsidRPr="00000000" w14:paraId="0000052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OPLE. xxx </w:t>
      </w:r>
    </w:p>
    <w:p w:rsidR="00000000" w:rsidDel="00000000" w:rsidP="00000000" w:rsidRDefault="00000000" w:rsidRPr="00000000" w14:paraId="0000052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event that a certain religious sect   with nationwide and even international networks of members and supporters, in order to circumvent this prohibition, decides to form its own political party in emulation of those parties I had mentioned earlier as deriving their inspiration and philosophies from well-established religious faiths, will that also not fall within this prohibition? </w:t>
      </w:r>
    </w:p>
    <w:p w:rsidR="00000000" w:rsidDel="00000000" w:rsidP="00000000" w:rsidRDefault="00000000" w:rsidRPr="00000000" w14:paraId="0000052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MONSOD. If the evidence shows that the intention is to go around the prohibition, then certainly the Comelec can pierce through the legal fiction."</w:t>
      </w:r>
    </w:p>
    <w:p w:rsidR="00000000" w:rsidDel="00000000" w:rsidP="00000000" w:rsidRDefault="00000000" w:rsidRPr="00000000" w14:paraId="0000052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following discussion is also pertinent: </w:t>
      </w:r>
    </w:p>
    <w:p w:rsidR="00000000" w:rsidDel="00000000" w:rsidP="00000000" w:rsidRDefault="00000000" w:rsidRPr="00000000" w14:paraId="0000052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VILLACORTA. When the Commissioner proposed “EXCEPT RELIGIOUS GROUPS,” he was not, of course, prohibiting priests, imams or pastors who may be elected by, say, the indigenous community sector to represent their group.</w:t>
      </w:r>
    </w:p>
    <w:p w:rsidR="00000000" w:rsidDel="00000000" w:rsidP="00000000" w:rsidRDefault="00000000" w:rsidRPr="00000000" w14:paraId="0000052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‘REV. RIGOS. Not at all, but I am objecting to anybody who represents the Iglesia in Kristo, the Catholic Church, the Protestant Church et cetera.'</w:t>
      </w:r>
    </w:p>
    <w:p w:rsidR="00000000" w:rsidDel="00000000" w:rsidP="00000000" w:rsidRDefault="00000000" w:rsidRPr="00000000" w14:paraId="0000053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"Furthermore, the Constitution provides that "religious denominations and sects shall not be registered." The prohibition was explained by a member of the Constitutional Commission in this wise: '[The prohibition is on any religious organization registering as a political party. I do not see any prohibition here against a priest running as a candidate. That is not prohibited here; it is the registration of a religious sect as a political party."</w:t>
      </w:r>
    </w:p>
    <w:p w:rsidR="00000000" w:rsidDel="00000000" w:rsidP="00000000" w:rsidRDefault="00000000" w:rsidRPr="00000000" w14:paraId="0000053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"Fourth, a party or an organization must not be disqualified under Section 6 of RA 7941, which enumerates the grounds for disqualification as follows :</w:t>
      </w:r>
    </w:p>
    <w:p w:rsidR="00000000" w:rsidDel="00000000" w:rsidP="00000000" w:rsidRDefault="00000000" w:rsidRPr="00000000" w14:paraId="0000053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It is a religious sect or denomination, organization or association organized for religious purposes;</w:t>
      </w:r>
    </w:p>
    <w:p w:rsidR="00000000" w:rsidDel="00000000" w:rsidP="00000000" w:rsidRDefault="00000000" w:rsidRPr="00000000" w14:paraId="0000053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It advocates violence or unlawful means to seek its goal;</w:t>
      </w:r>
    </w:p>
    <w:p w:rsidR="00000000" w:rsidDel="00000000" w:rsidP="00000000" w:rsidRDefault="00000000" w:rsidRPr="00000000" w14:paraId="0000053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It is a foreign party or organization; </w:t>
      </w:r>
    </w:p>
    <w:p w:rsidR="00000000" w:rsidDel="00000000" w:rsidP="00000000" w:rsidRDefault="00000000" w:rsidRPr="00000000" w14:paraId="0000053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It is receiving support from any foreign government, foreign political party, foundation, organization, whether directly or through any of its officers</w:t>
      </w:r>
    </w:p>
    <w:p w:rsidR="00000000" w:rsidDel="00000000" w:rsidP="00000000" w:rsidRDefault="00000000" w:rsidRPr="00000000" w14:paraId="0000053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or members or indirectly through third parties for partisan election purposes;</w:t>
      </w:r>
    </w:p>
    <w:p w:rsidR="00000000" w:rsidDel="00000000" w:rsidP="00000000" w:rsidRDefault="00000000" w:rsidRPr="00000000" w14:paraId="0000053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It violates or fails to comply with laws, rules or regulations relating to elections;</w:t>
      </w:r>
    </w:p>
    <w:p w:rsidR="00000000" w:rsidDel="00000000" w:rsidP="00000000" w:rsidRDefault="00000000" w:rsidRPr="00000000" w14:paraId="0000053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It declares untruthful statements in its petition; </w:t>
      </w:r>
    </w:p>
    <w:p w:rsidR="00000000" w:rsidDel="00000000" w:rsidP="00000000" w:rsidRDefault="00000000" w:rsidRPr="00000000" w14:paraId="0000053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It has ceased to exist for at least one (1) year; or</w:t>
      </w:r>
    </w:p>
    <w:p w:rsidR="00000000" w:rsidDel="00000000" w:rsidP="00000000" w:rsidRDefault="00000000" w:rsidRPr="00000000" w14:paraId="0000053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It fails to participate in the last two (2) preceding elections or fails to obtain at least two per centum (2%) of the votes cast under the party-list system in the two (2) preceding elections for the constituency in which it has registered. </w:t>
      </w:r>
    </w:p>
    <w:p w:rsidR="00000000" w:rsidDel="00000000" w:rsidP="00000000" w:rsidRDefault="00000000" w:rsidRPr="00000000" w14:paraId="0000053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"Note should be taken from paragraph 5, which disqualifies a party or group for violation of or failure to comply with election laws and regulations. These laws include Section 2 of RA 7941, which states that the party-list system seeks to 'enable Filipino citizens belonging to 589. marginalized and underrepresented sectors, organizations and parties x x x to become members of the House of Representatives. A party or an organization, therefore, that does not comply with this policy must be disqualified. </w:t>
      </w:r>
    </w:p>
    <w:p w:rsidR="00000000" w:rsidDel="00000000" w:rsidP="00000000" w:rsidRDefault="00000000" w:rsidRPr="00000000" w14:paraId="0000053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"Fifth, the party or organization must not be an adjunct of, or a project organized or an entity funded or assisted by, the government. By the very nature of the party-list system,             the party or organization must be a group of citizens, organized by citizens and operated by citizens. It must be independent of the government. The participation of the government or its officials in the affairs of a party-list candidate is not only illegal and unfair to other parties, but also deleterious to the objective of the law: to enable citizens belonging to marginalized and underrepresented sectors and organizations to be elected to the House of the Representatives.</w:t>
      </w:r>
    </w:p>
    <w:p w:rsidR="00000000" w:rsidDel="00000000" w:rsidP="00000000" w:rsidRDefault="00000000" w:rsidRPr="00000000" w14:paraId="0000053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"Sixth, the party must not only comply with the requirements of the law; its nominees must likewise do so. Section 9 of RA 7941 reads as follows: </w:t>
      </w:r>
    </w:p>
    <w:p w:rsidR="00000000" w:rsidDel="00000000" w:rsidP="00000000" w:rsidRDefault="00000000" w:rsidRPr="00000000" w14:paraId="0000053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9. Qualifications of Party-List Nominees - No person shall be nominated as party-list representative unless he is a natural-born citizen of the Philippines, a registered voter, a resident of the Philippines for a period of not less than one (1) year immediately preceding the day of the election, able to read and write, a bona fide member of  the party or organization which he seeks to represent for at least ninety (90) days preceding the day of the election, and is at least twenty-five (25) years of age on the day of the election.</w:t>
      </w:r>
    </w:p>
    <w:p w:rsidR="00000000" w:rsidDel="00000000" w:rsidP="00000000" w:rsidRDefault="00000000" w:rsidRPr="00000000" w14:paraId="0000053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case of a nominee of the youth sector, he must be at least twenty-five (25) but not more than thirty (30) years of age on the day of the election. Any youth sectoral representative who attains age of thirty (30) during his term shall be allowed to continue in office until the expiration of his term.’</w:t>
      </w:r>
    </w:p>
    <w:p w:rsidR="00000000" w:rsidDel="00000000" w:rsidP="00000000" w:rsidRDefault="00000000" w:rsidRPr="00000000" w14:paraId="0000054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“Seventh, not only the candidate party or organization must represent marginalized and underrepresented sectors; so also must its nominees. To repeat, under Section 2 of RA 7941, the nominees must be Filipino citizens’ who belong to marginalized and underrepresented sectors, organizations and parties.’ Surely, the interests of the youth cannot be fully represented by a retiree; neither can those of the urban poor or the working class, by an industrialist. To allow otherwise is to betray the State policy to give genuine representation to the marginalized and underrepresented. </w:t>
      </w:r>
    </w:p>
    <w:p w:rsidR="00000000" w:rsidDel="00000000" w:rsidP="00000000" w:rsidRDefault="00000000" w:rsidRPr="00000000" w14:paraId="0000054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“Eighth, as previously discussed, while lacking a well-defined political constituency, the nominee must likewise be able to contribute to the formulation and enactment of appropriate legislation that will benefit the nation as a whole. Senator Jose Lina explained during the bicameral committee proceedings that ‘the nominee of a party, national or regional, is not going to represent a particular district x x x.’</w:t>
      </w:r>
    </w:p>
    <w:p w:rsidR="00000000" w:rsidDel="00000000" w:rsidP="00000000" w:rsidRDefault="00000000" w:rsidRPr="00000000" w14:paraId="0000054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laying down the above eight-point guideline, the Court REMANDED the case to the Comelec and DIRECTED it to immediately conduct summary evidentiary hearings, in order to recommend to the Court which of the more than 150 party-list participants were qualified to have seats in the House of Representatives. </w:t>
      </w:r>
    </w:p>
    <w:p w:rsidR="00000000" w:rsidDel="00000000" w:rsidP="00000000" w:rsidRDefault="00000000" w:rsidRPr="00000000" w14:paraId="0000054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Comelec Compliance</w:t>
      </w:r>
    </w:p>
    <w:p w:rsidR="00000000" w:rsidDel="00000000" w:rsidP="00000000" w:rsidRDefault="00000000" w:rsidRPr="00000000" w14:paraId="0000054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three separate Compliance Reports, the poll body recommended the accreditation or qualification of 42 parties/organizations. Heeding the later opinion of the Office of the Solicitor-General (OSG), which represented Comelec as counsel, the Court agreed to qualify four more groups, (APEC, CIBAC, BUHAY and COCOFED), thus raising the total to 46.</w:t>
      </w:r>
    </w:p>
    <w:p w:rsidR="00000000" w:rsidDel="00000000" w:rsidP="00000000" w:rsidRDefault="00000000" w:rsidRPr="00000000" w14:paraId="00000545">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Issues</w:t>
      </w:r>
    </w:p>
    <w:p w:rsidR="00000000" w:rsidDel="00000000" w:rsidP="00000000" w:rsidRDefault="00000000" w:rsidRPr="00000000" w14:paraId="0000054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Section 11 (b) of RA 7941 (the Party-List Act), only those parties garnering a minimum of two percent of the total votes cast for the party-list system are entitled to have a seat in the House of Representatives.</w:t>
      </w:r>
    </w:p>
    <w:p w:rsidR="00000000" w:rsidDel="00000000" w:rsidP="00000000" w:rsidRDefault="00000000" w:rsidRPr="00000000" w14:paraId="0000054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the critical issue posed before the Court was this: to determine the “total votes for the party list system,” deducted? Otherwise stated, the main issue was: Does the clause “total votes cast for the party-list system” mentioned in the Party-List Law include only those ballots cast for” qualified party-list candidates?</w:t>
      </w:r>
    </w:p>
    <w:p w:rsidR="00000000" w:rsidDel="00000000" w:rsidP="00000000" w:rsidRDefault="00000000" w:rsidRPr="00000000" w14:paraId="0000054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answer this question, there was a need to review related jurisprudence on the matter, especially</w:t>
      </w:r>
      <w:r w:rsidDel="00000000" w:rsidR="00000000" w:rsidRPr="00000000">
        <w:rPr>
          <w:rFonts w:ascii="Georgia" w:cs="Georgia" w:eastAsia="Georgia" w:hAnsi="Georgia"/>
          <w:i w:val="1"/>
          <w:iCs w:val="1"/>
          <w:rtl w:val="0"/>
        </w:rPr>
        <w:t xml:space="preserve"> Labo v. Comelec</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Grego V. Comelec</w:t>
      </w:r>
      <w:r w:rsidDel="00000000" w:rsidR="00000000" w:rsidRPr="00000000">
        <w:rPr>
          <w:rFonts w:ascii="Georgia" w:cs="Georgia" w:eastAsia="Georgia" w:hAnsi="Georgia"/>
          <w:rtl w:val="0"/>
        </w:rPr>
        <w:t xml:space="preserve">.  </w:t>
      </w:r>
    </w:p>
    <w:p w:rsidR="00000000" w:rsidDel="00000000" w:rsidP="00000000" w:rsidRDefault="00000000" w:rsidRPr="00000000" w14:paraId="0000054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Labo and Grego</w:t>
      </w:r>
    </w:p>
    <w:p w:rsidR="00000000" w:rsidDel="00000000" w:rsidP="00000000" w:rsidRDefault="00000000" w:rsidRPr="00000000" w14:paraId="0000054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Not Applicable</w:t>
      </w:r>
    </w:p>
    <w:p w:rsidR="00000000" w:rsidDel="00000000" w:rsidP="00000000" w:rsidRDefault="00000000" w:rsidRPr="00000000" w14:paraId="0000054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Labo</w:t>
      </w:r>
      <w:r w:rsidDel="00000000" w:rsidR="00000000" w:rsidRPr="00000000">
        <w:rPr>
          <w:rFonts w:ascii="Georgia" w:cs="Georgia" w:eastAsia="Georgia" w:hAnsi="Georgia"/>
          <w:rtl w:val="0"/>
        </w:rPr>
        <w:t xml:space="preserve">, the Court declared that “the ineligibility of a candidate receiving majority votes does not entitle the eligible candidate receiving the next highest number of votes to be declared elected. A minority or defeated candidate cannot be deemed elected to the office.” In other words, the votes cast for an ineligible or disqualified candidate cannot be considered “stray.”</w:t>
      </w:r>
    </w:p>
    <w:p w:rsidR="00000000" w:rsidDel="00000000" w:rsidP="00000000" w:rsidRDefault="00000000" w:rsidRPr="00000000" w14:paraId="0000054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However, "this rule would be different if the electorate, fully aware in fact and in law of a candidate's disqualification, so as to bring such awareness within the realm of notoriety, would nonetheless cast their votes in favor of the ineligible candidate. In such case, the electorate may be said to have waived the validity and efficacy of their votes by notoriously misapplying their franchise or throwing away their votes, in which case the eligible candidate obtaining the next higher number of votes may be deemed elected."In short, the votes cast for a "notoriously disqualified" candidate may be considered "stray" and excluded from the canvass. </w:t>
      </w:r>
    </w:p>
    <w:p w:rsidR="00000000" w:rsidDel="00000000" w:rsidP="00000000" w:rsidRDefault="00000000" w:rsidRPr="00000000" w14:paraId="0000054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foregoing pronouncement was reiterated in </w:t>
      </w:r>
      <w:r w:rsidDel="00000000" w:rsidR="00000000" w:rsidRPr="00000000">
        <w:rPr>
          <w:rFonts w:ascii="Georgia" w:cs="Georgia" w:eastAsia="Georgia" w:hAnsi="Georgia"/>
          <w:i w:val="1"/>
          <w:iCs w:val="1"/>
          <w:rtl w:val="0"/>
        </w:rPr>
        <w:t xml:space="preserve">Grego</w:t>
      </w:r>
      <w:r w:rsidDel="00000000" w:rsidR="00000000" w:rsidRPr="00000000">
        <w:rPr>
          <w:rFonts w:ascii="Georgia" w:cs="Georgia" w:eastAsia="Georgia" w:hAnsi="Georgia"/>
          <w:rtl w:val="0"/>
        </w:rPr>
        <w:t xml:space="preserve">, which held that the exception mentioned in </w:t>
      </w:r>
      <w:r w:rsidDel="00000000" w:rsidR="00000000" w:rsidRPr="00000000">
        <w:rPr>
          <w:rFonts w:ascii="Georgia" w:cs="Georgia" w:eastAsia="Georgia" w:hAnsi="Georgia"/>
          <w:i w:val="1"/>
          <w:iCs w:val="1"/>
          <w:rtl w:val="0"/>
        </w:rPr>
        <w:t xml:space="preserve">Labo v. Comelec</w:t>
      </w:r>
      <w:r w:rsidDel="00000000" w:rsidR="00000000" w:rsidRPr="00000000">
        <w:rPr>
          <w:rFonts w:ascii="Georgia" w:cs="Georgia" w:eastAsia="Georgia" w:hAnsi="Georgia"/>
          <w:rtl w:val="0"/>
        </w:rPr>
        <w:t xml:space="preserve"> "is predicated on the concurrence of two assumptions: (1) the one who obtained the highest number of votes is disqualified; and (2) the electorate is fully aware in fact and in law of a candidate's disqualification, so as to bring such awareness within the realm of notoriety, but would nonetheless cast their votes in favor of the ineligible candidate."</w:t>
      </w:r>
    </w:p>
    <w:p w:rsidR="00000000" w:rsidDel="00000000" w:rsidP="00000000" w:rsidRDefault="00000000" w:rsidRPr="00000000" w14:paraId="0000054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Note, however, that the foregoing pronouncements (1) referred to regular elections for local offices and (2) involved the interpretation of Section 6 of RA 6646. They were not meant to cover party-list elections, which are specifically governed by RA 7941. Section 10 of this latter law clearly provides that the votes cast for a party, a sectoral organization or a coalition" not entitled to be voted for shall not be counted"</w:t>
      </w:r>
    </w:p>
    <w:p w:rsidR="00000000" w:rsidDel="00000000" w:rsidP="00000000" w:rsidRDefault="00000000" w:rsidRPr="00000000" w14:paraId="0000054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10. Manner of Voting. - Every voter shall be entitled to two (2) votes: the first vote is a vote for a candidate for membership of the House of Representatives in his legislative district, and the second, á vote for the party, organization, or coalition he wants represented in the House of Representatives: Provided, That a vote cast for a party, sectoral organization, or coalition not entitled to be voted for shall not be counted: Provided, finally, That the first election under the party-list system shall be held in May 1998.' (Emphasis supplied) </w:t>
      </w:r>
    </w:p>
    <w:p w:rsidR="00000000" w:rsidDel="00000000" w:rsidP="00000000" w:rsidRDefault="00000000" w:rsidRPr="00000000" w14:paraId="0000055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language of the law is clear; hence, there is room, not for interpretation, but merely for application. Likewise no recourse to extrinsic aids is warranted when the language of the law is plain and unambiguous.</w:t>
      </w:r>
    </w:p>
    <w:p w:rsidR="00000000" w:rsidDel="00000000" w:rsidP="00000000" w:rsidRDefault="00000000" w:rsidRPr="00000000" w14:paraId="0000055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reason for not applying Labo and Grego is that these cases involve single elective posts, while the present controversy pertains to the acquisition of a number of congressional seats depending on the total election results - such that even those garnering second, third, fourth or lesser places could be proclaimed winners depending on their compliance with other requirements. </w:t>
      </w:r>
    </w:p>
    <w:p w:rsidR="00000000" w:rsidDel="00000000" w:rsidP="00000000" w:rsidRDefault="00000000" w:rsidRPr="00000000" w14:paraId="0000055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RA 7941 is a special statute governing the elections of party-list representatives and is the controlling law in mat pertaining thereto. Since </w:t>
      </w:r>
      <w:r w:rsidDel="00000000" w:rsidR="00000000" w:rsidRPr="00000000">
        <w:rPr>
          <w:rFonts w:ascii="Georgia" w:cs="Georgia" w:eastAsia="Georgia" w:hAnsi="Georgia"/>
          <w:i w:val="1"/>
          <w:iCs w:val="1"/>
          <w:rtl w:val="0"/>
        </w:rPr>
        <w:t xml:space="preserve">Labo</w:t>
      </w:r>
      <w:r w:rsidDel="00000000" w:rsidR="00000000" w:rsidRPr="00000000">
        <w:rPr>
          <w:rFonts w:ascii="Georgia" w:cs="Georgia" w:eastAsia="Georgia" w:hAnsi="Georgia"/>
          <w:rtl w:val="0"/>
        </w:rPr>
        <w:t xml:space="preserve"> and Section 6 of RA 6646 came into being prior to the enactment of RA 7941, the latter is a qualification of the former ruling and law. On the other hand, all not   Grego and other related cases that came after the enactment of RA 7941 should be construed as inapplicable to the latter.</w:t>
      </w:r>
    </w:p>
    <w:p w:rsidR="00000000" w:rsidDel="00000000" w:rsidP="00000000" w:rsidRDefault="00000000" w:rsidRPr="00000000" w14:paraId="0000055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Subtracting the votes garnered by these disqualified party-list groups from the total votes cast under the partylist system will reduce the base figure from 15,118,815 to 6,523,185. This means that the two-percent threshold can be more easily attained by the qualified marginalized and underrepresented groups. Hence, disregarding the votes of disqualified party-list participants will increase and broaden the number of representatives from these sectors. Doing so will further concretize and give flesh to the policy declaration in RA 7941, which is worded thus: </w:t>
      </w:r>
    </w:p>
    <w:p w:rsidR="00000000" w:rsidDel="00000000" w:rsidP="00000000" w:rsidRDefault="00000000" w:rsidRPr="00000000" w14:paraId="0000055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2. Declaration of Policy. - The State shall promote proportional representation in the election of representatives to the House of Representatives, through a party-list system of registered, national and sectoral parties or organizations or coalitions thereof, which will enable Filipino citizens belonging to marginalized and underrepresented sectors, organizations and parties, and who lack well-defined political constituencies but who could contribute to the enactment of appropriate legislation that will benefit the nation as a whole, to become            members of the House of Representatives. Towards this end, the State shall develop and guarantee a full, free and open party system in order to attain the broadest possible          representation of party, sectoral or group interests in the House of Representatives by enhancing their chances to compete for and win seats in the legislature, and shall provide the simplest scheme possible."</w:t>
      </w:r>
    </w:p>
    <w:p w:rsidR="00000000" w:rsidDel="00000000" w:rsidP="00000000" w:rsidRDefault="00000000" w:rsidRPr="00000000" w14:paraId="0000055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holding that only the votes cast for the qualified groups should be added together to determine the "total votes cast," the Court then listed the 46 parties and the "votes cast" for each of them and, crucially, the percentage and the votes they obtained vis-à-vis the total votes cast. This listing is reproduced below: </w:t>
      </w:r>
    </w:p>
    <w:p w:rsidR="00000000" w:rsidDel="00000000" w:rsidP="00000000" w:rsidRDefault="00000000" w:rsidRPr="00000000" w14:paraId="0000055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557">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No. 1</w:t>
      </w:r>
    </w:p>
    <w:sdt>
      <w:sdtPr>
        <w:lock w:val="contentLocked"/>
        <w:id w:val="32387751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790"/>
            <w:gridCol w:w="2220"/>
            <w:gridCol w:w="3330"/>
            <w:tblGridChange w:id="0">
              <w:tblGrid>
                <w:gridCol w:w="1020"/>
                <w:gridCol w:w="2790"/>
                <w:gridCol w:w="222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Party-List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Votes 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Percentage of Total Votes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BAYAN MUNA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1,708,253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26.19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802,060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AKBAYAN!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377,852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5.79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BUTIL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330, 282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CIBAC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323,810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BUHAY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290,760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252,051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242,199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COCOFED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229,165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216,823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SANLAKAS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151,017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ABANSE! PINAY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135,211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AKO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126,012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ALAGAD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117,161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ELDERLY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106,496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ATUCP</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103,273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MARITIME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98,946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OFW</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97,085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AMMMA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65,735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ANAKBAYAN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63,312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54,925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MSCFO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49,914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WPI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46,831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AAAFPI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43,882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AWATU</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42,149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NACTODAP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38,898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SCFO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37,470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TRICAP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35,807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PINOY MAY K</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32,151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VETERANS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31,694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OCW-UNIFIL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29,400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PWP</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24,182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24,029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PARP</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23,297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ARPES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22,497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ARBA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FEJODAP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21,335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GABAY OFW</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17,777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AASAHAN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16,787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AYOS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15,871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13,050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KILOS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11,170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KALOOB</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9,137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ALYANSA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7,882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KATUTUBO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6,602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DFP</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6,600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6,523,185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bl>
      </w:sdtContent>
    </w:sdt>
    <w:p w:rsidR="00000000" w:rsidDel="00000000" w:rsidP="00000000" w:rsidRDefault="00000000" w:rsidRPr="00000000" w14:paraId="0000061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1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Winners and </w:t>
      </w:r>
    </w:p>
    <w:p w:rsidR="00000000" w:rsidDel="00000000" w:rsidP="00000000" w:rsidRDefault="00000000" w:rsidRPr="00000000" w14:paraId="0000061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Their Nominees</w:t>
      </w:r>
    </w:p>
    <w:p w:rsidR="00000000" w:rsidDel="00000000" w:rsidP="00000000" w:rsidRDefault="00000000" w:rsidRPr="00000000" w14:paraId="0000061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Two percent of 6,523,185, the total number of votes cast is 130,464. Hence, only those qualified parties that obtained at least 130,464 votes could be declared winners. These are the top 12 in Table 1 as follows:</w:t>
      </w:r>
    </w:p>
    <w:p w:rsidR="00000000" w:rsidDel="00000000" w:rsidP="00000000" w:rsidRDefault="00000000" w:rsidRPr="00000000" w14:paraId="0000061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1D">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No. 2</w:t>
      </w:r>
    </w:p>
    <w:sdt>
      <w:sdtPr>
        <w:lock w:val="contentLocked"/>
        <w:id w:val="1204485359"/>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790"/>
            <w:gridCol w:w="2220"/>
            <w:gridCol w:w="3330"/>
            <w:tblGridChange w:id="0">
              <w:tblGrid>
                <w:gridCol w:w="1020"/>
                <w:gridCol w:w="2790"/>
                <w:gridCol w:w="222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Party-List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Votes 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Percentage of Total Votes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jc w:val="center"/>
                  <w:rPr>
                    <w:rFonts w:ascii="Georgia" w:cs="Georgia" w:eastAsia="Georgia" w:hAnsi="Georgia"/>
                  </w:rPr>
                </w:pPr>
                <w:r w:rsidDel="00000000" w:rsidR="00000000" w:rsidRPr="00000000">
                  <w:rPr>
                    <w:rFonts w:ascii="Georgia" w:cs="Georgia" w:eastAsia="Georgia" w:hAnsi="Georgia"/>
                    <w:rtl w:val="0"/>
                  </w:rPr>
                  <w:t xml:space="preserve">BAYAN MUNA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jc w:val="center"/>
                  <w:rPr>
                    <w:rFonts w:ascii="Georgia" w:cs="Georgia" w:eastAsia="Georgia" w:hAnsi="Georgia"/>
                  </w:rPr>
                </w:pPr>
                <w:r w:rsidDel="00000000" w:rsidR="00000000" w:rsidRPr="00000000">
                  <w:rPr>
                    <w:rFonts w:ascii="Georgia" w:cs="Georgia" w:eastAsia="Georgia" w:hAnsi="Georgia"/>
                    <w:rtl w:val="0"/>
                  </w:rPr>
                  <w:t xml:space="preserve">1,708,253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jc w:val="center"/>
                  <w:rPr>
                    <w:rFonts w:ascii="Georgia" w:cs="Georgia" w:eastAsia="Georgia" w:hAnsi="Georgia"/>
                  </w:rPr>
                </w:pPr>
                <w:r w:rsidDel="00000000" w:rsidR="00000000" w:rsidRPr="00000000">
                  <w:rPr>
                    <w:rFonts w:ascii="Georgia" w:cs="Georgia" w:eastAsia="Georgia" w:hAnsi="Georgia"/>
                    <w:rtl w:val="0"/>
                  </w:rPr>
                  <w:t xml:space="preserve">26.19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jc w:val="center"/>
                  <w:rPr>
                    <w:rFonts w:ascii="Georgia" w:cs="Georgia" w:eastAsia="Georgia" w:hAnsi="Georgia"/>
                  </w:rPr>
                </w:pPr>
                <w:r w:rsidDel="00000000" w:rsidR="00000000" w:rsidRPr="00000000">
                  <w:rPr>
                    <w:rFonts w:ascii="Georgia" w:cs="Georgia" w:eastAsia="Georgia" w:hAnsi="Georgia"/>
                    <w:rtl w:val="0"/>
                  </w:rPr>
                  <w:t xml:space="preserve">APEC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jc w:val="center"/>
                  <w:rPr>
                    <w:rFonts w:ascii="Georgia" w:cs="Georgia" w:eastAsia="Georgia" w:hAnsi="Georgia"/>
                  </w:rPr>
                </w:pPr>
                <w:r w:rsidDel="00000000" w:rsidR="00000000" w:rsidRPr="00000000">
                  <w:rPr>
                    <w:rFonts w:ascii="Georgia" w:cs="Georgia" w:eastAsia="Georgia" w:hAnsi="Georgia"/>
                    <w:rtl w:val="0"/>
                  </w:rPr>
                  <w:t xml:space="preserve">802,060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jc w:val="center"/>
                  <w:rPr>
                    <w:rFonts w:ascii="Georgia" w:cs="Georgia" w:eastAsia="Georgia" w:hAnsi="Georgia"/>
                  </w:rPr>
                </w:pPr>
                <w:r w:rsidDel="00000000" w:rsidR="00000000" w:rsidRPr="00000000">
                  <w:rPr>
                    <w:rFonts w:ascii="Georgia" w:cs="Georgia" w:eastAsia="Georgia" w:hAnsi="Georgia"/>
                    <w:rtl w:val="0"/>
                  </w:rPr>
                  <w:t xml:space="preserve">12.29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jc w:val="center"/>
                  <w:rPr>
                    <w:rFonts w:ascii="Georgia" w:cs="Georgia" w:eastAsia="Georgia" w:hAnsi="Georgia"/>
                  </w:rPr>
                </w:pPr>
                <w:r w:rsidDel="00000000" w:rsidR="00000000" w:rsidRPr="00000000">
                  <w:rPr>
                    <w:rFonts w:ascii="Georgia" w:cs="Georgia" w:eastAsia="Georgia" w:hAnsi="Georg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jc w:val="center"/>
                  <w:rPr>
                    <w:rFonts w:ascii="Georgia" w:cs="Georgia" w:eastAsia="Georgia" w:hAnsi="Georgia"/>
                  </w:rPr>
                </w:pPr>
                <w:r w:rsidDel="00000000" w:rsidR="00000000" w:rsidRPr="00000000">
                  <w:rPr>
                    <w:rFonts w:ascii="Georgia" w:cs="Georgia" w:eastAsia="Georgia" w:hAnsi="Georgia"/>
                    <w:rtl w:val="0"/>
                  </w:rPr>
                  <w:t xml:space="preserve">AKBAYAN!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jc w:val="center"/>
                  <w:rPr>
                    <w:rFonts w:ascii="Georgia" w:cs="Georgia" w:eastAsia="Georgia" w:hAnsi="Georgia"/>
                  </w:rPr>
                </w:pPr>
                <w:r w:rsidDel="00000000" w:rsidR="00000000" w:rsidRPr="00000000">
                  <w:rPr>
                    <w:rFonts w:ascii="Georgia" w:cs="Georgia" w:eastAsia="Georgia" w:hAnsi="Georgia"/>
                    <w:rtl w:val="0"/>
                  </w:rPr>
                  <w:t xml:space="preserve">377,852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jc w:val="center"/>
                  <w:rPr>
                    <w:rFonts w:ascii="Georgia" w:cs="Georgia" w:eastAsia="Georgia" w:hAnsi="Georgia"/>
                  </w:rPr>
                </w:pPr>
                <w:r w:rsidDel="00000000" w:rsidR="00000000" w:rsidRPr="00000000">
                  <w:rPr>
                    <w:rFonts w:ascii="Georgia" w:cs="Georgia" w:eastAsia="Georgia" w:hAnsi="Georgia"/>
                    <w:rtl w:val="0"/>
                  </w:rPr>
                  <w:t xml:space="preserve">5.79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jc w:val="center"/>
                  <w:rPr>
                    <w:rFonts w:ascii="Georgia" w:cs="Georgia" w:eastAsia="Georgia" w:hAnsi="Georgia"/>
                  </w:rPr>
                </w:pPr>
                <w:r w:rsidDel="00000000" w:rsidR="00000000" w:rsidRPr="00000000">
                  <w:rPr>
                    <w:rFonts w:ascii="Georgia" w:cs="Georgia" w:eastAsia="Georgia" w:hAnsi="Georg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jc w:val="center"/>
                  <w:rPr>
                    <w:rFonts w:ascii="Georgia" w:cs="Georgia" w:eastAsia="Georgia" w:hAnsi="Georgia"/>
                  </w:rPr>
                </w:pPr>
                <w:r w:rsidDel="00000000" w:rsidR="00000000" w:rsidRPr="00000000">
                  <w:rPr>
                    <w:rFonts w:ascii="Georgia" w:cs="Georgia" w:eastAsia="Georgia" w:hAnsi="Georgia"/>
                    <w:rtl w:val="0"/>
                  </w:rPr>
                  <w:t xml:space="preserve">BUTIL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jc w:val="center"/>
                  <w:rPr>
                    <w:rFonts w:ascii="Georgia" w:cs="Georgia" w:eastAsia="Georgia" w:hAnsi="Georgia"/>
                  </w:rPr>
                </w:pPr>
                <w:r w:rsidDel="00000000" w:rsidR="00000000" w:rsidRPr="00000000">
                  <w:rPr>
                    <w:rFonts w:ascii="Georgia" w:cs="Georgia" w:eastAsia="Georgia" w:hAnsi="Georgia"/>
                    <w:rtl w:val="0"/>
                  </w:rPr>
                  <w:t xml:space="preserve">330, 282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jc w:val="center"/>
                  <w:rPr>
                    <w:rFonts w:ascii="Georgia" w:cs="Georgia" w:eastAsia="Georgia" w:hAnsi="Georgia"/>
                  </w:rPr>
                </w:pPr>
                <w:r w:rsidDel="00000000" w:rsidR="00000000" w:rsidRPr="00000000">
                  <w:rPr>
                    <w:rFonts w:ascii="Georgia" w:cs="Georgia" w:eastAsia="Georgia" w:hAnsi="Georgia"/>
                    <w:rtl w:val="0"/>
                  </w:rPr>
                  <w:t xml:space="preserve">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jc w:val="center"/>
                  <w:rPr>
                    <w:rFonts w:ascii="Georgia" w:cs="Georgia" w:eastAsia="Georgia" w:hAnsi="Georgia"/>
                  </w:rPr>
                </w:pPr>
                <w:r w:rsidDel="00000000" w:rsidR="00000000" w:rsidRPr="00000000">
                  <w:rPr>
                    <w:rFonts w:ascii="Georgia" w:cs="Georgia" w:eastAsia="Georgia" w:hAnsi="Georgi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jc w:val="center"/>
                  <w:rPr>
                    <w:rFonts w:ascii="Georgia" w:cs="Georgia" w:eastAsia="Georgia" w:hAnsi="Georgia"/>
                  </w:rPr>
                </w:pPr>
                <w:r w:rsidDel="00000000" w:rsidR="00000000" w:rsidRPr="00000000">
                  <w:rPr>
                    <w:rFonts w:ascii="Georgia" w:cs="Georgia" w:eastAsia="Georgia" w:hAnsi="Georgia"/>
                    <w:rtl w:val="0"/>
                  </w:rPr>
                  <w:t xml:space="preserve">CIBAC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jc w:val="center"/>
                  <w:rPr>
                    <w:rFonts w:ascii="Georgia" w:cs="Georgia" w:eastAsia="Georgia" w:hAnsi="Georgia"/>
                  </w:rPr>
                </w:pPr>
                <w:r w:rsidDel="00000000" w:rsidR="00000000" w:rsidRPr="00000000">
                  <w:rPr>
                    <w:rFonts w:ascii="Georgia" w:cs="Georgia" w:eastAsia="Georgia" w:hAnsi="Georgia"/>
                    <w:rtl w:val="0"/>
                  </w:rPr>
                  <w:t xml:space="preserve">323,810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jc w:val="center"/>
                  <w:rPr>
                    <w:rFonts w:ascii="Georgia" w:cs="Georgia" w:eastAsia="Georgia" w:hAnsi="Georgia"/>
                  </w:rPr>
                </w:pPr>
                <w:r w:rsidDel="00000000" w:rsidR="00000000" w:rsidRPr="00000000">
                  <w:rPr>
                    <w:rFonts w:ascii="Georgia" w:cs="Georgia" w:eastAsia="Georgia" w:hAnsi="Georgia"/>
                    <w:rtl w:val="0"/>
                  </w:rPr>
                  <w:t xml:space="preserve">4.96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jc w:val="center"/>
                  <w:rPr>
                    <w:rFonts w:ascii="Georgia" w:cs="Georgia" w:eastAsia="Georgia" w:hAnsi="Georgia"/>
                  </w:rPr>
                </w:pPr>
                <w:r w:rsidDel="00000000" w:rsidR="00000000" w:rsidRPr="00000000">
                  <w:rPr>
                    <w:rFonts w:ascii="Georgia" w:cs="Georgia" w:eastAsia="Georgia" w:hAnsi="Georgia"/>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jc w:val="center"/>
                  <w:rPr>
                    <w:rFonts w:ascii="Georgia" w:cs="Georgia" w:eastAsia="Georgia" w:hAnsi="Georgia"/>
                  </w:rPr>
                </w:pPr>
                <w:r w:rsidDel="00000000" w:rsidR="00000000" w:rsidRPr="00000000">
                  <w:rPr>
                    <w:rFonts w:ascii="Georgia" w:cs="Georgia" w:eastAsia="Georgia" w:hAnsi="Georgia"/>
                    <w:rtl w:val="0"/>
                  </w:rPr>
                  <w:t xml:space="preserve">BUHAY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jc w:val="center"/>
                  <w:rPr>
                    <w:rFonts w:ascii="Georgia" w:cs="Georgia" w:eastAsia="Georgia" w:hAnsi="Georgia"/>
                  </w:rPr>
                </w:pPr>
                <w:r w:rsidDel="00000000" w:rsidR="00000000" w:rsidRPr="00000000">
                  <w:rPr>
                    <w:rFonts w:ascii="Georgia" w:cs="Georgia" w:eastAsia="Georgia" w:hAnsi="Georgia"/>
                    <w:rtl w:val="0"/>
                  </w:rPr>
                  <w:t xml:space="preserve">290,760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jc w:val="center"/>
                  <w:rPr>
                    <w:rFonts w:ascii="Georgia" w:cs="Georgia" w:eastAsia="Georgia" w:hAnsi="Georgia"/>
                  </w:rPr>
                </w:pPr>
                <w:r w:rsidDel="00000000" w:rsidR="00000000" w:rsidRPr="00000000">
                  <w:rPr>
                    <w:rFonts w:ascii="Georgia" w:cs="Georgia" w:eastAsia="Georgia" w:hAnsi="Georgia"/>
                    <w:rtl w:val="0"/>
                  </w:rPr>
                  <w:t xml:space="preserve">4.46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jc w:val="center"/>
                  <w:rPr>
                    <w:rFonts w:ascii="Georgia" w:cs="Georgia" w:eastAsia="Georgia" w:hAnsi="Georgia"/>
                  </w:rPr>
                </w:pPr>
                <w:r w:rsidDel="00000000" w:rsidR="00000000" w:rsidRPr="00000000">
                  <w:rPr>
                    <w:rFonts w:ascii="Georgia" w:cs="Georgia" w:eastAsia="Georgia" w:hAnsi="Georgia"/>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jc w:val="center"/>
                  <w:rPr>
                    <w:rFonts w:ascii="Georgia" w:cs="Georgia" w:eastAsia="Georgia" w:hAnsi="Georgia"/>
                  </w:rPr>
                </w:pPr>
                <w:r w:rsidDel="00000000" w:rsidR="00000000" w:rsidRPr="00000000">
                  <w:rPr>
                    <w:rFonts w:ascii="Georgia" w:cs="Georgia" w:eastAsia="Georgia" w:hAnsi="Georgia"/>
                    <w:rtl w:val="0"/>
                  </w:rPr>
                  <w:t xml:space="preserve">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jc w:val="center"/>
                  <w:rPr>
                    <w:rFonts w:ascii="Georgia" w:cs="Georgia" w:eastAsia="Georgia" w:hAnsi="Georgia"/>
                  </w:rPr>
                </w:pPr>
                <w:r w:rsidDel="00000000" w:rsidR="00000000" w:rsidRPr="00000000">
                  <w:rPr>
                    <w:rFonts w:ascii="Georgia" w:cs="Georgia" w:eastAsia="Georgia" w:hAnsi="Georgia"/>
                    <w:rtl w:val="0"/>
                  </w:rPr>
                  <w:t xml:space="preserve">252,051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jc w:val="center"/>
                  <w:rPr>
                    <w:rFonts w:ascii="Georgia" w:cs="Georgia" w:eastAsia="Georgia" w:hAnsi="Georgia"/>
                  </w:rPr>
                </w:pPr>
                <w:r w:rsidDel="00000000" w:rsidR="00000000" w:rsidRPr="00000000">
                  <w:rPr>
                    <w:rFonts w:ascii="Georgia" w:cs="Georgia" w:eastAsia="Georgia" w:hAnsi="Georgia"/>
                    <w:rtl w:val="0"/>
                  </w:rPr>
                  <w:t xml:space="preserve">3.86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jc w:val="center"/>
                  <w:rPr>
                    <w:rFonts w:ascii="Georgia" w:cs="Georgia" w:eastAsia="Georgia" w:hAnsi="Georgia"/>
                  </w:rPr>
                </w:pPr>
                <w:r w:rsidDel="00000000" w:rsidR="00000000" w:rsidRPr="00000000">
                  <w:rPr>
                    <w:rFonts w:ascii="Georgia" w:cs="Georgia" w:eastAsia="Georgia" w:hAnsi="Georgia"/>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jc w:val="center"/>
                  <w:rPr>
                    <w:rFonts w:ascii="Georgia" w:cs="Georgia" w:eastAsia="Georgia" w:hAnsi="Georgia"/>
                  </w:rPr>
                </w:pPr>
                <w:r w:rsidDel="00000000" w:rsidR="00000000" w:rsidRPr="00000000">
                  <w:rPr>
                    <w:rFonts w:ascii="Georgia" w:cs="Georgia" w:eastAsia="Georgia" w:hAnsi="Georgia"/>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jc w:val="center"/>
                  <w:rPr>
                    <w:rFonts w:ascii="Georgia" w:cs="Georgia" w:eastAsia="Georgia" w:hAnsi="Georgia"/>
                  </w:rPr>
                </w:pPr>
                <w:r w:rsidDel="00000000" w:rsidR="00000000" w:rsidRPr="00000000">
                  <w:rPr>
                    <w:rFonts w:ascii="Georgia" w:cs="Georgia" w:eastAsia="Georgia" w:hAnsi="Georgia"/>
                    <w:rtl w:val="0"/>
                  </w:rPr>
                  <w:t xml:space="preserve">242,199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jc w:val="center"/>
                  <w:rPr>
                    <w:rFonts w:ascii="Georgia" w:cs="Georgia" w:eastAsia="Georgia" w:hAnsi="Georgia"/>
                  </w:rPr>
                </w:pPr>
                <w:r w:rsidDel="00000000" w:rsidR="00000000" w:rsidRPr="00000000">
                  <w:rPr>
                    <w:rFonts w:ascii="Georgia" w:cs="Georgia" w:eastAsia="Georgia" w:hAnsi="Georgia"/>
                    <w:rtl w:val="0"/>
                  </w:rPr>
                  <w:t xml:space="preserve">3.71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jc w:val="center"/>
                  <w:rPr>
                    <w:rFonts w:ascii="Georgia" w:cs="Georgia" w:eastAsia="Georgia" w:hAnsi="Georgia"/>
                  </w:rPr>
                </w:pPr>
                <w:r w:rsidDel="00000000" w:rsidR="00000000" w:rsidRPr="00000000">
                  <w:rPr>
                    <w:rFonts w:ascii="Georgia" w:cs="Georgia" w:eastAsia="Georgia" w:hAnsi="Georgia"/>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jc w:val="center"/>
                  <w:rPr>
                    <w:rFonts w:ascii="Georgia" w:cs="Georgia" w:eastAsia="Georgia" w:hAnsi="Georgia"/>
                  </w:rPr>
                </w:pPr>
                <w:r w:rsidDel="00000000" w:rsidR="00000000" w:rsidRPr="00000000">
                  <w:rPr>
                    <w:rFonts w:ascii="Georgia" w:cs="Georgia" w:eastAsia="Georgia" w:hAnsi="Georgia"/>
                    <w:rtl w:val="0"/>
                  </w:rPr>
                  <w:t xml:space="preserve">COCOFED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jc w:val="center"/>
                  <w:rPr>
                    <w:rFonts w:ascii="Georgia" w:cs="Georgia" w:eastAsia="Georgia" w:hAnsi="Georgia"/>
                  </w:rPr>
                </w:pPr>
                <w:r w:rsidDel="00000000" w:rsidR="00000000" w:rsidRPr="00000000">
                  <w:rPr>
                    <w:rFonts w:ascii="Georgia" w:cs="Georgia" w:eastAsia="Georgia" w:hAnsi="Georgia"/>
                    <w:rtl w:val="0"/>
                  </w:rPr>
                  <w:t xml:space="preserve">229,165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jc w:val="center"/>
                  <w:rPr>
                    <w:rFonts w:ascii="Georgia" w:cs="Georgia" w:eastAsia="Georgia" w:hAnsi="Georgia"/>
                  </w:rPr>
                </w:pPr>
                <w:r w:rsidDel="00000000" w:rsidR="00000000" w:rsidRPr="00000000">
                  <w:rPr>
                    <w:rFonts w:ascii="Georgia" w:cs="Georgia" w:eastAsia="Georgia" w:hAnsi="Georgia"/>
                    <w:rtl w:val="0"/>
                  </w:rPr>
                  <w:t xml:space="preserve">3.51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jc w:val="center"/>
                  <w:rPr>
                    <w:rFonts w:ascii="Georgia" w:cs="Georgia" w:eastAsia="Georgia" w:hAnsi="Georgia"/>
                  </w:rPr>
                </w:pPr>
                <w:r w:rsidDel="00000000" w:rsidR="00000000" w:rsidRPr="00000000">
                  <w:rPr>
                    <w:rFonts w:ascii="Georgia" w:cs="Georgia" w:eastAsia="Georgia" w:hAnsi="Georgi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jc w:val="center"/>
                  <w:rPr>
                    <w:rFonts w:ascii="Georgia" w:cs="Georgia" w:eastAsia="Georgia" w:hAnsi="Georgia"/>
                  </w:rPr>
                </w:pPr>
                <w:r w:rsidDel="00000000" w:rsidR="00000000" w:rsidRPr="00000000">
                  <w:rPr>
                    <w:rFonts w:ascii="Georgia" w:cs="Georgia" w:eastAsia="Georgia" w:hAnsi="Georgia"/>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jc w:val="center"/>
                  <w:rPr>
                    <w:rFonts w:ascii="Georgia" w:cs="Georgia" w:eastAsia="Georgia" w:hAnsi="Georgia"/>
                  </w:rPr>
                </w:pPr>
                <w:r w:rsidDel="00000000" w:rsidR="00000000" w:rsidRPr="00000000">
                  <w:rPr>
                    <w:rFonts w:ascii="Georgia" w:cs="Georgia" w:eastAsia="Georgia" w:hAnsi="Georgia"/>
                    <w:rtl w:val="0"/>
                  </w:rPr>
                  <w:t xml:space="preserve">216,823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jc w:val="center"/>
                  <w:rPr>
                    <w:rFonts w:ascii="Georgia" w:cs="Georgia" w:eastAsia="Georgia" w:hAnsi="Georgia"/>
                  </w:rPr>
                </w:pPr>
                <w:r w:rsidDel="00000000" w:rsidR="00000000" w:rsidRPr="00000000">
                  <w:rPr>
                    <w:rFonts w:ascii="Georgia" w:cs="Georgia" w:eastAsia="Georgia" w:hAnsi="Georgia"/>
                    <w:rtl w:val="0"/>
                  </w:rPr>
                  <w:t xml:space="preserve">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jc w:val="center"/>
                  <w:rPr>
                    <w:rFonts w:ascii="Georgia" w:cs="Georgia" w:eastAsia="Georgia" w:hAnsi="Georgia"/>
                  </w:rPr>
                </w:pPr>
                <w:r w:rsidDel="00000000" w:rsidR="00000000" w:rsidRPr="00000000">
                  <w:rPr>
                    <w:rFonts w:ascii="Georgia" w:cs="Georgia" w:eastAsia="Georgia" w:hAnsi="Georgi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jc w:val="center"/>
                  <w:rPr>
                    <w:rFonts w:ascii="Georgia" w:cs="Georgia" w:eastAsia="Georgia" w:hAnsi="Georgia"/>
                  </w:rPr>
                </w:pPr>
                <w:r w:rsidDel="00000000" w:rsidR="00000000" w:rsidRPr="00000000">
                  <w:rPr>
                    <w:rFonts w:ascii="Georgia" w:cs="Georgia" w:eastAsia="Georgia" w:hAnsi="Georgia"/>
                    <w:rtl w:val="0"/>
                  </w:rPr>
                  <w:t xml:space="preserve">SANLAKAS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jc w:val="center"/>
                  <w:rPr>
                    <w:rFonts w:ascii="Georgia" w:cs="Georgia" w:eastAsia="Georgia" w:hAnsi="Georgia"/>
                  </w:rPr>
                </w:pPr>
                <w:r w:rsidDel="00000000" w:rsidR="00000000" w:rsidRPr="00000000">
                  <w:rPr>
                    <w:rFonts w:ascii="Georgia" w:cs="Georgia" w:eastAsia="Georgia" w:hAnsi="Georgia"/>
                    <w:rtl w:val="0"/>
                  </w:rPr>
                  <w:t xml:space="preserve">151,017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jc w:val="center"/>
                  <w:rPr>
                    <w:rFonts w:ascii="Georgia" w:cs="Georgia" w:eastAsia="Georgia" w:hAnsi="Georgia"/>
                  </w:rPr>
                </w:pPr>
                <w:r w:rsidDel="00000000" w:rsidR="00000000" w:rsidRPr="00000000">
                  <w:rPr>
                    <w:rFonts w:ascii="Georgia" w:cs="Georgia" w:eastAsia="Georgia" w:hAnsi="Georgia"/>
                    <w:rtl w:val="0"/>
                  </w:rPr>
                  <w:t xml:space="preserve">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jc w:val="center"/>
                  <w:rPr>
                    <w:rFonts w:ascii="Georgia" w:cs="Georgia" w:eastAsia="Georgia" w:hAnsi="Georgia"/>
                  </w:rPr>
                </w:pPr>
                <w:r w:rsidDel="00000000" w:rsidR="00000000" w:rsidRPr="00000000">
                  <w:rPr>
                    <w:rFonts w:ascii="Georgia" w:cs="Georgia" w:eastAsia="Georgia" w:hAnsi="Georgi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jc w:val="center"/>
                  <w:rPr>
                    <w:rFonts w:ascii="Georgia" w:cs="Georgia" w:eastAsia="Georgia" w:hAnsi="Georgia"/>
                  </w:rPr>
                </w:pPr>
                <w:r w:rsidDel="00000000" w:rsidR="00000000" w:rsidRPr="00000000">
                  <w:rPr>
                    <w:rFonts w:ascii="Georgia" w:cs="Georgia" w:eastAsia="Georgia" w:hAnsi="Georgia"/>
                    <w:rtl w:val="0"/>
                  </w:rPr>
                  <w:t xml:space="preserve">ABANSE! PINAY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jc w:val="center"/>
                  <w:rPr>
                    <w:rFonts w:ascii="Georgia" w:cs="Georgia" w:eastAsia="Georgia" w:hAnsi="Georgia"/>
                  </w:rPr>
                </w:pPr>
                <w:r w:rsidDel="00000000" w:rsidR="00000000" w:rsidRPr="00000000">
                  <w:rPr>
                    <w:rFonts w:ascii="Georgia" w:cs="Georgia" w:eastAsia="Georgia" w:hAnsi="Georgia"/>
                    <w:rtl w:val="0"/>
                  </w:rPr>
                  <w:t xml:space="preserve">135,211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jc w:val="center"/>
                  <w:rPr>
                    <w:rFonts w:ascii="Georgia" w:cs="Georgia" w:eastAsia="Georgia" w:hAnsi="Georgia"/>
                  </w:rPr>
                </w:pPr>
                <w:r w:rsidDel="00000000" w:rsidR="00000000" w:rsidRPr="00000000">
                  <w:rPr>
                    <w:rFonts w:ascii="Georgia" w:cs="Georgia" w:eastAsia="Georgia" w:hAnsi="Georgia"/>
                    <w:rtl w:val="0"/>
                  </w:rPr>
                  <w:t xml:space="preserve">2.07</w:t>
                </w:r>
              </w:p>
            </w:tc>
          </w:tr>
        </w:tbl>
      </w:sdtContent>
    </w:sdt>
    <w:p w:rsidR="00000000" w:rsidDel="00000000" w:rsidP="00000000" w:rsidRDefault="00000000" w:rsidRPr="00000000" w14:paraId="0000065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5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determining which of the qualified parties won, the Court next computed the number of nominees each winner was entitled to. BAYAN MUNA, the party that obtained the highest number of votes, was considered the first party. To determine its number of nominees, the relevant formula was laid down in Veterans in this wise:</w:t>
      </w:r>
    </w:p>
    <w:p w:rsidR="00000000" w:rsidDel="00000000" w:rsidP="00000000" w:rsidRDefault="00000000" w:rsidRPr="00000000" w14:paraId="0000065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5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Number of votes of first party / Total votes for party-list system</w:t>
      </w:r>
    </w:p>
    <w:p w:rsidR="00000000" w:rsidDel="00000000" w:rsidP="00000000" w:rsidRDefault="00000000" w:rsidRPr="00000000" w14:paraId="0000065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  Proportion of votes of first party relative to total votes for party-list system</w:t>
      </w:r>
    </w:p>
    <w:p w:rsidR="00000000" w:rsidDel="00000000" w:rsidP="00000000" w:rsidRDefault="00000000" w:rsidRPr="00000000" w14:paraId="0000065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5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Applying this formula, we arrive at 26.19 percent:</w:t>
      </w:r>
    </w:p>
    <w:p w:rsidR="00000000" w:rsidDel="00000000" w:rsidP="00000000" w:rsidRDefault="00000000" w:rsidRPr="00000000" w14:paraId="0000065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1,708,253 / 6,523,185 = 26.19%</w:t>
      </w:r>
    </w:p>
    <w:p w:rsidR="00000000" w:rsidDel="00000000" w:rsidP="00000000" w:rsidRDefault="00000000" w:rsidRPr="00000000" w14:paraId="0000065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5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Having obtained 26.19 percent, BAYAN MUNA is entitled to three (3) seats. This finding is pursuant to the Court’s ruling in Veterans, the pertinent portions of which are reproduced as follows:</w:t>
      </w:r>
    </w:p>
    <w:p w:rsidR="00000000" w:rsidDel="00000000" w:rsidP="00000000" w:rsidRDefault="00000000" w:rsidRPr="00000000" w14:paraId="0000065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the proportion of votes received by the first party without rounding it off is equal to at least six percent of the total valid votes cast for all the party list groups, then the first party shall be entitled to two additional seats or a total of three seats overall. If the proportion of votes without a rounding off is equal to or greater than four percent, but less than six percent, then the first party shall have one additional or a total of two seats. And if the proportion is less than four percent, then the first party shall not be entitled to any additional seat. </w:t>
      </w:r>
    </w:p>
    <w:p w:rsidR="00000000" w:rsidDel="00000000" w:rsidP="00000000" w:rsidRDefault="00000000" w:rsidRPr="00000000" w14:paraId="0000065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"Note that the above formula will be applicable only in determining the number of additional seats the first party is entitled to. It cannot be used to determine the number of additional seats of the other qualified parties. As explained earlier, the use of the same formula for all would contravene the proportional representation parameter. For example, a second party obtains six percent of the total number of votes cast. According to the above formula, the said party would be entitled to two additional seats or a total of three seats overall. However, if the first party received a significantly higher amount of votes - say, twenty percent - to grant it the same number of seats as the second party would violate the statutory mandate of proportional representation, since a party getting only six percent of the votes will have an equal number of representatives as the one obtaining twenty percent. The proper solution, therefore, is to grant the first party a total of three seats; and the party receiving six percent, additional seats in proportion to those of the first party.”</w:t>
      </w:r>
    </w:p>
    <w:p w:rsidR="00000000" w:rsidDel="00000000" w:rsidP="00000000" w:rsidRDefault="00000000" w:rsidRPr="00000000" w14:paraId="0000065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issue of whether additional seats should be allocated to APEC, AKBAYAN, BUTIL and CIBAC was not addressed in the June 26, 2003 Resolution; a separate Motion (with Supplemental Motion) challenging their entitlement thereto had been filed by BAYAN MUNA and was still pending completion when the Resolution was promulgated. Hence, the Court computed only the additional seat or seats to be allocated, if any, to the other qualified parties - BUHAY, AMIN, ABA, COCOFED, PM, SANLAKAS and ABANSE! PINAY. </w:t>
      </w:r>
    </w:p>
    <w:p w:rsidR="00000000" w:rsidDel="00000000" w:rsidP="00000000" w:rsidRDefault="00000000" w:rsidRPr="00000000" w14:paraId="0000065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Applying the relevant formula in </w:t>
      </w:r>
      <w:r w:rsidDel="00000000" w:rsidR="00000000" w:rsidRPr="00000000">
        <w:rPr>
          <w:rFonts w:ascii="Georgia" w:cs="Georgia" w:eastAsia="Georgia" w:hAnsi="Georgia"/>
          <w:i w:val="1"/>
          <w:iCs w:val="1"/>
          <w:rtl w:val="0"/>
        </w:rPr>
        <w:t xml:space="preserve">Veterans</w:t>
      </w:r>
      <w:r w:rsidDel="00000000" w:rsidR="00000000" w:rsidRPr="00000000">
        <w:rPr>
          <w:rFonts w:ascii="Georgia" w:cs="Georgia" w:eastAsia="Georgia" w:hAnsi="Georgia"/>
          <w:rtl w:val="0"/>
        </w:rPr>
        <w:t xml:space="preserve"> to BUHAY, we arrive at 0.51:</w:t>
      </w:r>
    </w:p>
    <w:p w:rsidR="00000000" w:rsidDel="00000000" w:rsidP="00000000" w:rsidRDefault="00000000" w:rsidRPr="00000000" w14:paraId="0000066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6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Additional Seats</w:t>
        <w:tab/>
        <w:t xml:space="preserve">= </w:t>
      </w:r>
      <w:r w:rsidDel="00000000" w:rsidR="00000000" w:rsidRPr="00000000">
        <w:rPr>
          <w:rFonts w:ascii="Georgia" w:cs="Georgia" w:eastAsia="Georgia" w:hAnsi="Georgia"/>
          <w:u w:val="single"/>
          <w:rtl w:val="0"/>
        </w:rPr>
        <w:t xml:space="preserve">Votes Cast for Qualified Party</w:t>
      </w:r>
      <w:r w:rsidDel="00000000" w:rsidR="00000000" w:rsidRPr="00000000">
        <w:rPr>
          <w:rFonts w:ascii="Georgia" w:cs="Georgia" w:eastAsia="Georgia" w:hAnsi="Georgia"/>
          <w:rtl w:val="0"/>
        </w:rPr>
        <w:t xml:space="preserve">  x   Alloted Seats for First Party </w:t>
      </w:r>
    </w:p>
    <w:p w:rsidR="00000000" w:rsidDel="00000000" w:rsidP="00000000" w:rsidRDefault="00000000" w:rsidRPr="00000000" w14:paraId="0000066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Votes Cast for First Party                    </w:t>
      </w:r>
    </w:p>
    <w:p w:rsidR="00000000" w:rsidDel="00000000" w:rsidP="00000000" w:rsidRDefault="00000000" w:rsidRPr="00000000" w14:paraId="0000066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ab/>
        <w:tab/>
        <w:tab/>
        <w:t xml:space="preserve">= 290,760 / 1,708,253 x 3</w:t>
      </w:r>
    </w:p>
    <w:p w:rsidR="00000000" w:rsidDel="00000000" w:rsidP="00000000" w:rsidRDefault="00000000" w:rsidRPr="00000000" w14:paraId="0000066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ab/>
        <w:tab/>
        <w:tab/>
        <w:t xml:space="preserve">= 0.51</w:t>
      </w:r>
    </w:p>
    <w:p w:rsidR="00000000" w:rsidDel="00000000" w:rsidP="00000000" w:rsidRDefault="00000000" w:rsidRPr="00000000" w14:paraId="00000665">
      <w:pPr>
        <w:spacing w:after="80" w:before="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66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Since 0.51 is less than one, BUHAY is not entitled to any </w:t>
      </w:r>
      <w:r w:rsidDel="00000000" w:rsidR="00000000" w:rsidRPr="00000000">
        <w:rPr>
          <w:rFonts w:ascii="Georgia" w:cs="Georgia" w:eastAsia="Georgia" w:hAnsi="Georgia"/>
          <w:i w:val="1"/>
          <w:iCs w:val="1"/>
          <w:rtl w:val="0"/>
        </w:rPr>
        <w:t xml:space="preserve">additional</w:t>
      </w:r>
      <w:r w:rsidDel="00000000" w:rsidR="00000000" w:rsidRPr="00000000">
        <w:rPr>
          <w:rFonts w:ascii="Georgia" w:cs="Georgia" w:eastAsia="Georgia" w:hAnsi="Georgia"/>
          <w:rtl w:val="0"/>
        </w:rPr>
        <w:t xml:space="preserve"> seat. It is entitled to only one qualifying seat like all the other qualified parties that are ranked below it, as shown in Table No. 3:</w:t>
      </w:r>
    </w:p>
    <w:p w:rsidR="00000000" w:rsidDel="00000000" w:rsidP="00000000" w:rsidRDefault="00000000" w:rsidRPr="00000000" w14:paraId="0000066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68">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No. 3</w:t>
      </w:r>
    </w:p>
    <w:sdt>
      <w:sdtPr>
        <w:lock w:val="contentLocked"/>
        <w:id w:val="1297112357"/>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100"/>
            <w:gridCol w:w="1455"/>
            <w:gridCol w:w="2460"/>
            <w:gridCol w:w="2460"/>
            <w:tblGridChange w:id="0">
              <w:tblGrid>
                <w:gridCol w:w="885"/>
                <w:gridCol w:w="2100"/>
                <w:gridCol w:w="1455"/>
                <w:gridCol w:w="2460"/>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Party-List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Votes 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Percentage of Total Votes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Additional Seats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jc w:val="center"/>
                  <w:rPr>
                    <w:rFonts w:ascii="Georgia" w:cs="Georgia" w:eastAsia="Georgia" w:hAnsi="Georgia"/>
                  </w:rPr>
                </w:pPr>
                <w:r w:rsidDel="00000000" w:rsidR="00000000" w:rsidRPr="00000000">
                  <w:rPr>
                    <w:rFonts w:ascii="Georgia" w:cs="Georgia" w:eastAsia="Georgia" w:hAnsi="Georgia"/>
                    <w:rtl w:val="0"/>
                  </w:rPr>
                  <w:t xml:space="preserve">APEC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jc w:val="center"/>
                  <w:rPr>
                    <w:rFonts w:ascii="Georgia" w:cs="Georgia" w:eastAsia="Georgia" w:hAnsi="Georgia"/>
                  </w:rPr>
                </w:pPr>
                <w:r w:rsidDel="00000000" w:rsidR="00000000" w:rsidRPr="00000000">
                  <w:rPr>
                    <w:rFonts w:ascii="Georgia" w:cs="Georgia" w:eastAsia="Georgia" w:hAnsi="Georgia"/>
                    <w:rtl w:val="0"/>
                  </w:rPr>
                  <w:t xml:space="preserve">802,060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jc w:val="center"/>
                  <w:rPr>
                    <w:rFonts w:ascii="Georgia" w:cs="Georgia" w:eastAsia="Georgia" w:hAnsi="Georgia"/>
                  </w:rPr>
                </w:pPr>
                <w:r w:rsidDel="00000000" w:rsidR="00000000" w:rsidRPr="00000000">
                  <w:rPr>
                    <w:rFonts w:ascii="Georgia" w:cs="Georgia" w:eastAsia="Georgia" w:hAnsi="Georgia"/>
                    <w:rtl w:val="0"/>
                  </w:rPr>
                  <w:t xml:space="preserve">12.29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jc w:val="center"/>
                  <w:rPr>
                    <w:rFonts w:ascii="Georgia" w:cs="Georgia" w:eastAsia="Georgia" w:hAnsi="Georgia"/>
                  </w:rPr>
                </w:pPr>
                <w:r w:rsidDel="00000000" w:rsidR="00000000" w:rsidRPr="00000000">
                  <w:rPr>
                    <w:rFonts w:ascii="Georgia" w:cs="Georgia" w:eastAsia="Georgia" w:hAnsi="Georgia"/>
                    <w:rtl w:val="0"/>
                  </w:rPr>
                  <w:t xml:space="preserve">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jc w:val="center"/>
                  <w:rPr>
                    <w:rFonts w:ascii="Georgia" w:cs="Georgia" w:eastAsia="Georgia" w:hAnsi="Georgia"/>
                  </w:rPr>
                </w:pPr>
                <w:r w:rsidDel="00000000" w:rsidR="00000000" w:rsidRPr="00000000">
                  <w:rPr>
                    <w:rFonts w:ascii="Georgia" w:cs="Georgia" w:eastAsia="Georgia" w:hAnsi="Georg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jc w:val="center"/>
                  <w:rPr>
                    <w:rFonts w:ascii="Georgia" w:cs="Georgia" w:eastAsia="Georgia" w:hAnsi="Georgia"/>
                  </w:rPr>
                </w:pPr>
                <w:r w:rsidDel="00000000" w:rsidR="00000000" w:rsidRPr="00000000">
                  <w:rPr>
                    <w:rFonts w:ascii="Georgia" w:cs="Georgia" w:eastAsia="Georgia" w:hAnsi="Georgia"/>
                    <w:rtl w:val="0"/>
                  </w:rPr>
                  <w:t xml:space="preserve">AKBAYAN!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jc w:val="center"/>
                  <w:rPr>
                    <w:rFonts w:ascii="Georgia" w:cs="Georgia" w:eastAsia="Georgia" w:hAnsi="Georgia"/>
                  </w:rPr>
                </w:pPr>
                <w:r w:rsidDel="00000000" w:rsidR="00000000" w:rsidRPr="00000000">
                  <w:rPr>
                    <w:rFonts w:ascii="Georgia" w:cs="Georgia" w:eastAsia="Georgia" w:hAnsi="Georgia"/>
                    <w:rtl w:val="0"/>
                  </w:rPr>
                  <w:t xml:space="preserve">377,852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jc w:val="center"/>
                  <w:rPr>
                    <w:rFonts w:ascii="Georgia" w:cs="Georgia" w:eastAsia="Georgia" w:hAnsi="Georgia"/>
                  </w:rPr>
                </w:pPr>
                <w:r w:rsidDel="00000000" w:rsidR="00000000" w:rsidRPr="00000000">
                  <w:rPr>
                    <w:rFonts w:ascii="Georgia" w:cs="Georgia" w:eastAsia="Georgia" w:hAnsi="Georgia"/>
                    <w:rtl w:val="0"/>
                  </w:rPr>
                  <w:t xml:space="preserve">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jc w:val="center"/>
                  <w:rPr>
                    <w:rFonts w:ascii="Georgia" w:cs="Georgia" w:eastAsia="Georgia" w:hAnsi="Georgia"/>
                  </w:rPr>
                </w:pPr>
                <w:r w:rsidDel="00000000" w:rsidR="00000000" w:rsidRPr="00000000">
                  <w:rPr>
                    <w:rFonts w:ascii="Georgia" w:cs="Georgia" w:eastAsia="Georgia" w:hAnsi="Georgia"/>
                    <w:rtl w:val="0"/>
                  </w:rPr>
                  <w:t xml:space="preserve">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jc w:val="center"/>
                  <w:rPr>
                    <w:rFonts w:ascii="Georgia" w:cs="Georgia" w:eastAsia="Georgia" w:hAnsi="Georgia"/>
                  </w:rPr>
                </w:pPr>
                <w:r w:rsidDel="00000000" w:rsidR="00000000" w:rsidRPr="00000000">
                  <w:rPr>
                    <w:rFonts w:ascii="Georgia" w:cs="Georgia" w:eastAsia="Georgia" w:hAnsi="Georg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jc w:val="center"/>
                  <w:rPr>
                    <w:rFonts w:ascii="Georgia" w:cs="Georgia" w:eastAsia="Georgia" w:hAnsi="Georgia"/>
                  </w:rPr>
                </w:pPr>
                <w:r w:rsidDel="00000000" w:rsidR="00000000" w:rsidRPr="00000000">
                  <w:rPr>
                    <w:rFonts w:ascii="Georgia" w:cs="Georgia" w:eastAsia="Georgia" w:hAnsi="Georgia"/>
                    <w:rtl w:val="0"/>
                  </w:rPr>
                  <w:t xml:space="preserve">BUTIL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jc w:val="center"/>
                  <w:rPr>
                    <w:rFonts w:ascii="Georgia" w:cs="Georgia" w:eastAsia="Georgia" w:hAnsi="Georgia"/>
                  </w:rPr>
                </w:pPr>
                <w:r w:rsidDel="00000000" w:rsidR="00000000" w:rsidRPr="00000000">
                  <w:rPr>
                    <w:rFonts w:ascii="Georgia" w:cs="Georgia" w:eastAsia="Georgia" w:hAnsi="Georgia"/>
                    <w:rtl w:val="0"/>
                  </w:rPr>
                  <w:t xml:space="preserve">330, 282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jc w:val="center"/>
                  <w:rPr>
                    <w:rFonts w:ascii="Georgia" w:cs="Georgia" w:eastAsia="Georgia" w:hAnsi="Georgia"/>
                  </w:rPr>
                </w:pPr>
                <w:r w:rsidDel="00000000" w:rsidR="00000000" w:rsidRPr="00000000">
                  <w:rPr>
                    <w:rFonts w:ascii="Georgia" w:cs="Georgia" w:eastAsia="Georgia" w:hAnsi="Georgia"/>
                    <w:rtl w:val="0"/>
                  </w:rPr>
                  <w:t xml:space="preserve">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jc w:val="center"/>
                  <w:rPr>
                    <w:rFonts w:ascii="Georgia" w:cs="Georgia" w:eastAsia="Georgia" w:hAnsi="Georgia"/>
                  </w:rPr>
                </w:pPr>
                <w:r w:rsidDel="00000000" w:rsidR="00000000" w:rsidRPr="00000000">
                  <w:rPr>
                    <w:rFonts w:ascii="Georgia" w:cs="Georgia" w:eastAsia="Georgia" w:hAnsi="Georgia"/>
                    <w:rtl w:val="0"/>
                  </w:rPr>
                  <w:t xml:space="preserve">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jc w:val="center"/>
                  <w:rPr>
                    <w:rFonts w:ascii="Georgia" w:cs="Georgia" w:eastAsia="Georgia" w:hAnsi="Georgia"/>
                  </w:rPr>
                </w:pPr>
                <w:r w:rsidDel="00000000" w:rsidR="00000000" w:rsidRPr="00000000">
                  <w:rPr>
                    <w:rFonts w:ascii="Georgia" w:cs="Georgia" w:eastAsia="Georgia" w:hAnsi="Georgi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jc w:val="center"/>
                  <w:rPr>
                    <w:rFonts w:ascii="Georgia" w:cs="Georgia" w:eastAsia="Georgia" w:hAnsi="Georgia"/>
                  </w:rPr>
                </w:pPr>
                <w:r w:rsidDel="00000000" w:rsidR="00000000" w:rsidRPr="00000000">
                  <w:rPr>
                    <w:rFonts w:ascii="Georgia" w:cs="Georgia" w:eastAsia="Georgia" w:hAnsi="Georgia"/>
                    <w:rtl w:val="0"/>
                  </w:rPr>
                  <w:t xml:space="preserve">CIBAC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jc w:val="center"/>
                  <w:rPr>
                    <w:rFonts w:ascii="Georgia" w:cs="Georgia" w:eastAsia="Georgia" w:hAnsi="Georgia"/>
                  </w:rPr>
                </w:pPr>
                <w:r w:rsidDel="00000000" w:rsidR="00000000" w:rsidRPr="00000000">
                  <w:rPr>
                    <w:rFonts w:ascii="Georgia" w:cs="Georgia" w:eastAsia="Georgia" w:hAnsi="Georgia"/>
                    <w:rtl w:val="0"/>
                  </w:rPr>
                  <w:t xml:space="preserve">323,810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jc w:val="center"/>
                  <w:rPr>
                    <w:rFonts w:ascii="Georgia" w:cs="Georgia" w:eastAsia="Georgia" w:hAnsi="Georgia"/>
                  </w:rPr>
                </w:pPr>
                <w:r w:rsidDel="00000000" w:rsidR="00000000" w:rsidRPr="00000000">
                  <w:rPr>
                    <w:rFonts w:ascii="Georgia" w:cs="Georgia" w:eastAsia="Georgia" w:hAnsi="Georgia"/>
                    <w:rtl w:val="0"/>
                  </w:rPr>
                  <w:t xml:space="preserve">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jc w:val="center"/>
                  <w:rPr>
                    <w:rFonts w:ascii="Georgia" w:cs="Georgia" w:eastAsia="Georgia" w:hAnsi="Georgia"/>
                  </w:rPr>
                </w:pPr>
                <w:r w:rsidDel="00000000" w:rsidR="00000000" w:rsidRPr="00000000">
                  <w:rPr>
                    <w:rFonts w:ascii="Georgia" w:cs="Georgia" w:eastAsia="Georgia" w:hAnsi="Georgia"/>
                    <w:rtl w:val="0"/>
                  </w:rPr>
                  <w:t xml:space="preserve">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jc w:val="center"/>
                  <w:rPr>
                    <w:rFonts w:ascii="Georgia" w:cs="Georgia" w:eastAsia="Georgia" w:hAnsi="Georgia"/>
                  </w:rPr>
                </w:pPr>
                <w:r w:rsidDel="00000000" w:rsidR="00000000" w:rsidRPr="00000000">
                  <w:rPr>
                    <w:rFonts w:ascii="Georgia" w:cs="Georgia" w:eastAsia="Georgia" w:hAnsi="Georgia"/>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jc w:val="center"/>
                  <w:rPr>
                    <w:rFonts w:ascii="Georgia" w:cs="Georgia" w:eastAsia="Georgia" w:hAnsi="Georgia"/>
                  </w:rPr>
                </w:pPr>
                <w:r w:rsidDel="00000000" w:rsidR="00000000" w:rsidRPr="00000000">
                  <w:rPr>
                    <w:rFonts w:ascii="Georgia" w:cs="Georgia" w:eastAsia="Georgia" w:hAnsi="Georgia"/>
                    <w:rtl w:val="0"/>
                  </w:rPr>
                  <w:t xml:space="preserve">BUHAY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jc w:val="center"/>
                  <w:rPr>
                    <w:rFonts w:ascii="Georgia" w:cs="Georgia" w:eastAsia="Georgia" w:hAnsi="Georgia"/>
                  </w:rPr>
                </w:pPr>
                <w:r w:rsidDel="00000000" w:rsidR="00000000" w:rsidRPr="00000000">
                  <w:rPr>
                    <w:rFonts w:ascii="Georgia" w:cs="Georgia" w:eastAsia="Georgia" w:hAnsi="Georgia"/>
                    <w:rtl w:val="0"/>
                  </w:rPr>
                  <w:t xml:space="preserve">290,760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jc w:val="center"/>
                  <w:rPr>
                    <w:rFonts w:ascii="Georgia" w:cs="Georgia" w:eastAsia="Georgia" w:hAnsi="Georgia"/>
                  </w:rPr>
                </w:pPr>
                <w:r w:rsidDel="00000000" w:rsidR="00000000" w:rsidRPr="00000000">
                  <w:rPr>
                    <w:rFonts w:ascii="Georgia" w:cs="Georgia" w:eastAsia="Georgia" w:hAnsi="Georgia"/>
                    <w:rtl w:val="0"/>
                  </w:rPr>
                  <w:t xml:space="preserve">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jc w:val="center"/>
                  <w:rPr>
                    <w:rFonts w:ascii="Georgia" w:cs="Georgia" w:eastAsia="Georgia" w:hAnsi="Georgia"/>
                  </w:rPr>
                </w:pPr>
                <w:r w:rsidDel="00000000" w:rsidR="00000000" w:rsidRPr="00000000">
                  <w:rPr>
                    <w:rFonts w:ascii="Georgia" w:cs="Georgia" w:eastAsia="Georgia" w:hAnsi="Georgia"/>
                    <w:rtl w:val="0"/>
                  </w:rPr>
                  <w:t xml:space="preserve">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jc w:val="center"/>
                  <w:rPr>
                    <w:rFonts w:ascii="Georgia" w:cs="Georgia" w:eastAsia="Georgia" w:hAnsi="Georgia"/>
                  </w:rPr>
                </w:pPr>
                <w:r w:rsidDel="00000000" w:rsidR="00000000" w:rsidRPr="00000000">
                  <w:rPr>
                    <w:rFonts w:ascii="Georgia" w:cs="Georgia" w:eastAsia="Georgia" w:hAnsi="Georgia"/>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jc w:val="center"/>
                  <w:rPr>
                    <w:rFonts w:ascii="Georgia" w:cs="Georgia" w:eastAsia="Georgia" w:hAnsi="Georgia"/>
                  </w:rPr>
                </w:pPr>
                <w:r w:rsidDel="00000000" w:rsidR="00000000" w:rsidRPr="00000000">
                  <w:rPr>
                    <w:rFonts w:ascii="Georgia" w:cs="Georgia" w:eastAsia="Georgia" w:hAnsi="Georgia"/>
                    <w:rtl w:val="0"/>
                  </w:rPr>
                  <w:t xml:space="preserve">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jc w:val="center"/>
                  <w:rPr>
                    <w:rFonts w:ascii="Georgia" w:cs="Georgia" w:eastAsia="Georgia" w:hAnsi="Georgia"/>
                  </w:rPr>
                </w:pPr>
                <w:r w:rsidDel="00000000" w:rsidR="00000000" w:rsidRPr="00000000">
                  <w:rPr>
                    <w:rFonts w:ascii="Georgia" w:cs="Georgia" w:eastAsia="Georgia" w:hAnsi="Georgia"/>
                    <w:rtl w:val="0"/>
                  </w:rPr>
                  <w:t xml:space="preserve">252,051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jc w:val="center"/>
                  <w:rPr>
                    <w:rFonts w:ascii="Georgia" w:cs="Georgia" w:eastAsia="Georgia" w:hAnsi="Georgia"/>
                  </w:rPr>
                </w:pPr>
                <w:r w:rsidDel="00000000" w:rsidR="00000000" w:rsidRPr="00000000">
                  <w:rPr>
                    <w:rFonts w:ascii="Georgia" w:cs="Georgia" w:eastAsia="Georgia" w:hAnsi="Georgia"/>
                    <w:rtl w:val="0"/>
                  </w:rPr>
                  <w:t xml:space="preserve">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jc w:val="center"/>
                  <w:rPr>
                    <w:rFonts w:ascii="Georgia" w:cs="Georgia" w:eastAsia="Georgia" w:hAnsi="Georgia"/>
                  </w:rPr>
                </w:pPr>
                <w:r w:rsidDel="00000000" w:rsidR="00000000" w:rsidRPr="00000000">
                  <w:rPr>
                    <w:rFonts w:ascii="Georgia" w:cs="Georgia" w:eastAsia="Georgia" w:hAnsi="Georgia"/>
                    <w:rtl w:val="0"/>
                  </w:rPr>
                  <w:t xml:space="preserve">0.44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jc w:val="center"/>
                  <w:rPr>
                    <w:rFonts w:ascii="Georgia" w:cs="Georgia" w:eastAsia="Georgia" w:hAnsi="Georgia"/>
                  </w:rPr>
                </w:pPr>
                <w:r w:rsidDel="00000000" w:rsidR="00000000" w:rsidRPr="00000000">
                  <w:rPr>
                    <w:rFonts w:ascii="Georgia" w:cs="Georgia" w:eastAsia="Georgia" w:hAnsi="Georgia"/>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jc w:val="center"/>
                  <w:rPr>
                    <w:rFonts w:ascii="Georgia" w:cs="Georgia" w:eastAsia="Georgia" w:hAnsi="Georgia"/>
                  </w:rPr>
                </w:pPr>
                <w:r w:rsidDel="00000000" w:rsidR="00000000" w:rsidRPr="00000000">
                  <w:rPr>
                    <w:rFonts w:ascii="Georgia" w:cs="Georgia" w:eastAsia="Georgia" w:hAnsi="Georgia"/>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jc w:val="center"/>
                  <w:rPr>
                    <w:rFonts w:ascii="Georgia" w:cs="Georgia" w:eastAsia="Georgia" w:hAnsi="Georgia"/>
                  </w:rPr>
                </w:pPr>
                <w:r w:rsidDel="00000000" w:rsidR="00000000" w:rsidRPr="00000000">
                  <w:rPr>
                    <w:rFonts w:ascii="Georgia" w:cs="Georgia" w:eastAsia="Georgia" w:hAnsi="Georgia"/>
                    <w:rtl w:val="0"/>
                  </w:rPr>
                  <w:t xml:space="preserve">242,199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jc w:val="center"/>
                  <w:rPr>
                    <w:rFonts w:ascii="Georgia" w:cs="Georgia" w:eastAsia="Georgia" w:hAnsi="Georgia"/>
                  </w:rPr>
                </w:pPr>
                <w:r w:rsidDel="00000000" w:rsidR="00000000" w:rsidRPr="00000000">
                  <w:rPr>
                    <w:rFonts w:ascii="Georgia" w:cs="Georgia" w:eastAsia="Georgia" w:hAnsi="Georgia"/>
                    <w:rtl w:val="0"/>
                  </w:rPr>
                  <w:t xml:space="preserve">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jc w:val="center"/>
                  <w:rPr>
                    <w:rFonts w:ascii="Georgia" w:cs="Georgia" w:eastAsia="Georgia" w:hAnsi="Georgia"/>
                  </w:rPr>
                </w:pPr>
                <w:r w:rsidDel="00000000" w:rsidR="00000000" w:rsidRPr="00000000">
                  <w:rPr>
                    <w:rFonts w:ascii="Georgia" w:cs="Georgia" w:eastAsia="Georgia" w:hAnsi="Georgia"/>
                    <w:rtl w:val="0"/>
                  </w:rPr>
                  <w:t xml:space="preserve">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jc w:val="center"/>
                  <w:rPr>
                    <w:rFonts w:ascii="Georgia" w:cs="Georgia" w:eastAsia="Georgia" w:hAnsi="Georgia"/>
                  </w:rPr>
                </w:pPr>
                <w:r w:rsidDel="00000000" w:rsidR="00000000" w:rsidRPr="00000000">
                  <w:rPr>
                    <w:rFonts w:ascii="Georgia" w:cs="Georgia" w:eastAsia="Georgia" w:hAnsi="Georgia"/>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jc w:val="center"/>
                  <w:rPr>
                    <w:rFonts w:ascii="Georgia" w:cs="Georgia" w:eastAsia="Georgia" w:hAnsi="Georgia"/>
                  </w:rPr>
                </w:pPr>
                <w:r w:rsidDel="00000000" w:rsidR="00000000" w:rsidRPr="00000000">
                  <w:rPr>
                    <w:rFonts w:ascii="Georgia" w:cs="Georgia" w:eastAsia="Georgia" w:hAnsi="Georgia"/>
                    <w:rtl w:val="0"/>
                  </w:rPr>
                  <w:t xml:space="preserve">COCOFED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jc w:val="center"/>
                  <w:rPr>
                    <w:rFonts w:ascii="Georgia" w:cs="Georgia" w:eastAsia="Georgia" w:hAnsi="Georgia"/>
                  </w:rPr>
                </w:pPr>
                <w:r w:rsidDel="00000000" w:rsidR="00000000" w:rsidRPr="00000000">
                  <w:rPr>
                    <w:rFonts w:ascii="Georgia" w:cs="Georgia" w:eastAsia="Georgia" w:hAnsi="Georgia"/>
                    <w:rtl w:val="0"/>
                  </w:rPr>
                  <w:t xml:space="preserve">229,165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jc w:val="center"/>
                  <w:rPr>
                    <w:rFonts w:ascii="Georgia" w:cs="Georgia" w:eastAsia="Georgia" w:hAnsi="Georgia"/>
                  </w:rPr>
                </w:pPr>
                <w:r w:rsidDel="00000000" w:rsidR="00000000" w:rsidRPr="00000000">
                  <w:rPr>
                    <w:rFonts w:ascii="Georgia" w:cs="Georgia" w:eastAsia="Georgia" w:hAnsi="Georgia"/>
                    <w:rtl w:val="0"/>
                  </w:rPr>
                  <w:t xml:space="preserve">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jc w:val="center"/>
                  <w:rPr>
                    <w:rFonts w:ascii="Georgia" w:cs="Georgia" w:eastAsia="Georgia" w:hAnsi="Georgia"/>
                  </w:rPr>
                </w:pPr>
                <w:r w:rsidDel="00000000" w:rsidR="00000000" w:rsidRPr="00000000">
                  <w:rPr>
                    <w:rFonts w:ascii="Georgia" w:cs="Georgia" w:eastAsia="Georgia" w:hAnsi="Georgia"/>
                    <w:rtl w:val="0"/>
                  </w:rPr>
                  <w:t xml:space="preserve">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jc w:val="center"/>
                  <w:rPr>
                    <w:rFonts w:ascii="Georgia" w:cs="Georgia" w:eastAsia="Georgia" w:hAnsi="Georgia"/>
                  </w:rPr>
                </w:pPr>
                <w:r w:rsidDel="00000000" w:rsidR="00000000" w:rsidRPr="00000000">
                  <w:rPr>
                    <w:rFonts w:ascii="Georgia" w:cs="Georgia" w:eastAsia="Georgia" w:hAnsi="Georgi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jc w:val="center"/>
                  <w:rPr>
                    <w:rFonts w:ascii="Georgia" w:cs="Georgia" w:eastAsia="Georgia" w:hAnsi="Georgia"/>
                  </w:rPr>
                </w:pPr>
                <w:r w:rsidDel="00000000" w:rsidR="00000000" w:rsidRPr="00000000">
                  <w:rPr>
                    <w:rFonts w:ascii="Georgia" w:cs="Georgia" w:eastAsia="Georgia" w:hAnsi="Georgia"/>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jc w:val="center"/>
                  <w:rPr>
                    <w:rFonts w:ascii="Georgia" w:cs="Georgia" w:eastAsia="Georgia" w:hAnsi="Georgia"/>
                  </w:rPr>
                </w:pPr>
                <w:r w:rsidDel="00000000" w:rsidR="00000000" w:rsidRPr="00000000">
                  <w:rPr>
                    <w:rFonts w:ascii="Georgia" w:cs="Georgia" w:eastAsia="Georgia" w:hAnsi="Georgia"/>
                    <w:rtl w:val="0"/>
                  </w:rPr>
                  <w:t xml:space="preserve">216,823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jc w:val="center"/>
                  <w:rPr>
                    <w:rFonts w:ascii="Georgia" w:cs="Georgia" w:eastAsia="Georgia" w:hAnsi="Georgia"/>
                  </w:rPr>
                </w:pPr>
                <w:r w:rsidDel="00000000" w:rsidR="00000000" w:rsidRPr="00000000">
                  <w:rPr>
                    <w:rFonts w:ascii="Georgia" w:cs="Georgia" w:eastAsia="Georgia" w:hAnsi="Georgia"/>
                    <w:rtl w:val="0"/>
                  </w:rPr>
                  <w:t xml:space="preserve">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jc w:val="center"/>
                  <w:rPr>
                    <w:rFonts w:ascii="Georgia" w:cs="Georgia" w:eastAsia="Georgia" w:hAnsi="Georgia"/>
                  </w:rPr>
                </w:pPr>
                <w:r w:rsidDel="00000000" w:rsidR="00000000" w:rsidRPr="00000000">
                  <w:rPr>
                    <w:rFonts w:ascii="Georgia" w:cs="Georgia" w:eastAsia="Georgia" w:hAnsi="Georgia"/>
                    <w:rtl w:val="0"/>
                  </w:rPr>
                  <w:t xml:space="preserve">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jc w:val="center"/>
                  <w:rPr>
                    <w:rFonts w:ascii="Georgia" w:cs="Georgia" w:eastAsia="Georgia" w:hAnsi="Georgia"/>
                  </w:rPr>
                </w:pPr>
                <w:r w:rsidDel="00000000" w:rsidR="00000000" w:rsidRPr="00000000">
                  <w:rPr>
                    <w:rFonts w:ascii="Georgia" w:cs="Georgia" w:eastAsia="Georgia" w:hAnsi="Georgi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jc w:val="center"/>
                  <w:rPr>
                    <w:rFonts w:ascii="Georgia" w:cs="Georgia" w:eastAsia="Georgia" w:hAnsi="Georgia"/>
                  </w:rPr>
                </w:pPr>
                <w:r w:rsidDel="00000000" w:rsidR="00000000" w:rsidRPr="00000000">
                  <w:rPr>
                    <w:rFonts w:ascii="Georgia" w:cs="Georgia" w:eastAsia="Georgia" w:hAnsi="Georgia"/>
                    <w:rtl w:val="0"/>
                  </w:rPr>
                  <w:t xml:space="preserve">SANLAKAS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jc w:val="center"/>
                  <w:rPr>
                    <w:rFonts w:ascii="Georgia" w:cs="Georgia" w:eastAsia="Georgia" w:hAnsi="Georgia"/>
                  </w:rPr>
                </w:pPr>
                <w:r w:rsidDel="00000000" w:rsidR="00000000" w:rsidRPr="00000000">
                  <w:rPr>
                    <w:rFonts w:ascii="Georgia" w:cs="Georgia" w:eastAsia="Georgia" w:hAnsi="Georgia"/>
                    <w:rtl w:val="0"/>
                  </w:rPr>
                  <w:t xml:space="preserve">151,017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jc w:val="center"/>
                  <w:rPr>
                    <w:rFonts w:ascii="Georgia" w:cs="Georgia" w:eastAsia="Georgia" w:hAnsi="Georgia"/>
                  </w:rPr>
                </w:pPr>
                <w:r w:rsidDel="00000000" w:rsidR="00000000" w:rsidRPr="00000000">
                  <w:rPr>
                    <w:rFonts w:ascii="Georgia" w:cs="Georgia" w:eastAsia="Georgia" w:hAnsi="Georgia"/>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jc w:val="center"/>
                  <w:rPr>
                    <w:rFonts w:ascii="Georgia" w:cs="Georgia" w:eastAsia="Georgia" w:hAnsi="Georgia"/>
                  </w:rPr>
                </w:pPr>
                <w:r w:rsidDel="00000000" w:rsidR="00000000" w:rsidRPr="00000000">
                  <w:rPr>
                    <w:rFonts w:ascii="Georgia" w:cs="Georgia" w:eastAsia="Georgia" w:hAnsi="Georgia"/>
                    <w:rtl w:val="0"/>
                  </w:rPr>
                  <w:t xml:space="preserve">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jc w:val="center"/>
                  <w:rPr>
                    <w:rFonts w:ascii="Georgia" w:cs="Georgia" w:eastAsia="Georgia" w:hAnsi="Georgia"/>
                  </w:rPr>
                </w:pPr>
                <w:r w:rsidDel="00000000" w:rsidR="00000000" w:rsidRPr="00000000">
                  <w:rPr>
                    <w:rFonts w:ascii="Georgia" w:cs="Georgia" w:eastAsia="Georgia" w:hAnsi="Georgi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jc w:val="center"/>
                  <w:rPr>
                    <w:rFonts w:ascii="Georgia" w:cs="Georgia" w:eastAsia="Georgia" w:hAnsi="Georgia"/>
                  </w:rPr>
                </w:pPr>
                <w:r w:rsidDel="00000000" w:rsidR="00000000" w:rsidRPr="00000000">
                  <w:rPr>
                    <w:rFonts w:ascii="Georgia" w:cs="Georgia" w:eastAsia="Georgia" w:hAnsi="Georgia"/>
                    <w:rtl w:val="0"/>
                  </w:rPr>
                  <w:t xml:space="preserve">ABANSE! PINAY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jc w:val="center"/>
                  <w:rPr>
                    <w:rFonts w:ascii="Georgia" w:cs="Georgia" w:eastAsia="Georgia" w:hAnsi="Georgia"/>
                  </w:rPr>
                </w:pPr>
                <w:r w:rsidDel="00000000" w:rsidR="00000000" w:rsidRPr="00000000">
                  <w:rPr>
                    <w:rFonts w:ascii="Georgia" w:cs="Georgia" w:eastAsia="Georgia" w:hAnsi="Georgia"/>
                    <w:rtl w:val="0"/>
                  </w:rPr>
                  <w:t xml:space="preserve">135,211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jc w:val="center"/>
                  <w:rPr>
                    <w:rFonts w:ascii="Georgia" w:cs="Georgia" w:eastAsia="Georgia" w:hAnsi="Georgia"/>
                  </w:rPr>
                </w:pPr>
                <w:r w:rsidDel="00000000" w:rsidR="00000000" w:rsidRPr="00000000">
                  <w:rPr>
                    <w:rFonts w:ascii="Georgia" w:cs="Georgia" w:eastAsia="Georgia" w:hAnsi="Georgia"/>
                    <w:rtl w:val="0"/>
                  </w:rPr>
                  <w:t xml:space="preserve">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jc w:val="center"/>
                  <w:rPr>
                    <w:rFonts w:ascii="Georgia" w:cs="Georgia" w:eastAsia="Georgia" w:hAnsi="Georgia"/>
                  </w:rPr>
                </w:pPr>
                <w:r w:rsidDel="00000000" w:rsidR="00000000" w:rsidRPr="00000000">
                  <w:rPr>
                    <w:rFonts w:ascii="Georgia" w:cs="Georgia" w:eastAsia="Georgia" w:hAnsi="Georgia"/>
                    <w:rtl w:val="0"/>
                  </w:rPr>
                  <w:t xml:space="preserve">0.24</w:t>
                </w:r>
              </w:p>
            </w:tc>
          </w:tr>
        </w:tbl>
      </w:sdtContent>
    </w:sdt>
    <w:p w:rsidR="00000000" w:rsidDel="00000000" w:rsidP="00000000" w:rsidRDefault="00000000" w:rsidRPr="00000000" w14:paraId="000006A5">
      <w:pPr>
        <w:spacing w:after="80" w:before="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6A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sum, the above-named party-list winners, excluding those with a separate pending challenge, are entitled to the following congressional seats:</w:t>
      </w:r>
    </w:p>
    <w:p w:rsidR="00000000" w:rsidDel="00000000" w:rsidP="00000000" w:rsidRDefault="00000000" w:rsidRPr="00000000" w14:paraId="000006A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BAYAN MUNA</w:t>
        <w:tab/>
        <w:t xml:space="preserve">- three seats (one qualifying and two additional seat)</w:t>
      </w:r>
    </w:p>
    <w:p w:rsidR="00000000" w:rsidDel="00000000" w:rsidP="00000000" w:rsidRDefault="00000000" w:rsidRPr="00000000" w14:paraId="000006A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w:t>
        <w:tab/>
        <w:t xml:space="preserve">BUHAY                   </w:t>
        <w:tab/>
        <w:t xml:space="preserve">- one qualifying seat only </w:t>
      </w:r>
    </w:p>
    <w:p w:rsidR="00000000" w:rsidDel="00000000" w:rsidP="00000000" w:rsidRDefault="00000000" w:rsidRPr="00000000" w14:paraId="000006A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AMIN                       </w:t>
        <w:tab/>
        <w:t xml:space="preserve">- one qualifying seat only</w:t>
      </w:r>
    </w:p>
    <w:p w:rsidR="00000000" w:rsidDel="00000000" w:rsidP="00000000" w:rsidRDefault="00000000" w:rsidRPr="00000000" w14:paraId="000006A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ABA                </w:t>
        <w:tab/>
        <w:tab/>
        <w:t xml:space="preserve">- one qualifying seat only </w:t>
      </w:r>
    </w:p>
    <w:p w:rsidR="00000000" w:rsidDel="00000000" w:rsidP="00000000" w:rsidRDefault="00000000" w:rsidRPr="00000000" w14:paraId="000006A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COCOFED            </w:t>
        <w:tab/>
        <w:t xml:space="preserve">- one qualifying seat only</w:t>
      </w:r>
    </w:p>
    <w:p w:rsidR="00000000" w:rsidDel="00000000" w:rsidP="00000000" w:rsidRDefault="00000000" w:rsidRPr="00000000" w14:paraId="000006A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PM                 </w:t>
        <w:tab/>
        <w:tab/>
        <w:t xml:space="preserve">- one qualifying seat only</w:t>
      </w:r>
    </w:p>
    <w:p w:rsidR="00000000" w:rsidDel="00000000" w:rsidP="00000000" w:rsidRDefault="00000000" w:rsidRPr="00000000" w14:paraId="000006A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SANLAKAS      </w:t>
        <w:tab/>
        <w:tab/>
        <w:t xml:space="preserve">- one qualifying seat only                  </w:t>
      </w:r>
    </w:p>
    <w:p w:rsidR="00000000" w:rsidDel="00000000" w:rsidP="00000000" w:rsidRDefault="00000000" w:rsidRPr="00000000" w14:paraId="000006A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ABANSE! PINAY </w:t>
        <w:tab/>
        <w:t xml:space="preserve">- one qualifying seat only</w:t>
      </w:r>
    </w:p>
    <w:p w:rsidR="00000000" w:rsidDel="00000000" w:rsidP="00000000" w:rsidRDefault="00000000" w:rsidRPr="00000000" w14:paraId="000006AF">
      <w:pPr>
        <w:spacing w:after="80" w:before="80" w:lineRule="auto"/>
        <w:ind w:firstLine="360"/>
        <w:jc w:val="both"/>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6B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Steps Taken to</w:t>
      </w:r>
    </w:p>
    <w:p w:rsidR="00000000" w:rsidDel="00000000" w:rsidP="00000000" w:rsidRDefault="00000000" w:rsidRPr="00000000" w14:paraId="000006B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Determine the Winners</w:t>
      </w:r>
    </w:p>
    <w:p w:rsidR="00000000" w:rsidDel="00000000" w:rsidP="00000000" w:rsidRDefault="00000000" w:rsidRPr="00000000" w14:paraId="000006B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Resolution of June 25, 2003 in </w:t>
      </w:r>
      <w:r w:rsidDel="00000000" w:rsidR="00000000" w:rsidRPr="00000000">
        <w:rPr>
          <w:rFonts w:ascii="Georgia" w:cs="Georgia" w:eastAsia="Georgia" w:hAnsi="Georgia"/>
          <w:i w:val="1"/>
          <w:iCs w:val="1"/>
          <w:rtl w:val="0"/>
        </w:rPr>
        <w:t xml:space="preserve">Ang Bagong Bayani</w:t>
      </w:r>
      <w:r w:rsidDel="00000000" w:rsidR="00000000" w:rsidRPr="00000000">
        <w:rPr>
          <w:rFonts w:ascii="Georgia" w:cs="Georgia" w:eastAsia="Georgia" w:hAnsi="Georgia"/>
          <w:rtl w:val="0"/>
        </w:rPr>
        <w:t xml:space="preserve"> was crafted carefully by the Court to demonstrate to all concerned, especially to the Commission on Elections, the process of determining the qualified parties, the winners and their nominees in a party-list election.</w:t>
      </w:r>
    </w:p>
    <w:p w:rsidR="00000000" w:rsidDel="00000000" w:rsidP="00000000" w:rsidRDefault="00000000" w:rsidRPr="00000000" w14:paraId="000006B3">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The first step is to determine factually whether a candidate - which is a political party or an organization, not an individual - is qualified to participate. This determination is done with the aid of the 8-point guideline enunciated by the Court in its June 26, 2001 Decision in </w:t>
      </w:r>
      <w:r w:rsidDel="00000000" w:rsidR="00000000" w:rsidRPr="00000000">
        <w:rPr>
          <w:rFonts w:ascii="Georgia" w:cs="Georgia" w:eastAsia="Georgia" w:hAnsi="Georgia"/>
          <w:i w:val="1"/>
          <w:iCs w:val="1"/>
          <w:rtl w:val="0"/>
        </w:rPr>
        <w:t xml:space="preserve">Ang Bagong Bayani. </w:t>
      </w:r>
    </w:p>
    <w:p w:rsidR="00000000" w:rsidDel="00000000" w:rsidP="00000000" w:rsidRDefault="00000000" w:rsidRPr="00000000" w14:paraId="000006B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next step is to find out which of the qualified participants won; that is, which of them gathered at least two percent of the votes cast for all the qualified candidates only (the votes for the disqualified ones shall not be counted or added).</w:t>
      </w:r>
    </w:p>
    <w:p w:rsidR="00000000" w:rsidDel="00000000" w:rsidP="00000000" w:rsidRDefault="00000000" w:rsidRPr="00000000" w14:paraId="000006B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Then, the number of nominees each of the winners was entitled to was computed through the use of the formulas crafted in Veterans. Note that there is one formula for the first party, and there is another for all other parties. </w:t>
      </w:r>
    </w:p>
    <w:p w:rsidR="00000000" w:rsidDel="00000000" w:rsidP="00000000" w:rsidRDefault="00000000" w:rsidRPr="00000000" w14:paraId="000006B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Finally, the Resolution of June 26, 2003 expressed in its Epilogue the hope that the qualified parties, winners and their nominees could be more speedily determined in the future, as follows:</w:t>
      </w:r>
    </w:p>
    <w:p w:rsidR="00000000" w:rsidDel="00000000" w:rsidP="00000000" w:rsidRDefault="00000000" w:rsidRPr="00000000" w14:paraId="000006B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FUTURE, the determination of the winners can truly be made more expeditiously, now that there are precedents to guide all concerned, especially the Commission on Elections. For one thing, Comelec already has the herein base list of 46 qualified parties. For another, given the lessons and experiences in these proceedings, it can now more speedily, more carefully and more prudently pass upon the qualifications of new candidates. Such a process can even be done in advance under such rules and regulations it may issue, consistent with the law and with our Decisions and Resolutions here and in Veterans, to pre-qualify participants well in advance of the elections. </w:t>
      </w:r>
    </w:p>
    <w:p w:rsidR="00000000" w:rsidDel="00000000" w:rsidP="00000000" w:rsidRDefault="00000000" w:rsidRPr="00000000" w14:paraId="000006B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closing, the Court hopes that, with each bit of wisdom they learned and after the arduous journey they experienced in our one-of-a-kind Philippine-style party-list system, the marginalized and under-represented sectors of our country will be accorded ever-widening opportunities to participate in nation-building, so that they can help develop - in peace and harmony - a society that is just, humane, progressive and free."</w:t>
      </w:r>
    </w:p>
    <w:p w:rsidR="00000000" w:rsidDel="00000000" w:rsidP="00000000" w:rsidRDefault="00000000" w:rsidRPr="00000000" w14:paraId="000006B9">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B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B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B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B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BE">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12 </w:t>
      </w:r>
    </w:p>
    <w:p w:rsidR="00000000" w:rsidDel="00000000" w:rsidP="00000000" w:rsidRDefault="00000000" w:rsidRPr="00000000" w14:paraId="000006BF">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6C0">
      <w:pPr>
        <w:spacing w:after="80" w:before="80" w:lineRule="auto"/>
        <w:ind w:firstLine="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Macalintal v. Comelec:</w:t>
      </w:r>
    </w:p>
    <w:p w:rsidR="00000000" w:rsidDel="00000000" w:rsidP="00000000" w:rsidRDefault="00000000" w:rsidRPr="00000000" w14:paraId="000006C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Absentee Voting Is Constitutional</w:t>
      </w:r>
    </w:p>
    <w:p w:rsidR="00000000" w:rsidDel="00000000" w:rsidP="00000000" w:rsidRDefault="00000000" w:rsidRPr="00000000" w14:paraId="000006C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6C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1 of Article V of the Constitution states that suffrage may be exercised by those who possess these three attributes or qualifications: (1) Philippine citizenship; (2) age of at least 18 years; as well as (3) residence in the Philippines for at least one year immediately prior to the election, and at least six months of such residence must be in the place where the ballot is to be cast. The Constitution adds that the citizen should not be "otherwise disqualified by law."</w:t>
      </w:r>
    </w:p>
    <w:p w:rsidR="00000000" w:rsidDel="00000000" w:rsidP="00000000" w:rsidRDefault="00000000" w:rsidRPr="00000000" w14:paraId="000006C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Section 2 of the same article mandates Congress to "provide x x x a system for absentee voting by qualified Filipinos abroad." </w:t>
      </w:r>
    </w:p>
    <w:p w:rsidR="00000000" w:rsidDel="00000000" w:rsidP="00000000" w:rsidRDefault="00000000" w:rsidRPr="00000000" w14:paraId="000006C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Pursuant to this mandate in Section 2, Congress enacted Republic Act 9189 entitled "An Act Providing for a System of Overseas Absent Voting by Qualified Citizens of the Philippines Abroad x x x." </w:t>
      </w:r>
    </w:p>
    <w:p w:rsidR="00000000" w:rsidDel="00000000" w:rsidP="00000000" w:rsidRDefault="00000000" w:rsidRPr="00000000" w14:paraId="000006C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Days after the approval of the statute on February 13, 2003 and its publication in two newspapers of general circulation on February 16, 2003, the constitutionality of three of its major provisions was challenged directly-known Supreme Court by Atty. Romulo B. Macalintal,     a well-known election lawyer. Hence, the case is entitled </w:t>
      </w:r>
      <w:r w:rsidDel="00000000" w:rsidR="00000000" w:rsidRPr="00000000">
        <w:rPr>
          <w:rFonts w:ascii="Georgia" w:cs="Georgia" w:eastAsia="Georgia" w:hAnsi="Georgia"/>
          <w:i w:val="1"/>
          <w:iCs w:val="1"/>
          <w:rtl w:val="0"/>
        </w:rPr>
        <w:t xml:space="preserve">Macalintal Commission on Elections</w:t>
      </w:r>
      <w:r w:rsidDel="00000000" w:rsidR="00000000" w:rsidRPr="00000000">
        <w:rPr>
          <w:rFonts w:ascii="Georgia" w:cs="Georgia" w:eastAsia="Georgia" w:hAnsi="Georgia"/>
          <w:rtl w:val="0"/>
        </w:rPr>
        <w:t xml:space="preserve">.</w:t>
      </w:r>
    </w:p>
    <w:p w:rsidR="00000000" w:rsidDel="00000000" w:rsidP="00000000" w:rsidRDefault="00000000" w:rsidRPr="00000000" w14:paraId="000006C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are the three assailed provisions of RA 9189 </w:t>
      </w:r>
    </w:p>
    <w:p w:rsidR="00000000" w:rsidDel="00000000" w:rsidP="00000000" w:rsidRDefault="00000000" w:rsidRPr="00000000" w14:paraId="000006C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Section 5(d), which allows Filipino immigrants and permanent residents in foreign countries to vote in those countries after they have executed an affidavit expressing their intention to return to the Philippines within three years from the approval of their registration. </w:t>
      </w:r>
    </w:p>
    <w:p w:rsidR="00000000" w:rsidDel="00000000" w:rsidP="00000000" w:rsidRDefault="00000000" w:rsidRPr="00000000" w14:paraId="000006C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Section 18.5, insofar as it authorizes Comelec to proclaim the winning candidates for the Presidency and Vice Presidency of our Republic. </w:t>
      </w:r>
    </w:p>
    <w:p w:rsidR="00000000" w:rsidDel="00000000" w:rsidP="00000000" w:rsidRDefault="00000000" w:rsidRPr="00000000" w14:paraId="000006C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Portions of Sections 17.1, 19 and 25, insofar as they authorize Congress to exercise powers of oversight, review and approval of the Implementing Rules and Regulations (IRR) issued by Comelec to carry this law into effect.</w:t>
      </w:r>
    </w:p>
    <w:p w:rsidR="00000000" w:rsidDel="00000000" w:rsidP="00000000" w:rsidRDefault="00000000" w:rsidRPr="00000000" w14:paraId="000006C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was unanimous in declaring as unconstitutional items 2 and 3 above, but it was divided on item 1. I will no longer discuss the two points that were unanimously declared unconstitutional and will instead limit myself to the various opinions of the justices allowing Filipino immigrants to vote here.</w:t>
      </w:r>
    </w:p>
    <w:p w:rsidR="00000000" w:rsidDel="00000000" w:rsidP="00000000" w:rsidRDefault="00000000" w:rsidRPr="00000000" w14:paraId="000006C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Martinez Ponencia</w:t>
      </w:r>
    </w:p>
    <w:p w:rsidR="00000000" w:rsidDel="00000000" w:rsidP="00000000" w:rsidRDefault="00000000" w:rsidRPr="00000000" w14:paraId="000006C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majority opinion was penned by Justice Ma. Alicia Austria-Martinez, who upheld Section 5(d) on the following grounds:</w:t>
      </w:r>
    </w:p>
    <w:p w:rsidR="00000000" w:rsidDel="00000000" w:rsidP="00000000" w:rsidRDefault="00000000" w:rsidRPr="00000000" w14:paraId="000006C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all laws are presumed constitutional. In ruling on constitutionality cases, the courts should construe the Constitution "as a whole," and not merely the questioned provision "by itself alone." Thus, the residence requirement of one year should be read together with Section 2 of Article V of the Constitution, which mandates Congress to provide for a system of absentee voting. In short, Section 2 should be construed as an exception to Section 1. For overseas Filipinos, only the citizenship and the age requirements are needed as qualifications for suffrage. Since petitioner failed to demonstrate clearly the alleged unconstitutionality of the provision, the presumption of validity remains. </w:t>
      </w:r>
    </w:p>
    <w:p w:rsidR="00000000" w:rsidDel="00000000" w:rsidP="00000000" w:rsidRDefault="00000000" w:rsidRPr="00000000" w14:paraId="000006C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Second, citing </w:t>
      </w:r>
      <w:r w:rsidDel="00000000" w:rsidR="00000000" w:rsidRPr="00000000">
        <w:rPr>
          <w:rFonts w:ascii="Georgia" w:cs="Georgia" w:eastAsia="Georgia" w:hAnsi="Georgia"/>
          <w:i w:val="1"/>
          <w:iCs w:val="1"/>
          <w:rtl w:val="0"/>
        </w:rPr>
        <w:t xml:space="preserve">Romualdez-Marcos v. Comelec</w:t>
      </w:r>
      <w:r w:rsidDel="00000000" w:rsidR="00000000" w:rsidRPr="00000000">
        <w:rPr>
          <w:rFonts w:ascii="Georgia" w:cs="Georgia" w:eastAsia="Georgia" w:hAnsi="Georgia"/>
          <w:rtl w:val="0"/>
        </w:rPr>
        <w:t xml:space="preserve">, the ponencia said that residence as a requirement for voting should be understood as synonymous with domicile. Citing further the deliberations of the Constitutional Commission, that while overseas Filipinos may be foreign residents, they nonetheless retain their Philippine domiciles of origin and are therefore entitled to exercise suffrage.</w:t>
      </w:r>
    </w:p>
    <w:p w:rsidR="00000000" w:rsidDel="00000000" w:rsidP="00000000" w:rsidRDefault="00000000" w:rsidRPr="00000000" w14:paraId="000006D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Third, the execution of the affidavit is itself  “not the enabling or enfranchising act." It is "proof of the intention of the immigrant or permanent resident to go back and resume residency in the Philippines [and,] more significantly, it serves as an explicit expression that he has abandoned his domicile of origin."</w:t>
      </w:r>
    </w:p>
    <w:p w:rsidR="00000000" w:rsidDel="00000000" w:rsidP="00000000" w:rsidRDefault="00000000" w:rsidRPr="00000000" w14:paraId="000006D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Fourth, </w:t>
      </w:r>
      <w:r w:rsidDel="00000000" w:rsidR="00000000" w:rsidRPr="00000000">
        <w:rPr>
          <w:rFonts w:ascii="Georgia" w:cs="Georgia" w:eastAsia="Georgia" w:hAnsi="Georgia"/>
          <w:i w:val="1"/>
          <w:iCs w:val="1"/>
          <w:rtl w:val="0"/>
        </w:rPr>
        <w:t xml:space="preserve">Caasi v. Court of Appeals</w:t>
      </w:r>
      <w:r w:rsidDel="00000000" w:rsidR="00000000" w:rsidRPr="00000000">
        <w:rPr>
          <w:rFonts w:ascii="Georgia" w:cs="Georgia" w:eastAsia="Georgia" w:hAnsi="Georgia"/>
          <w:rtl w:val="0"/>
        </w:rPr>
        <w:t xml:space="preserve"> - which ruled that green-card holders of the US were disqualified from running for elective public office - "finds no application to the present case," because it dealt not with absentee voting, but with the qualifications to run for public office.</w:t>
      </w:r>
    </w:p>
    <w:p w:rsidR="00000000" w:rsidDel="00000000" w:rsidP="00000000" w:rsidRDefault="00000000" w:rsidRPr="00000000" w14:paraId="000006D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Fifth, petitioner's "apprehension that the implementation of Section 5(d) would affect the credibility of the elections is insignificant, as what is important is to ensure that all who possess the qualifications to vote on the date of the election are given the opportunity x x x to freely do so. The Comelec and the Department of Foreign Affairs have enough resources and talents to ensure the integrity and credibility of any election conducted pursuant to RA No. 9189."</w:t>
      </w:r>
    </w:p>
    <w:p w:rsidR="00000000" w:rsidDel="00000000" w:rsidP="00000000" w:rsidRDefault="00000000" w:rsidRPr="00000000" w14:paraId="000006D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Sixth, as to "the probability that after an immigrant has exercised the right to vote, he shall opt to remain in his host country beyond the third year from the execution of the affidavit x x x, it is not for the Court to determine the wisdom of the legislative exercise."</w:t>
      </w:r>
    </w:p>
    <w:p w:rsidR="00000000" w:rsidDel="00000000" w:rsidP="00000000" w:rsidRDefault="00000000" w:rsidRPr="00000000" w14:paraId="000006D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ponencia had a significant last paragraph that adopted by reference the discussions of Justice Reynato S. Puno in his Concurring and Dissenting Opinion, insofar as the latter argued against the constitutionality of allowing congressional oversight over the IRR of Comelec. These "adopted" discussions, found on pages 45-99 of his Opinion, are summarized thus:</w:t>
      </w:r>
    </w:p>
    <w:p w:rsidR="00000000" w:rsidDel="00000000" w:rsidP="00000000" w:rsidRDefault="00000000" w:rsidRPr="00000000" w14:paraId="000006D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principle of separation of powers, which seeks to avoid the consolidation of power in any one branch, bars "encroachment on matters within the exclusive jurisdiction of the other branches."</w:t>
      </w:r>
    </w:p>
    <w:p w:rsidR="00000000" w:rsidDel="00000000" w:rsidP="00000000" w:rsidRDefault="00000000" w:rsidRPr="00000000" w14:paraId="000006D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purpose of the congressional oversight power is "to make sure that administrative agencies perform their functions within the authority delegated to them."</w:t>
      </w:r>
    </w:p>
    <w:p w:rsidR="00000000" w:rsidDel="00000000" w:rsidP="00000000" w:rsidRDefault="00000000" w:rsidRPr="00000000" w14:paraId="000006D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Oversight powers may be divided into three categories: scrutiny, investigation and supervision.</w:t>
      </w:r>
    </w:p>
    <w:p w:rsidR="00000000" w:rsidDel="00000000" w:rsidP="00000000" w:rsidRDefault="00000000" w:rsidRPr="00000000" w14:paraId="000006D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3.1. Scrutiny is based primarily on the power of appropriation of Congress. In the exercise thereof, it may request information and report from other branches of government. Through its grant or denial of funds, it performs its oversight functions. Congress also scrutinizes through its power to confirm appointments. </w:t>
      </w:r>
    </w:p>
    <w:p w:rsidR="00000000" w:rsidDel="00000000" w:rsidP="00000000" w:rsidRDefault="00000000" w:rsidRPr="00000000" w14:paraId="000006D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3.2. Investigation is "the plenary power to compel information needed to discharge its legislative functions from executive agencies, private persons and organizations" which, however, must be "related to, and in furtherance of the a legitimate task of Congress." Under the 1987 Constitution, "the power of Congress to investigate is circumscribed by three limitations: (a) it must be in aid of its legislative functions, (b) ti must be conducted in accordance with duly published rules of procedure, and (c) the persons appearing therein are afforded their constitutional rights."</w:t>
      </w:r>
    </w:p>
    <w:p w:rsidR="00000000" w:rsidDel="00000000" w:rsidP="00000000" w:rsidRDefault="00000000" w:rsidRPr="00000000" w14:paraId="000006D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3,3. The most encompassing oversight power is supervision of executive operations, especially delegated operations.</w:t>
      </w:r>
    </w:p>
    <w:p w:rsidR="00000000" w:rsidDel="00000000" w:rsidP="00000000" w:rsidRDefault="00000000" w:rsidRPr="00000000" w14:paraId="000006D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Since the Constitution grants Comelec exclusive power over the enforcement and the administration of election laws, then Congress may not use its oversight powers to intrude  upon such prerogative. Subject to certain constitutional limitations, however, Comelec may be scrutinized in regard to its budget.</w:t>
      </w:r>
    </w:p>
    <w:p w:rsidR="00000000" w:rsidDel="00000000" w:rsidP="00000000" w:rsidRDefault="00000000" w:rsidRPr="00000000" w14:paraId="000006DC">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Concurring Opinions</w:t>
      </w:r>
    </w:p>
    <w:p w:rsidR="00000000" w:rsidDel="00000000" w:rsidP="00000000" w:rsidRDefault="00000000" w:rsidRPr="00000000" w14:paraId="000006D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will now take up the Separate Concurring Opinions (on Section 5-d) of the justices in the order of their seniority, starting with Justice Bellosillo. </w:t>
      </w:r>
    </w:p>
    <w:p w:rsidR="00000000" w:rsidDel="00000000" w:rsidP="00000000" w:rsidRDefault="00000000" w:rsidRPr="00000000" w14:paraId="000006DE">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Bellosillo Concurrence</w:t>
      </w:r>
    </w:p>
    <w:p w:rsidR="00000000" w:rsidDel="00000000" w:rsidP="00000000" w:rsidRDefault="00000000" w:rsidRPr="00000000" w14:paraId="000006D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Josue N. Bellosillo started off with "the three that must be observed" in the use of domicile (which, he opined, was synonymous with residence): "first, that a man must have a residence or domicile somewhere; second, domicile is not easily lost, once established it is retained until a new one is required; and third, a man can have but one residence or domicile at a time. The principal elements of domicile, i.e., physical presence in the locality involved intention to adopt it as a domicile, must concur in order to establish a new domicile."</w:t>
      </w:r>
    </w:p>
    <w:p w:rsidR="00000000" w:rsidDel="00000000" w:rsidP="00000000" w:rsidRDefault="00000000" w:rsidRPr="00000000" w14:paraId="000006E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acquisition of immigrant or permanent resident status does not </w:t>
      </w:r>
      <w:r w:rsidDel="00000000" w:rsidR="00000000" w:rsidRPr="00000000">
        <w:rPr>
          <w:rFonts w:ascii="Georgia" w:cs="Georgia" w:eastAsia="Georgia" w:hAnsi="Georgia"/>
          <w:i w:val="1"/>
          <w:iCs w:val="1"/>
          <w:rtl w:val="0"/>
        </w:rPr>
        <w:t xml:space="preserve">ipso facto</w:t>
      </w:r>
      <w:r w:rsidDel="00000000" w:rsidR="00000000" w:rsidRPr="00000000">
        <w:rPr>
          <w:rFonts w:ascii="Georgia" w:cs="Georgia" w:eastAsia="Georgia" w:hAnsi="Georgia"/>
          <w:rtl w:val="0"/>
        </w:rPr>
        <w:t xml:space="preserve"> result in a change of domicile. In the US, the acquisition of permanent residence may happen "without regard to intent." Thus, Filipinos may be permanent US residents but still be Philippine domiciliaries, provided they have a continuing "intent to return later” to this country.</w:t>
      </w:r>
    </w:p>
    <w:p w:rsidR="00000000" w:rsidDel="00000000" w:rsidP="00000000" w:rsidRDefault="00000000" w:rsidRPr="00000000" w14:paraId="000006E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Filipino migration is "borne out of the dire necessities of life rather than a conscious desire to abandon the land of birth." Thus, he concludes:</w:t>
      </w:r>
    </w:p>
    <w:p w:rsidR="00000000" w:rsidDel="00000000" w:rsidP="00000000" w:rsidRDefault="00000000" w:rsidRPr="00000000" w14:paraId="000006E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law in effect draws a distinction between two (2) classes of immigrants or permanent residents - those who have renounced their old domicile in the Philippines, and those who still consider the Philippines as their domicile of origin. The execution of the affidavit is an affirmation on the part of the immigrant or permanent resident that his stay abroad should not be construed as a relinquishment of his old domicile.</w:t>
      </w:r>
    </w:p>
    <w:p w:rsidR="00000000" w:rsidDel="00000000" w:rsidP="00000000" w:rsidRDefault="00000000" w:rsidRPr="00000000" w14:paraId="000006E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am not unaware of the possibility that the immigrant or permanent resident may renege on his undertaking in the affidavit to resume actual, physical and permanent residence in the Philippines. But the law contains proper and adequate safeguards against the misuse or abuse of this privilege, i.e., his name will be purged from the National Registry of Absentee Voters and he will be permanently disqualified from voting in absentia.</w:t>
      </w:r>
    </w:p>
    <w:p w:rsidR="00000000" w:rsidDel="00000000" w:rsidP="00000000" w:rsidRDefault="00000000" w:rsidRPr="00000000" w14:paraId="000006E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 closing observation, I wish to emphasize that the absolute disqualification of Filipino immigrants and permanent residents, without distinction, from participating in the Philippine electoral process would invariably result, as in the past, in a massive disenfranchisement of qualified voters. It would be self-defeating in the extreme if the Absentee Voting Law would flounder on the rock by reason of an unduly restrictive and decidedly unrealistic interpretation given by the minority on the residency requirement in the Constitution."</w:t>
      </w:r>
    </w:p>
    <w:p w:rsidR="00000000" w:rsidDel="00000000" w:rsidP="00000000" w:rsidRDefault="00000000" w:rsidRPr="00000000" w14:paraId="000006E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Vitug Concurrence</w:t>
      </w:r>
    </w:p>
    <w:p w:rsidR="00000000" w:rsidDel="00000000" w:rsidP="00000000" w:rsidRDefault="00000000" w:rsidRPr="00000000" w14:paraId="000006E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Jose C. Vitug pointed out that the Constitutional Commission had mandated Congress to adopt a system of absentee voting. This end cannot be accomplished by insisting on a strict interpretation of the one-year residency requirement. </w:t>
      </w:r>
    </w:p>
    <w:p w:rsidR="00000000" w:rsidDel="00000000" w:rsidP="00000000" w:rsidRDefault="00000000" w:rsidRPr="00000000" w14:paraId="000006E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Foreign migration is not "necessarily proof of an intention to discard and to abandon the domicile of origin.” Furthermore, </w:t>
      </w:r>
      <w:r w:rsidDel="00000000" w:rsidR="00000000" w:rsidRPr="00000000">
        <w:rPr>
          <w:rFonts w:ascii="Georgia" w:cs="Georgia" w:eastAsia="Georgia" w:hAnsi="Georgia"/>
          <w:i w:val="1"/>
          <w:iCs w:val="1"/>
          <w:rtl w:val="0"/>
        </w:rPr>
        <w:t xml:space="preserve">Caasi v. Court of Appeals</w:t>
      </w:r>
      <w:r w:rsidDel="00000000" w:rsidR="00000000" w:rsidRPr="00000000">
        <w:rPr>
          <w:rFonts w:ascii="Georgia" w:cs="Georgia" w:eastAsia="Georgia" w:hAnsi="Georgia"/>
          <w:rtl w:val="0"/>
        </w:rPr>
        <w:t xml:space="preserve"> "was predicated on Section 68 of the Omnibus Election Code of the Philippines,” not on the "exercise of the right to vote." </w:t>
      </w:r>
    </w:p>
    <w:p w:rsidR="00000000" w:rsidDel="00000000" w:rsidP="00000000" w:rsidRDefault="00000000" w:rsidRPr="00000000" w14:paraId="000006E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Sufficient "to establish the intention of the immigrant not to abandon his Philippine domicile" is the execution of the affidavit that contains an intent to come back here and                an affirmation of not having applied for foreign citizenship.</w:t>
      </w:r>
    </w:p>
    <w:p w:rsidR="00000000" w:rsidDel="00000000" w:rsidP="00000000" w:rsidRDefault="00000000" w:rsidRPr="00000000" w14:paraId="000006E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Panganiban Concurrence</w:t>
      </w:r>
    </w:p>
    <w:p w:rsidR="00000000" w:rsidDel="00000000" w:rsidP="00000000" w:rsidRDefault="00000000" w:rsidRPr="00000000" w14:paraId="000006E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Opinion did not repeat or discuss any of the points raised by the other justices. It focused on the reason why the Constitution insisted on residence as a prerequisite to voting. Let me quote my main point: </w:t>
      </w:r>
    </w:p>
    <w:p w:rsidR="00000000" w:rsidDel="00000000" w:rsidP="00000000" w:rsidRDefault="00000000" w:rsidRPr="00000000" w14:paraId="000006E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defining essence of my position is this: in the midst of the now available e-age communications facilities, actual presence in the Philippines is no longer indispensable to make discerning Filipinos know the problems of their country and to decide who among the candidates for national positions deserve their mandate. </w:t>
      </w:r>
    </w:p>
    <w:p w:rsidR="00000000" w:rsidDel="00000000" w:rsidP="00000000" w:rsidRDefault="00000000" w:rsidRPr="00000000" w14:paraId="000006E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the Information Age has given overseas Filipinos convenient means to inform themselves of our country's needs, as well as of the suitability of candidates for national offices. After all, many of them live abroad, not because they want to abandon their land of birth, but because they have been constrained to do so by economic, professional, livelihood and other pressing pursuits. Ineluctably, they remit their hard-earned money to help their relatives here and their country as a whole. </w:t>
      </w:r>
    </w:p>
    <w:p w:rsidR="00000000" w:rsidDel="00000000" w:rsidP="00000000" w:rsidRDefault="00000000" w:rsidRPr="00000000" w14:paraId="000006E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"Verily, their easy access to Philippine mass media keep them constantly aware of happenings in their native country. National dailies and other periodicals are sold regularly in Filipino enclaves in foreign shores. Several local and community publications in these areas cater mainly to Filipino expatriates, publishing news and opinions not only about their alien neighborhoods, but also quite extensively about their homeland.</w:t>
      </w:r>
    </w:p>
    <w:p w:rsidR="00000000" w:rsidDel="00000000" w:rsidP="00000000" w:rsidRDefault="00000000" w:rsidRPr="00000000" w14:paraId="000006E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 too, Philippine news and magazine-type broadcasts are available to overseas Filipinos on a daily basis over cable television, giving them the feeling and the intellectual status of being home. Interactive TV talk shows are now routinely participated in via long distance phones and cell phone text messages by people everywhere. Even more conveniently available are the websites of major dailies. Whatever news and views they print locally are instantly accessible everywhere on earth via the Internet. </w:t>
      </w:r>
    </w:p>
    <w:p w:rsidR="00000000" w:rsidDel="00000000" w:rsidP="00000000" w:rsidRDefault="00000000" w:rsidRPr="00000000" w14:paraId="000006E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"Truly, the e-age has opened windows to the Philippines in a pervasive and thorough manner, such that actual presence in the country is no longer needed to make an intelligent assessment of whom to vote for as our national leaders.</w:t>
      </w:r>
    </w:p>
    <w:p w:rsidR="00000000" w:rsidDel="00000000" w:rsidP="00000000" w:rsidRDefault="00000000" w:rsidRPr="00000000" w14:paraId="000006F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make this emphasis on national officials, because the Absentee Voting Law allows overseas voting only for the President, Vice President, senators and party-list representatives." This distinction is important, because the information available through websites and other modern media outlets is addressed mainly to national concerns. </w:t>
      </w:r>
    </w:p>
    <w:p w:rsidR="00000000" w:rsidDel="00000000" w:rsidP="00000000" w:rsidRDefault="00000000" w:rsidRPr="00000000" w14:paraId="000006F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insist that only those who can demonstrate actual physical residence in the country for one year - or only those who have complied with the more difficult-to-understand concept of domicile - would be entitled to vote would be to cling adamantly and unreasonably to a literal interpretation of the Constitution without regard for its more liberating spirit or rationale. Such insistence would result in rendering inutile any meaningful effort to accord suffrage to Filipinos abroad. Such a proposition would make the constitutional interpretation anachronous in the face of the refreshing and pulsating realities of the world. In my view, it would be thoroughly unreasonable to expect foreign-based Filipinos to come back here for one year every three years and abandon their jobs just to be able to comply literally with the residential requirement of suffrage. </w:t>
      </w:r>
    </w:p>
    <w:p w:rsidR="00000000" w:rsidDel="00000000" w:rsidP="00000000" w:rsidRDefault="00000000" w:rsidRPr="00000000" w14:paraId="000006F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the advances of science and technology - especially in the fields of computerization, miniaturization, digitization, satellite communications and fiber optics - has so expanded the capabilities of our brothers and sisters abroad as to enable them to understand our national needs, without having to sit back and stay here for one continuous year. They are now able to help us bridge those needs, not only by remitting their hard-earned currency, but also by assisting locally based Filipinos to choose national leaders who will steer the country in the perilous new paths of development and peace." </w:t>
      </w:r>
    </w:p>
    <w:p w:rsidR="00000000" w:rsidDel="00000000" w:rsidP="00000000" w:rsidRDefault="00000000" w:rsidRPr="00000000" w14:paraId="000006F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Opinion stressed that - like any other law - the constitutional provision on voter residence must be interpreted "not by the letter that killeth but by the spirit that giveth life." Indeed, the Constitution should be interpreted in a way that "it may bend with the refreshing winds of change necessitated by unfolding events."</w:t>
      </w:r>
    </w:p>
    <w:p w:rsidR="00000000" w:rsidDel="00000000" w:rsidP="00000000" w:rsidRDefault="00000000" w:rsidRPr="00000000" w14:paraId="000006F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When the reason for the law is accomplished, then the law itself is fulfilled. Since the law requiring residence is accomplished by the globalization of information, then the law itself is fulfilled. </w:t>
      </w:r>
    </w:p>
    <w:p w:rsidR="00000000" w:rsidDel="00000000" w:rsidP="00000000" w:rsidRDefault="00000000" w:rsidRPr="00000000" w14:paraId="000006F5">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Carpio Concurrence </w:t>
      </w:r>
    </w:p>
    <w:p w:rsidR="00000000" w:rsidDel="00000000" w:rsidP="00000000" w:rsidRDefault="00000000" w:rsidRPr="00000000" w14:paraId="000006F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Antonio T. Carpio described this case as both "historic and momentous. Historic because the right of suffrage which through the centuries evolved into a universal right, stands at the crossroads in this country. x x x. Momentous because the core issue is the enfranchisement or disenfranchisement of some 7million overseas Filipinos."</w:t>
      </w:r>
    </w:p>
    <w:p w:rsidR="00000000" w:rsidDel="00000000" w:rsidP="00000000" w:rsidRDefault="00000000" w:rsidRPr="00000000" w14:paraId="000006F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annual remittances of these Filipinos equal "almost 50 percent of the country's national budget. The total remittances, recorded and unrecorded, may even reach 18 percent of GNP, almost the same percentage that agriculture at 20 percent contributes to the GNP."</w:t>
      </w:r>
    </w:p>
    <w:p w:rsidR="00000000" w:rsidDel="00000000" w:rsidP="00000000" w:rsidRDefault="00000000" w:rsidRPr="00000000" w14:paraId="000006F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recognition of these contributions, the Constitution purposely introduced the absentee voting system to enfranchise these modern-day heroes. Unless they are exempted from the residency requirement, "overseas Filipinos could never vote as absentee voters." The framers of the 1987 Constitution could not have imposed this burden on immigrants. </w:t>
      </w:r>
    </w:p>
    <w:p w:rsidR="00000000" w:rsidDel="00000000" w:rsidP="00000000" w:rsidRDefault="00000000" w:rsidRPr="00000000" w14:paraId="000006F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residency requirement "is impossible to comply with since overseas Filipinos will obviously not vote in any locality in the Philippines. xxx. By definition, an abs non-resident voter."</w:t>
      </w:r>
    </w:p>
    <w:p w:rsidR="00000000" w:rsidDel="00000000" w:rsidP="00000000" w:rsidRDefault="00000000" w:rsidRPr="00000000" w14:paraId="000006F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new in the Philippines, absentee voting is well established in other countries. In the US, the trend is to a "no excuse" absentee voting; that is, it may be availed of "for any reason." </w:t>
      </w:r>
    </w:p>
    <w:p w:rsidR="00000000" w:rsidDel="00000000" w:rsidP="00000000" w:rsidRDefault="00000000" w:rsidRPr="00000000" w14:paraId="000006F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Too, the International Covenant on Civil and Political Rights, to which our country is a signatory, requires the Philippines to respect the people's right of suffrage” without unreasonable restrictions." Under the Constitution, the Philippines is duty-bound to comply with this Covenant in good faith. </w:t>
      </w:r>
    </w:p>
    <w:p w:rsidR="00000000" w:rsidDel="00000000" w:rsidP="00000000" w:rsidRDefault="00000000" w:rsidRPr="00000000" w14:paraId="000006F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Morales Concurrence </w:t>
      </w:r>
    </w:p>
    <w:p w:rsidR="00000000" w:rsidDel="00000000" w:rsidP="00000000" w:rsidRDefault="00000000" w:rsidRPr="00000000" w14:paraId="000006F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Like the other members of the Court, Justice Conchita Carpio Morales relied heavily on the legal equivalence of residence and domicile. To quote her:</w:t>
      </w:r>
    </w:p>
    <w:p w:rsidR="00000000" w:rsidDel="00000000" w:rsidP="00000000" w:rsidRDefault="00000000" w:rsidRPr="00000000" w14:paraId="000006F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Filipino who is or has already become an immigrant or permanent resident in ano country can, I am convinced, by a mere sworn undertaking to return to the Philippines for the purpose of establishing permanent residence here within the statutorily fixed three-year period, be allowed by law to vote in Philippine elections without transgressing the rules laid down by the Constitution on suffrage. For a Filipino immigrant or permanent resident of a foreign country unquestionably has the Philippines as his domicile of origin, that which he acquires at birth and is the domicile of his parents or of the person or persons upon whom he was legally dependent at the time of his birth. A domicile, once acquired, whether by origin or choice, continues until a new domicile is actually acquired. And to acquire a new domicile by choice, the following must concur: (1) residence or bodily presence in the new locality; (2) an intention to remain there (animus manendi); and (3) an intention to abandon the old domicile animus non revertendi).</w:t>
      </w:r>
    </w:p>
    <w:p w:rsidR="00000000" w:rsidDel="00000000" w:rsidP="00000000" w:rsidRDefault="00000000" w:rsidRPr="00000000" w14:paraId="000006F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my view that the affidavit executed in accordance with Section 5(d) of R.A. 9189 by a Filipino immigrant or permanent resident of another country expressing his intent to resume the physical permanent residence in the Philippines is an eloquent proof of his intention not to abandon his domicile of origin in the Philippines. It is a statement under oath of what a Filipino seeks to do for the future of his membership in a political community. Why should this affidavit be discredited on the mere speculation that the immigrant might not fulfill his undertaking to return to the Philippines for good? If Filipinos who are temporarily residing in foreign countries are accorded full faith and credit as to their domiciliary ties no matter how indefinite their absence from the Philippines, what more in the case of Filipino immigrants who have formally declared their intent to settle in their homeland?</w:t>
      </w:r>
    </w:p>
    <w:p w:rsidR="00000000" w:rsidDel="00000000" w:rsidP="00000000" w:rsidRDefault="00000000" w:rsidRPr="00000000" w14:paraId="0000070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he may have stayed on a more or less permanent basis in the host country which conferred on him the status of an immigrant and may be animated with all the desire to remain there, until and unless a Filipino immigrant had categorically expressed by words or by deeds his intent to no longer return to his domicile of origin, no conclusion can be reached as to a change in domicile from one of origin to one of choice, hence, the old domicile subsists. For at the core of every Filipino immigrant's being is the fact of his Philippine citizenship. He is, after all, still a Filipino. </w:t>
      </w:r>
    </w:p>
    <w:p w:rsidR="00000000" w:rsidDel="00000000" w:rsidP="00000000" w:rsidRDefault="00000000" w:rsidRPr="00000000" w14:paraId="0000070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acquisition of a new domicile must be completely perfected by a concurrence of the factum of removal to a new locality, the animus to remain there, and abandonment of and intent not to return to the former domicile, for if there is a purpose to return, whether secret or open, no loss or change of domicile will result. </w:t>
      </w:r>
    </w:p>
    <w:p w:rsidR="00000000" w:rsidDel="00000000" w:rsidP="00000000" w:rsidRDefault="00000000" w:rsidRPr="00000000" w14:paraId="0000070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"Two types of Filipino immigrants must then be distinguished. The first, a Filipino who has opted not to execute the required affidavit under Section 5(d) of R.A. 9189, is clearly disqualified to exercise suffrage for he has manifested the animus non revertendi with respect to his domicile in the Philippines, thereby effectuating his acquisition of a new domicile. The second, a Filipino who declares his wish to be reunited with his homeland has, without doubt, shown that his residence of origin remained unchanged and so he is entitled to vote under the Overseas Absentee Voting Law. Therefore, until that opportunity to execute the affidavit has been totally foregone by a Filipino immigrant, in the absence of any conclusive evidence of his acquisition of a new domicile, the Filipino immigrant's domicile of origin is intact, his presence abroad and his desire to remain therein notwithstanding." </w:t>
      </w:r>
    </w:p>
    <w:p w:rsidR="00000000" w:rsidDel="00000000" w:rsidP="00000000" w:rsidRDefault="00000000" w:rsidRPr="00000000" w14:paraId="0000070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Azcuna Concurrence</w:t>
      </w:r>
    </w:p>
    <w:p w:rsidR="00000000" w:rsidDel="00000000" w:rsidP="00000000" w:rsidRDefault="00000000" w:rsidRPr="00000000" w14:paraId="0000070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member of the Constitutional Commission which drafted the 1987 Constitution, Justice Adolfo S. Azcuna was brief and to the point. The execution of the affidavit would effectively abandon the domicile of choice (the foreign country) and automatically revive the domicile of origin (the Philippines). "Unlike the domicile of choice which requires both intention and physical presence to be established or maintained, the domicile of origin can be revived by an intention properly expressed." </w:t>
      </w:r>
    </w:p>
    <w:p w:rsidR="00000000" w:rsidDel="00000000" w:rsidP="00000000" w:rsidRDefault="00000000" w:rsidRPr="00000000" w14:paraId="0000070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moment a foreign domicile is abandoned, the native domicile is reacquired." The execution of the affidavit is the "operative act" that makes the affiant once more a Philippine domiciliary. </w:t>
      </w:r>
    </w:p>
    <w:p w:rsidR="00000000" w:rsidDel="00000000" w:rsidP="00000000" w:rsidRDefault="00000000" w:rsidRPr="00000000" w14:paraId="00000706">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Dissenting Opinions</w:t>
      </w:r>
    </w:p>
    <w:p w:rsidR="00000000" w:rsidDel="00000000" w:rsidP="00000000" w:rsidRDefault="00000000" w:rsidRPr="00000000" w14:paraId="0000070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 justices dissented. I will also summarize their opinions </w:t>
      </w:r>
      <w:r w:rsidDel="00000000" w:rsidR="00000000" w:rsidRPr="00000000">
        <w:rPr>
          <w:rFonts w:ascii="Georgia" w:cs="Georgia" w:eastAsia="Georgia" w:hAnsi="Georgia"/>
          <w:i w:val="1"/>
          <w:iCs w:val="1"/>
          <w:rtl w:val="0"/>
        </w:rPr>
        <w:t xml:space="preserve">seriatim</w:t>
      </w:r>
      <w:r w:rsidDel="00000000" w:rsidR="00000000" w:rsidRPr="00000000">
        <w:rPr>
          <w:rFonts w:ascii="Georgia" w:cs="Georgia" w:eastAsia="Georgia" w:hAnsi="Georgia"/>
          <w:rtl w:val="0"/>
        </w:rPr>
        <w:t xml:space="preserve">, according to their seniority in the Court. </w:t>
      </w:r>
    </w:p>
    <w:p w:rsidR="00000000" w:rsidDel="00000000" w:rsidP="00000000" w:rsidRDefault="00000000" w:rsidRPr="00000000" w14:paraId="0000070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Puno Opinion </w:t>
      </w:r>
    </w:p>
    <w:p w:rsidR="00000000" w:rsidDel="00000000" w:rsidP="00000000" w:rsidRDefault="00000000" w:rsidRPr="00000000" w14:paraId="0000070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Reynato S. Puno submitted a rather lengthy, 101-page "Concurring and Dissenting Opinion." However, the Dissenting portion referring to Section 5(d) is contained in pages 3 to 38 only. The rest refers to the two other issues in which the Court was unanimous in ruling in favor of unconstitutionality. Below is a summary of why he believes Section 5(d) is unconstitutional:</w:t>
      </w:r>
    </w:p>
    <w:p w:rsidR="00000000" w:rsidDel="00000000" w:rsidP="00000000" w:rsidRDefault="00000000" w:rsidRPr="00000000" w14:paraId="0000070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Tracing its history, Justice Puno opined that suffrage had been gradually enlarged over the years. In England, suffrage was initially limited to landowners only. This economic theory was also evident in the US, because voting under the 1787 US Constitution was left to the various states. In turn, these states invariably restricted the right to vote to white males who owned a certain amount of property. As the years wore on, suffrage was extended to all citizens regardless of sex, color, race or property ownership. </w:t>
      </w:r>
    </w:p>
    <w:p w:rsidR="00000000" w:rsidDel="00000000" w:rsidP="00000000" w:rsidRDefault="00000000" w:rsidRPr="00000000" w14:paraId="0000070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In our country, suffrage started as a statutory right and was limited by Act No. 1582 to male citizens who held certain municipal offices; or who owned real property or paid taxes; or who spoke, read or wrote in English or Spanish. Effective 1935, through Act No. 4122, suffrage was extended to women. The 1935 Constitution lowered the voting age from 23 to 21, while the 1973 Charter further reduced it to 18. </w:t>
      </w:r>
    </w:p>
    <w:p w:rsidR="00000000" w:rsidDel="00000000" w:rsidP="00000000" w:rsidRDefault="00000000" w:rsidRPr="00000000" w14:paraId="0000070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1987 Constitutional Commission extended the residence requirement to absentee voters, because it used the phrase “QUALIFIED FILIPINOS ABROAD in Section 1 of Article V of the fundamental law.” This phrase signifies that the absentee should have all the qualifications of citizenship, age and residence, and none of the disqualifications. </w:t>
      </w:r>
    </w:p>
    <w:p w:rsidR="00000000" w:rsidDel="00000000" w:rsidP="00000000" w:rsidRDefault="00000000" w:rsidRPr="00000000" w14:paraId="0000070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Our election laws have "continuously regarded immigrants or residents of foreign countries to have lost their domiciles in the Philippines, and hence are not qualified to run for public office."</w:t>
      </w:r>
    </w:p>
    <w:p w:rsidR="00000000" w:rsidDel="00000000" w:rsidP="00000000" w:rsidRDefault="00000000" w:rsidRPr="00000000" w14:paraId="0000070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Once the domicile of origin is abandoned by the establishment of the domicile of choice, one cannot just revert to the domicile of origin by the mere execution of an affidavit of intent to come back. "There can be no change of domicile without the concurrence of act and intent." The burden of establishing a change of domicile is upon the party who asserts it. "A self-serving affidavit will not suffice x x x." What makes the intent expressed in the affidavit effective and operative is "the fulfillment of the promise to return to the Philippines."</w:t>
      </w:r>
    </w:p>
    <w:p w:rsidR="00000000" w:rsidDel="00000000" w:rsidP="00000000" w:rsidRDefault="00000000" w:rsidRPr="00000000" w14:paraId="0000070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"This scheme diminishes the value of the right of suffrage as it dilutes the right of qualified voters to the proportionate value of their votes." Here, public officials may owe their mandate to voters who fail to fulfill their promise to return to our country. </w:t>
      </w:r>
    </w:p>
    <w:p w:rsidR="00000000" w:rsidDel="00000000" w:rsidP="00000000" w:rsidRDefault="00000000" w:rsidRPr="00000000" w14:paraId="0000071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Santiago Dissent </w:t>
      </w:r>
    </w:p>
    <w:p w:rsidR="00000000" w:rsidDel="00000000" w:rsidP="00000000" w:rsidRDefault="00000000" w:rsidRPr="00000000" w14:paraId="0000071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According to Justice Consuelo Ynares-Santiago, an absentee voter must first meet the qualifications found in Section 1 of Article V of the Constitution regarding citizenship, age and residence. "If the framers of the Constitution intended to make Section 2 of Article V a proviso or exception to the first section, they should have added it to the latter." She argued that the constitutional requirement for suffrage should not be given a "far-fetched" meaning as follows:</w:t>
      </w:r>
    </w:p>
    <w:p w:rsidR="00000000" w:rsidDel="00000000" w:rsidP="00000000" w:rsidRDefault="00000000" w:rsidRPr="00000000" w14:paraId="0000071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"Proponents of R.A. 9189 try to go around the statute's constitutional infirmity by giving the word 'resident' or 'resided' a labored and far-fetched meaning. They use the fanciful interpretation that immigrants who have moved lock, stock, and barrel to permanently live in another country are still domiciled in the Philippines.</w:t>
      </w:r>
    </w:p>
    <w:p w:rsidR="00000000" w:rsidDel="00000000" w:rsidP="00000000" w:rsidRDefault="00000000" w:rsidRPr="00000000" w14:paraId="0000071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tens, if not hundreds of millions of overseas Chinese who have migrated to other lands                   may be cited as examples. Even after living in their countries of choice for two or three generations, they maintain their Chinese identities through clannishness and language. They take pride in the slow emergence of the old country into a democratic and powerful economic force in world affairs. By no stretch of legal fiction, however, can they be deemed residents of mainland China. They have chosen to live in adopted homelands, have become integral and, many times, leading members of their communities, and will be buried there when the time comes. Unless the Chinese basic law allows non-residents to vote in China, they cannot vote there. A similar diaspora caused by economic, population, and other pressures has led millions of Filipinos to move to other countries. Considering the constitutional provision on who may vote in Philippine elections, a distinction has to be made between those temporarily living and working abroad and those who have opted to permanently reside there. This Court must hew to reality. It should not engage in fanciful or strained interpretations to try to pass off as Philippine residents the more than 2,000,000 immigrants who have chosen to permanently reside in other countries. Only a constitutional amendment, not an enactment of Congress, can lift the consequences of the distinction."</w:t>
      </w:r>
    </w:p>
    <w:p w:rsidR="00000000" w:rsidDel="00000000" w:rsidP="00000000" w:rsidRDefault="00000000" w:rsidRPr="00000000" w14:paraId="0000071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Santiago adds that immigrants should be understood to be those who "move from one place of abode to another; to leave one's country to settle in another." This always the "concept of permanence inherent in the word 'immigration." "Absentee" does not refer to immigrants.</w:t>
      </w:r>
    </w:p>
    <w:p w:rsidR="00000000" w:rsidDel="00000000" w:rsidP="00000000" w:rsidRDefault="00000000" w:rsidRPr="00000000" w14:paraId="0000071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Turning to the debates in the ConCom, she contends: </w:t>
      </w:r>
    </w:p>
    <w:p w:rsidR="00000000" w:rsidDel="00000000" w:rsidP="00000000" w:rsidRDefault="00000000" w:rsidRPr="00000000" w14:paraId="0000071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my mind, the Constitutional Commission envisioned two different groups of people as the beneficiaries of this provision: </w:t>
      </w:r>
    </w:p>
    <w:p w:rsidR="00000000" w:rsidDel="00000000" w:rsidP="00000000" w:rsidRDefault="00000000" w:rsidRPr="00000000" w14:paraId="0000071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Qualified Filipinos temporarily residing abroad - citizens who belong to this category reside abroad for extended periods of time without intending to make their host countries their permanent residence. This would include Overseas Filipino Workers (OFW's) with fixed periods of employment, students studying abroad, holders of treaty trader's visas, or seamen away from the Philippines for extended periods. The Department of Foreign Affairs has tabulated the majority of the 5,488,167 Filipinos living abroad as falling under this category. </w:t>
      </w:r>
    </w:p>
    <w:p w:rsidR="00000000" w:rsidDel="00000000" w:rsidP="00000000" w:rsidRDefault="00000000" w:rsidRPr="00000000" w14:paraId="0000071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Qualified Filipinos temporarily abroad, but not residing therein - this contemplates a situation wherein the temporary absence from the include Filipinos who just so happen to be absent from the Philippines for brief periods of time, but including election day itself, usually because they have flown to foreign countries for short trips.</w:t>
      </w:r>
    </w:p>
    <w:p w:rsidR="00000000" w:rsidDel="00000000" w:rsidP="00000000" w:rsidRDefault="00000000" w:rsidRPr="00000000" w14:paraId="0000071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submitted that a valid and very real distinction exists between either of these two groups of Filipinos, on the one hand, and those Filipinos who are permanent residents or immigrants in their host countries, on the other. The key difference lies in the change of permanent ere       residence or lack thereof, for the framers of our Constitution clearly intended that Filipinos who had taken up permanent residence in their host countries would be excluded from the benefits of absentee voting. No other interpretation can be supported by the records at hand." </w:t>
      </w:r>
    </w:p>
    <w:p w:rsidR="00000000" w:rsidDel="00000000" w:rsidP="00000000" w:rsidRDefault="00000000" w:rsidRPr="00000000" w14:paraId="0000071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Santiago noted several administrative difficulties in implementing RA 9189: </w:t>
      </w:r>
    </w:p>
    <w:p w:rsidR="00000000" w:rsidDel="00000000" w:rsidP="00000000" w:rsidRDefault="00000000" w:rsidRPr="00000000" w14:paraId="0000071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 will our embassies and consulates in the one hundred seventy eight (178) countries, island nations, and city states in the DFA list comply with their election duties within the impossibly short period provided by the law?</w:t>
      </w:r>
    </w:p>
    <w:p w:rsidR="00000000" w:rsidDel="00000000" w:rsidP="00000000" w:rsidRDefault="00000000" w:rsidRPr="00000000" w14:paraId="0000071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 will the identities of millions of overseas Filipinos be ascertained, the temporary separated from permanent residents, their passports be examined, and their affidavits of promise to return be verified and transmitted to the thousands of precincts where the sanctions on violated promises have to be enforced? How can embassies and consulates publicize the requirements for registration at least six months before October 31, 2003 in the one hundred seventy eight (178) countries, island nations, and city states where overseas Filipinos are found? How can they conduct exclusion and inclusion proceedings?</w:t>
      </w:r>
    </w:p>
    <w:p w:rsidR="00000000" w:rsidDel="00000000" w:rsidP="00000000" w:rsidRDefault="00000000" w:rsidRPr="00000000" w14:paraId="0000071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"Despite all-out efforts of Comelec, it has not solved the serious problem of "</w:t>
      </w:r>
      <w:r w:rsidDel="00000000" w:rsidR="00000000" w:rsidRPr="00000000">
        <w:rPr>
          <w:rFonts w:ascii="Georgia" w:cs="Georgia" w:eastAsia="Georgia" w:hAnsi="Georgia"/>
          <w:i w:val="1"/>
          <w:iCs w:val="1"/>
          <w:rtl w:val="0"/>
        </w:rPr>
        <w:t xml:space="preserve">dagdag bawas</w:t>
      </w:r>
      <w:r w:rsidDel="00000000" w:rsidR="00000000" w:rsidRPr="00000000">
        <w:rPr>
          <w:rFonts w:ascii="Georgia" w:cs="Georgia" w:eastAsia="Georgia" w:hAnsi="Georgia"/>
          <w:rtl w:val="0"/>
        </w:rPr>
        <w:t xml:space="preserve">" within the Philippines. Under the loose provisions of R.A. 9189, “</w:t>
      </w:r>
      <w:r w:rsidDel="00000000" w:rsidR="00000000" w:rsidRPr="00000000">
        <w:rPr>
          <w:rFonts w:ascii="Georgia" w:cs="Georgia" w:eastAsia="Georgia" w:hAnsi="Georgia"/>
          <w:i w:val="1"/>
          <w:iCs w:val="1"/>
          <w:rtl w:val="0"/>
        </w:rPr>
        <w:t xml:space="preserve">dagdag bawas</w:t>
      </w:r>
      <w:r w:rsidDel="00000000" w:rsidR="00000000" w:rsidRPr="00000000">
        <w:rPr>
          <w:rFonts w:ascii="Georgia" w:cs="Georgia" w:eastAsia="Georgia" w:hAnsi="Georgia"/>
          <w:rtl w:val="0"/>
        </w:rPr>
        <w:t xml:space="preserve">” is encouraged without fear of discovery, correction, and punishment of guilty parties residing abroad.</w:t>
      </w:r>
    </w:p>
    <w:p w:rsidR="00000000" w:rsidDel="00000000" w:rsidP="00000000" w:rsidRDefault="00000000" w:rsidRPr="00000000" w14:paraId="0000071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new and entirely efficient system for ferreting out and punishing election offenses must go with the law. Only a few obvious offenses have to be cited. Among them are padded registration lists, accreditation of unqualified voters, vote-buying and vote-selling, bribery, wagering on the results of elections, double registration and multiple voting by one person, appreciation of torn, defaced, or invalid ballots, solicitation of votes and unlawful electioneering, rigging or tampering with the canvass and transmission of results, and a long list of other violations of election laws.</w:t>
      </w:r>
    </w:p>
    <w:p w:rsidR="00000000" w:rsidDel="00000000" w:rsidP="00000000" w:rsidRDefault="00000000" w:rsidRPr="00000000" w14:paraId="0000071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observed by Professor Belinda A. Aquino, 'to rush this experiment simply to keep up with the May 200[4] elections, with some political calculations of its advantages to certain candidates would be creating a disservice to the Filipino overseas communities which the Voting Act has empowered to become full participants in the electoral process.'</w:t>
      </w:r>
    </w:p>
    <w:p w:rsidR="00000000" w:rsidDel="00000000" w:rsidP="00000000" w:rsidRDefault="00000000" w:rsidRPr="00000000" w14:paraId="0000072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closing, I invite attention to the exchange between Senator Joker Arroyo and Senator Edgardo Angara on the Senate Floor, where Senator Arroyo asked: Who could possibly take advantage of the expeditious handling of Senate Bill No. 2104, what we now know as R.A. 9189? Evidently, the two senators agreed that it was the administration that stood to gain the most. It is hoped that this perceived benefit was not the reason behind the hasty enactment of the law in its current, constitutionally infirm state. However, one cannot help but wonder if the concerns and aspirations of millions of our brothers and sisters abroad were truly served by the passage of the Overseas Absentee Voting Act of 2003. The entirety of R.A. 9189 has to be re-examined. For purposes of this petition, however, I limit my opinion to the five sections of the law outlined above." </w:t>
      </w:r>
    </w:p>
    <w:p w:rsidR="00000000" w:rsidDel="00000000" w:rsidP="00000000" w:rsidRDefault="00000000" w:rsidRPr="00000000" w14:paraId="0000072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Gutierrez Dissent</w:t>
      </w:r>
    </w:p>
    <w:p w:rsidR="00000000" w:rsidDel="00000000" w:rsidP="00000000" w:rsidRDefault="00000000" w:rsidRPr="00000000" w14:paraId="0000072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Although Justice Angelina Sandoval-Gutierrez based her Opinion on the domicile-residence parity, she insisted that unless intention was "fortified by the concurrent act of establishing the Philippines as his domicile," an absentee voter could not be considered a qualified voter. She stressed: </w:t>
      </w:r>
    </w:p>
    <w:p w:rsidR="00000000" w:rsidDel="00000000" w:rsidP="00000000" w:rsidRDefault="00000000" w:rsidRPr="00000000" w14:paraId="0000072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is no dispute that the 1987 Constitution denies Filipino immigrants the right of suffrage. The Framers had no choice; they had to maintain consistency among the provisions of the Constitution. Section 1, Article V prescribes residency in the Philippines as one of the qualifications for the exercise of the right of suffrage. Initially, this was perceived as an obstacle to the incorporation of the constitutional provision requiring Congress to provide for a system of absentee voting by 'qualified Filipinos abroad. However, the Framers resorted to the legal connotation of the term 'residence’. They emphasized that 'residence' is to be understood not in its common acceptance as referring to 'dwelling' or 'habitation, but rather to 'domicile' or 'legal residence, that is, the 'place where a party actually or constructively has his permanent home, where he, no matter where he may be found at any given time, eventually intends to return and remain! Thus, as long as the Filipino abroad maintains his domicile in the Philippines, he is considered a qualified voter under the Constitution, Significantly, at the early stage of the deliberation, the Framers made it clear that the term qualified Filipinos abroad' refers only to those whose presence in the foreign country is only 'temporary' and whose domicile is still the Philippines - thus, definitely excluding immigrants or permanent residents of a foreign country."</w:t>
      </w:r>
    </w:p>
    <w:p w:rsidR="00000000" w:rsidDel="00000000" w:rsidP="00000000" w:rsidRDefault="00000000" w:rsidRPr="00000000" w14:paraId="0000072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Immigrants abandon their Philippine domicile. To reacquire it, actual residence plus intent to reside must concur. In other words, there must be a waiver of one's immigrant status in the foreign country. </w:t>
      </w:r>
    </w:p>
    <w:p w:rsidR="00000000" w:rsidDel="00000000" w:rsidP="00000000" w:rsidRDefault="00000000" w:rsidRPr="00000000" w14:paraId="0000072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"Mere declaration that he intends to resume actual physical permanent residence in the Philippines does not have the effect of conferring upon the immigrant the necessary qualification of 'residency' here. To reiterate, residence for voting is not wholly a question of intention, it is a question of fact and intention. 'A voter's statements, declarations, or testimony with respect to his intention is not controlling, but must be taken in connection with his acts and conduct. Hence, the right to vote in a certain place or precinct requires the occurrence of two things, the act of residing coupled with the intention to do so. In order to constitute a residence for voting purposes, there must be the intention to reside there for voting purposes, and that intention must be accompanied by acts of living, dwelling, lodging, or residing reasonably sufficient to establish that it is the real and actual residence of the voter.'To rule that a sworn declaration of intention is sufficient to acquire a voting residence is to establish a bad ion.           precedent considering that voters can choose the place where they want to vote simply by swearing that they intend to permanently reside therein. </w:t>
      </w:r>
    </w:p>
    <w:p w:rsidR="00000000" w:rsidDel="00000000" w:rsidP="00000000" w:rsidRDefault="00000000" w:rsidRPr="00000000" w14:paraId="0000072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"Perhaps the majority would assert that such intention is accompanied by the immigrant's act of resuming actual physical permanent residence in the Philippines not later than three (3) years from the approval of his registration under R.A. No. 9189. Such a future act cannot change the immigrant's present domicile. Not only because it is yet to happen, hence, doubtful and uncertain, but also because it is a settled principle that a voter must possess all the qualifications to vote at least on the date of the election. Only persons who possess or will possess on the day of the election the constitutional and statutory qualifications of voters are entitled to apply to the registrars for the registration of their names in the voting lists.</w:t>
      </w:r>
    </w:p>
    <w:p w:rsidR="00000000" w:rsidDel="00000000" w:rsidP="00000000" w:rsidRDefault="00000000" w:rsidRPr="00000000" w14:paraId="0000072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say otherwise is to authorize a person to vote in necessary qualifications for the exercise of the right of suffrage. To be granted such a right before one can even qualify as a voter contravenes one of the most basic principles in election law." Like Justice Santiago, Justice Gutierrez sees RA 9189 as "an avenue for election fraud" and a cause of delay in the determination of election results. </w:t>
      </w:r>
    </w:p>
    <w:p w:rsidR="00000000" w:rsidDel="00000000" w:rsidP="00000000" w:rsidRDefault="00000000" w:rsidRPr="00000000" w14:paraId="0000072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Callejo Dissent</w:t>
      </w:r>
    </w:p>
    <w:p w:rsidR="00000000" w:rsidDel="00000000" w:rsidP="00000000" w:rsidRDefault="00000000" w:rsidRPr="00000000" w14:paraId="0000072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Romeo J. Callejo Sr. joined Justice Puno's Concurring and Dissenting Opinion. He contended that the constitutional requirements on citizenship, age and residence were "clear and unambiguous." Absentee voters are not exempt therefrom and may be allowed to vote, only if they satisfy the residence requirement "immediately preceding the election." </w:t>
      </w:r>
    </w:p>
    <w:p w:rsidR="00000000" w:rsidDel="00000000" w:rsidP="00000000" w:rsidRDefault="00000000" w:rsidRPr="00000000" w14:paraId="0000072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Poring upon the domicile and residence synergy, he wrote:</w:t>
      </w:r>
    </w:p>
    <w:p w:rsidR="00000000" w:rsidDel="00000000" w:rsidP="00000000" w:rsidRDefault="00000000" w:rsidRPr="00000000" w14:paraId="0000072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"Clearly, for voting purposes, one cannot have a residence or be domiciled in two places at the same time, for the right to vote in a certain place or precinct requires the concurrence of two things: the act of residing coupled with the intention to do so. Accordingly, in order to work a change of residence for voting, there must be an actual removal, an actual change of domicile, corresponding with a bona fide intention of abandoning the former place of residence and establishing a new one. Hence, an absence for months or even years, if all the while the party intended it as a mere temporary arrangement, to be followed by a resumption of his former residence, will not be an abandonment of such residence or deprive him of his right to vote thereat, the test being the presence or absence of the animus revertendi. Such is the case of overseas Filipino workers who, on account of the nature or exigencies of their work, fail to be physically present for some time in the Philippines but are not deemed to have abandoned their Philippine domicile by virtue of their intent to resume residency in the Philippines upon the termination of their employment contracts. </w:t>
      </w:r>
    </w:p>
    <w:p w:rsidR="00000000" w:rsidDel="00000000" w:rsidP="00000000" w:rsidRDefault="00000000" w:rsidRPr="00000000" w14:paraId="0000072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"However, the same cannot be said of Filipinos who, while maintaining their Filipino citizenship, have in the meantime acquired the status of immigrants or permanent residents of their respective host countries. An immigrant, as defined in law, is a person who moves into a country for the purpose of permanent residence. Therefore, a Filipino 'immigrant' or 'permanent resident, as the very designation of his status clearly implies, is a to: Filipino who has abandoned his Philippine residence or domicile, with the intention of residing permanently in his host country. Thenceforward, he acquires a new residence in his host country and is deemed to have abandoned his Philippine domicile. It has been held that where a voter abandons his residence in a state and acquires one in another state, although he afterward changes his intention and returns, he cannot again vote in the state of his former residence or domicile until he has regained his residence by remaining in the jurisdiction for the statutory period. </w:t>
      </w:r>
    </w:p>
    <w:p w:rsidR="00000000" w:rsidDel="00000000" w:rsidP="00000000" w:rsidRDefault="00000000" w:rsidRPr="00000000" w14:paraId="0000072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due respect to the majority, I do not subscribe to the view that the execution of the affidavit required under Section 5(d) is eloquent proof of the fact that the Filipino immigrant has not abandoned his Philippine domicile, as evinced by his intention to go back and resume residency in the Philippines, which thus entitles him to exercise the right of suffrage pursuant to the constitutional intent expressed in Section 2, in relation to Section 1, Article V of our Constitution. The majority view, I humbly submit, is </w:t>
      </w:r>
      <w:r w:rsidDel="00000000" w:rsidR="00000000" w:rsidRPr="00000000">
        <w:rPr>
          <w:rFonts w:ascii="Georgia" w:cs="Georgia" w:eastAsia="Georgia" w:hAnsi="Georgia"/>
          <w:i w:val="1"/>
          <w:iCs w:val="1"/>
          <w:rtl w:val="0"/>
        </w:rPr>
        <w:t xml:space="preserve">non sequitur </w:t>
      </w:r>
      <w:r w:rsidDel="00000000" w:rsidR="00000000" w:rsidRPr="00000000">
        <w:rPr>
          <w:rFonts w:ascii="Georgia" w:cs="Georgia" w:eastAsia="Georgia" w:hAnsi="Georgia"/>
          <w:rtl w:val="0"/>
        </w:rPr>
        <w:t xml:space="preserve">for it is well-entrenched that while intention is an important factor to be considered in determining whether or not a residence has been acquired, intention alone is insufficient to establish a residence for voting purposes. Hence, a mere intention to remove, not consummated, can neither forfeit the party's old domicile nor enable him to acquire a new one. And the fact that a person intends to remove at a future time does not of itself defeat his residence before he actually does remove." </w:t>
      </w:r>
    </w:p>
    <w:p w:rsidR="00000000" w:rsidDel="00000000" w:rsidP="00000000" w:rsidRDefault="00000000" w:rsidRPr="00000000" w14:paraId="0000072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Like Justice Puno, Justice Callejo was wary of the violation of the equal protection clause of the Constitution. While Section 5(d) allows a permanent resident to vote on a mere pledge to come back, a Filipino resident here is not given the same privilege to merely promise future residence. This provision unduly favors persons who have left the country and unfairly discriminates against local residents. He believes that the sanction for failure to fulfill the promise to return is too insignificant.</w:t>
      </w:r>
    </w:p>
    <w:p w:rsidR="00000000" w:rsidDel="00000000" w:rsidP="00000000" w:rsidRDefault="00000000" w:rsidRPr="00000000" w14:paraId="0000072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3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3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3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3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4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75A">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13. </w:t>
      </w:r>
    </w:p>
    <w:p w:rsidR="00000000" w:rsidDel="00000000" w:rsidP="00000000" w:rsidRDefault="00000000" w:rsidRPr="00000000" w14:paraId="0000075B">
      <w:pPr>
        <w:pStyle w:val="Heading2"/>
        <w:spacing w:after="0"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New Rules on </w:t>
      </w:r>
    </w:p>
    <w:p w:rsidR="00000000" w:rsidDel="00000000" w:rsidP="00000000" w:rsidRDefault="00000000" w:rsidRPr="00000000" w14:paraId="0000075C">
      <w:pPr>
        <w:pStyle w:val="Heading2"/>
        <w:spacing w:after="0"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Psychological Incapacity </w:t>
      </w:r>
    </w:p>
    <w:p w:rsidR="00000000" w:rsidDel="00000000" w:rsidP="00000000" w:rsidRDefault="00000000" w:rsidRPr="00000000" w14:paraId="0000075D">
      <w:pPr>
        <w:pStyle w:val="Heading2"/>
        <w:spacing w:after="0"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as a Ground to Void a Marriage</w:t>
      </w:r>
    </w:p>
    <w:p w:rsidR="00000000" w:rsidDel="00000000" w:rsidP="00000000" w:rsidRDefault="00000000" w:rsidRPr="00000000" w14:paraId="0000075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5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Family Code of the Philippines provides a new ground for declaring a marriage void: psychological incapacity. This provision is found in Article 36 thereof, which I quote as follows:</w:t>
      </w:r>
    </w:p>
    <w:p w:rsidR="00000000" w:rsidDel="00000000" w:rsidP="00000000" w:rsidRDefault="00000000" w:rsidRPr="00000000" w14:paraId="0000076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“ART. 36. A marriage contracted by any party who, at the time of the celebration, was psychologically incapacitated to comply with the essential marital obligations of marriage, shall likewise be void even if such incapacity becomes manifest only after its solemnization.”</w:t>
      </w:r>
    </w:p>
    <w:p w:rsidR="00000000" w:rsidDel="00000000" w:rsidP="00000000" w:rsidRDefault="00000000" w:rsidRPr="00000000" w14:paraId="0000076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Santos v. Court of Appeals, the first major jurisprudence on this subject, the Supreme Court held that “psychological incapacity must be characterized by (a) gravity, (b) juridical antecedence, and (c) incurability.”</w:t>
      </w:r>
    </w:p>
    <w:p w:rsidR="00000000" w:rsidDel="00000000" w:rsidP="00000000" w:rsidRDefault="00000000" w:rsidRPr="00000000" w14:paraId="0000076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spite of this firm pronouncement by the Court, the Office of the Solicitor General (OSG) was not satisfied. In Republic v. Court of Appeals, the OSG labeled Article 36 as “the most liberal divorce procedure in the world.” While this law was not meant to be a divorce decree, it has nonetheless been used - abused and misused may be the more appropriate terms - to end marriages without regard to the real causes. The Court commented that the solicitor general's bluster was "exaggerated to be sure, but nonetheless expressive of his frustration." </w:t>
      </w:r>
    </w:p>
    <w:p w:rsidR="00000000" w:rsidDel="00000000" w:rsidP="00000000" w:rsidRDefault="00000000" w:rsidRPr="00000000" w14:paraId="0000076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any event, the Court realized that the OSG had a point. Thus, in </w:t>
      </w:r>
      <w:r w:rsidDel="00000000" w:rsidR="00000000" w:rsidRPr="00000000">
        <w:rPr>
          <w:rFonts w:ascii="Georgia" w:cs="Georgia" w:eastAsia="Georgia" w:hAnsi="Georgia"/>
          <w:i w:val="1"/>
          <w:iCs w:val="1"/>
          <w:rtl w:val="0"/>
        </w:rPr>
        <w:t xml:space="preserve">Molina</w:t>
      </w:r>
      <w:r w:rsidDel="00000000" w:rsidR="00000000" w:rsidRPr="00000000">
        <w:rPr>
          <w:rFonts w:ascii="Georgia" w:cs="Georgia" w:eastAsia="Georgia" w:hAnsi="Georgia"/>
          <w:rtl w:val="0"/>
        </w:rPr>
        <w:t xml:space="preserve"> it proceeded to lay down an eight-point guideline to be observed by all courts in resolving to declare a marriage void under Article 63 as follows: </w:t>
      </w:r>
    </w:p>
    <w:p w:rsidR="00000000" w:rsidDel="00000000" w:rsidP="00000000" w:rsidRDefault="00000000" w:rsidRPr="00000000" w14:paraId="0000076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burden of proof to show the nullity of the marriage belongs to the plaintiff. Any doubt should be resolved in favor of the existence and continuation of the marriage and against its dissolution and nullity. This is rooted in the fact that both our Constitution and our laws cherish the validity of marriage and unity of the family. Thus, our Constitution devotes an entire Article on the Family, recognizing it as the foundation of the nation. It decrees marriage as legally 'inviolable,' thereby protecting it from dissolution at the whim of the parties. Both the family and marriage are to be 'protected' by the state. </w:t>
      </w:r>
    </w:p>
    <w:p w:rsidR="00000000" w:rsidDel="00000000" w:rsidP="00000000" w:rsidRDefault="00000000" w:rsidRPr="00000000" w14:paraId="0000076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Family Code echoes this constitutional edict on marriage and the family, and emphasizes their permanence, inviolability and solidarity. </w:t>
      </w:r>
    </w:p>
    <w:p w:rsidR="00000000" w:rsidDel="00000000" w:rsidP="00000000" w:rsidRDefault="00000000" w:rsidRPr="00000000" w14:paraId="0000076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root cause of the psychological incapacity must be (a) medically or clinically identified, (b) alleged in the complaint, (c) sufficiently proven by experts and (d) clearly explained in the decision. Article 36 of the Family Code requires that the incapacity must be psychological - not physical, although its manifestations and/ or symptoms may be physical. The evidence must convince the court that the parties, or one of them, was mentally or psychically ill to such an extent that the person could not have known the obligations he was assuming, or knowing them, could not have given valid assumption thereof. Although no example of such n of the nation. incapacity need be given here so as not to limit the application of the provision under the principle of </w:t>
      </w:r>
      <w:r w:rsidDel="00000000" w:rsidR="00000000" w:rsidRPr="00000000">
        <w:rPr>
          <w:rFonts w:ascii="Georgia" w:cs="Georgia" w:eastAsia="Georgia" w:hAnsi="Georgia"/>
          <w:i w:val="1"/>
          <w:iCs w:val="1"/>
          <w:rtl w:val="0"/>
        </w:rPr>
        <w:t xml:space="preserve">ejusdem generis</w:t>
      </w:r>
      <w:r w:rsidDel="00000000" w:rsidR="00000000" w:rsidRPr="00000000">
        <w:rPr>
          <w:rFonts w:ascii="Georgia" w:cs="Georgia" w:eastAsia="Georgia" w:hAnsi="Georgia"/>
          <w:rtl w:val="0"/>
        </w:rPr>
        <w:t xml:space="preserve">, nevertheless such root cause must be identified as a psychological illness and its incapacitating nature fully explained. Expert religious                 evidence may be given by qualified psychiatrists and clinical psychologists. </w:t>
      </w:r>
    </w:p>
    <w:p w:rsidR="00000000" w:rsidDel="00000000" w:rsidP="00000000" w:rsidRDefault="00000000" w:rsidRPr="00000000" w14:paraId="0000076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incapacity must be proven to be existing at 'the time of the celebration' of the marriage. The evidence must show that the illness was existing when the parties exchanged their “I do's. The manifestation of the illness need not be perceivable at such time, but the illness itself must have attached at such moment or prior thereto.</w:t>
      </w:r>
    </w:p>
    <w:p w:rsidR="00000000" w:rsidDel="00000000" w:rsidP="00000000" w:rsidRDefault="00000000" w:rsidRPr="00000000" w14:paraId="0000076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Such incapacity must also be shown to be medically or clinically permanent or incurable. Such incurability may be absolute or even relative only in regard to the other spouse, not necessarily absolutely against everyone of the same sex. Furthermore, such incapacity must be relevant to the assumption of marriage obligations, not necessarily to those not related to marriage, like the exercise of a profession or employment in a job. Hence, a pediatrician may be effective in diagnosing illnesses of children and prescribing medicine to cure them but may not be psychologically capacitated to procreate, bear and raise his/her own children as an essential obligation of marriage. </w:t>
      </w:r>
    </w:p>
    <w:p w:rsidR="00000000" w:rsidDel="00000000" w:rsidP="00000000" w:rsidRDefault="00000000" w:rsidRPr="00000000" w14:paraId="0000076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Such illness must be grave enough to bring about the disability of the party to assume the essential obligations of marriage. Thus, 'mild characterological peculiarities, mood changes, occasional emotional outbursts' cannot be accepted as root causes. The illness must be shown as downright incapacity or inability, not a refusal, neglect or difficulty, much less ill will. In other words, there is a natal or supervening disabling factor in the person, an adverse integral element in the personality structure that effectively incapacitates the person from really accepting and thereby complying with the obligations essential to marriage.</w:t>
      </w:r>
    </w:p>
    <w:p w:rsidR="00000000" w:rsidDel="00000000" w:rsidP="00000000" w:rsidRDefault="00000000" w:rsidRPr="00000000" w14:paraId="0000076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The essential marital obligations must be those embraced by Articles 68 up to 71 of the Family Code as regards the husband and wife as well as Articles 220, 221 and 225 of the same Code in regard to parents and their children. Such non-complied marital obligations) must also be stated in the petition, proven by evidence and included in the text of the decision.</w:t>
      </w:r>
    </w:p>
    <w:p w:rsidR="00000000" w:rsidDel="00000000" w:rsidP="00000000" w:rsidRDefault="00000000" w:rsidRPr="00000000" w14:paraId="0000076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Interpretations given by the National Appellate Matrimonial Tribunal of the Catholic Church in the Philippines, while not controlling or decisive, should be given great respect by our courts. It is clear that Article 36 was taken by the Family Code Revision Committee from Canon 1095 of the New Code of Canon Law, which became effective in 1983 and which provides:</w:t>
      </w:r>
    </w:p>
    <w:p w:rsidR="00000000" w:rsidDel="00000000" w:rsidP="00000000" w:rsidRDefault="00000000" w:rsidRPr="00000000" w14:paraId="0000076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following are incapable of contracting marriage: Those who are unable to assume the essential obligations of marriage due to causes of psychological nature.' </w:t>
      </w:r>
    </w:p>
    <w:p w:rsidR="00000000" w:rsidDel="00000000" w:rsidP="00000000" w:rsidRDefault="00000000" w:rsidRPr="00000000" w14:paraId="0000076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"Since the purpose of including such provision in our Family Code is to harmonize our civil laws with the religious faith of our people, it stands to reason that to achieve such harmonization, great persuasive weight should be given to decisions of such appellate tribunal. Ideally - subject to our law on evidence - what is decreed as canonically invalid should also be decreed civilly void. </w:t>
      </w:r>
    </w:p>
    <w:p w:rsidR="00000000" w:rsidDel="00000000" w:rsidP="00000000" w:rsidRDefault="00000000" w:rsidRPr="00000000" w14:paraId="0000076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is one instance where, in view of the evident source and purpose of the Family Code provision, contemporaneous religious interpretation is to be given persuasive effect. Here, the State and the Church - while remaining independent, separate and apart from each other - shall walk together in synodal cadence towards the same goal of protecting and cherishing marriage and the family as the inviolable base of the nation.</w:t>
      </w:r>
    </w:p>
    <w:p w:rsidR="00000000" w:rsidDel="00000000" w:rsidP="00000000" w:rsidRDefault="00000000" w:rsidRPr="00000000" w14:paraId="0000076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The trial court must order the prosecuting attorney or fiscal and the Solicitor General to appear as counsel for the state. No decision shall be handed d o w n unless the Solicit or Gener al issues a certification, which will be quoted in the decision, briefly stating therein his reasons for his agreement or opposition, as the case may be, to the petition. The Solicitor General, along with the prosecuting attorney, shall submit to the court within fifteen (15) days from the date the case is deemed submitted for resolution of the court. The Solicitor General shall discharge the equivalent function of the </w:t>
      </w:r>
      <w:r w:rsidDel="00000000" w:rsidR="00000000" w:rsidRPr="00000000">
        <w:rPr>
          <w:rFonts w:ascii="Georgia" w:cs="Georgia" w:eastAsia="Georgia" w:hAnsi="Georgia"/>
          <w:i w:val="1"/>
          <w:iCs w:val="1"/>
          <w:rtl w:val="0"/>
        </w:rPr>
        <w:t xml:space="preserve">defensor vinculi </w:t>
      </w:r>
      <w:r w:rsidDel="00000000" w:rsidR="00000000" w:rsidRPr="00000000">
        <w:rPr>
          <w:rFonts w:ascii="Georgia" w:cs="Georgia" w:eastAsia="Georgia" w:hAnsi="Georgia"/>
          <w:rtl w:val="0"/>
        </w:rPr>
        <w:t xml:space="preserve">contemplated under Canon 1095." </w:t>
      </w:r>
    </w:p>
    <w:p w:rsidR="00000000" w:rsidDel="00000000" w:rsidP="00000000" w:rsidRDefault="00000000" w:rsidRPr="00000000" w14:paraId="0000077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guideline was issued unanimously by the full 15-member Court in 1997 when Molina was promulgated. Since then, it has become more difficult to secure nullity of marriages based on the  ground of psychological incapacity. As a consequence, some members of the bar and the bench have complained of the strictness of the guideline, especially numbers 2 (on the need for proof of the psychological incapacity) and 8 (on the requirement for the OSG "to appear as counsel for the State"). </w:t>
      </w:r>
    </w:p>
    <w:p w:rsidR="00000000" w:rsidDel="00000000" w:rsidP="00000000" w:rsidRDefault="00000000" w:rsidRPr="00000000" w14:paraId="0000077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address these complaints, the Supreme Court Committee on the Revision of the Rules of Court, chaired? by Justice Reynato S. Puno, proposed the issuance of a new "Rule on Declaration of Absolute Nullity of Void Marriages and Annulment of Voidable Marriages." </w:t>
      </w:r>
    </w:p>
    <w:p w:rsidR="00000000" w:rsidDel="00000000" w:rsidP="00000000" w:rsidRDefault="00000000" w:rsidRPr="00000000" w14:paraId="0000077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can be inferred from its title, the proposed Rule covered all grounds listed under the Family Code - those for declaring (1) the "absolute nullity of void marriages" and (2) the "annulment of voidable marriages."</w:t>
      </w:r>
    </w:p>
    <w:p w:rsidR="00000000" w:rsidDel="00000000" w:rsidP="00000000" w:rsidRDefault="00000000" w:rsidRPr="00000000" w14:paraId="0000077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What elicited prolonged and animated discussion in the Court, however, were those portions of the proposed Rule relating to psychological incapacity, specifically (1) the contents of a petition to void a marriage based on this ground, (2) the duty of the solicitor general to defend the marriage, and (3) the contents of the decision voiding the marriage. </w:t>
      </w:r>
    </w:p>
    <w:p w:rsidR="00000000" w:rsidDel="00000000" w:rsidP="00000000" w:rsidRDefault="00000000" w:rsidRPr="00000000" w14:paraId="0000077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can be expected, Justice Vitug (the ponente of Santos) and I (the ponente of Molina) opposed what we thought were n    objectionable portions of the proposal. As finally worded, the new provisions that elicited the most discussions in the Court were the following:</w:t>
      </w:r>
    </w:p>
    <w:p w:rsidR="00000000" w:rsidDel="00000000" w:rsidP="00000000" w:rsidRDefault="00000000" w:rsidRPr="00000000" w14:paraId="0000077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7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2. Petition for declaration of absolute nullity of void marriages. -</w:t>
      </w:r>
    </w:p>
    <w:p w:rsidR="00000000" w:rsidDel="00000000" w:rsidP="00000000" w:rsidRDefault="00000000" w:rsidRPr="00000000" w14:paraId="0000077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w:t>
        <w:tab/>
        <w:tab/>
        <w:tab/>
        <w:t xml:space="preserve">x x x</w:t>
        <w:tab/>
        <w:tab/>
        <w:tab/>
        <w:t xml:space="preserve">   x x x</w:t>
      </w:r>
    </w:p>
    <w:p w:rsidR="00000000" w:rsidDel="00000000" w:rsidP="00000000" w:rsidRDefault="00000000" w:rsidRPr="00000000" w14:paraId="0000077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What to allege. - A petition under Article 36 of the Family Code shall specifically allege the complete facts showing that either or both parties were psychologically incapacitated from complying with the essential marital obligations of marriage at the time of the celebration of marriage even if such incapacity becomes manifest only after its celebration.</w:t>
      </w:r>
    </w:p>
    <w:p w:rsidR="00000000" w:rsidDel="00000000" w:rsidP="00000000" w:rsidRDefault="00000000" w:rsidRPr="00000000" w14:paraId="0000077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complete facts should allege the physical psychological incapacity at the time of the celebration of the marriage but expert opinion need not be alleged."</w:t>
      </w:r>
    </w:p>
    <w:p w:rsidR="00000000" w:rsidDel="00000000" w:rsidP="00000000" w:rsidRDefault="00000000" w:rsidRPr="00000000" w14:paraId="0000077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w:t>
        <w:tab/>
        <w:tab/>
        <w:tab/>
        <w:t xml:space="preserve">x x x</w:t>
        <w:tab/>
        <w:tab/>
        <w:tab/>
        <w:t xml:space="preserve">   x x x </w:t>
      </w:r>
    </w:p>
    <w:p w:rsidR="00000000" w:rsidDel="00000000" w:rsidP="00000000" w:rsidRDefault="00000000" w:rsidRPr="00000000" w14:paraId="0000077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18. Memoranda. - The court may require the parties and the public prosecutor, in consultation with the Office of the Solicitor General, to file their respective memoranda in support of their claims within fifteen days from the date the trial is terminated. It may require the Office of the Solicitor General to file its own memorandum if the case is of significant interest to the State. No other pleadings or papers may be submitted without leave of court. After the lapse of the period herein provided, the case will be considered submitted for decision, with or without the memoranda.</w:t>
      </w:r>
    </w:p>
    <w:p w:rsidR="00000000" w:rsidDel="00000000" w:rsidP="00000000" w:rsidRDefault="00000000" w:rsidRPr="00000000" w14:paraId="0000077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19. Decision. - (1) If the court renders a decision granting the petition, it shall declare therein that the decree of absolute nullity or decree of annulment shall be issued by the court only after compliance with Articles 50 and 51 of the Family Code as implemented under the Rule on Liquidation, Partition and Distribution of Properties.</w:t>
      </w:r>
    </w:p>
    <w:p w:rsidR="00000000" w:rsidDel="00000000" w:rsidP="00000000" w:rsidRDefault="00000000" w:rsidRPr="00000000" w14:paraId="0000077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parties, including the Solicitor General and the public prosecutor, shall be served with copies of the decision personally or by registered mail. If the respondent summoned by publication failed to appear in the action, the dispositive part of the decision shall be published once in a newspaper of general circulation." </w:t>
      </w:r>
    </w:p>
    <w:p w:rsidR="00000000" w:rsidDel="00000000" w:rsidP="00000000" w:rsidRDefault="00000000" w:rsidRPr="00000000" w14:paraId="0000077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20. Appeal. -</w:t>
      </w:r>
    </w:p>
    <w:p w:rsidR="00000000" w:rsidDel="00000000" w:rsidP="00000000" w:rsidRDefault="00000000" w:rsidRPr="00000000" w14:paraId="0000077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Pre-condition. - No appeal from the decision shall be allowed unless the appellant has filed a motion for reconsideration or new trial within fifteen days from notice of judgment. </w:t>
      </w:r>
    </w:p>
    <w:p w:rsidR="00000000" w:rsidDel="00000000" w:rsidP="00000000" w:rsidRDefault="00000000" w:rsidRPr="00000000" w14:paraId="0000078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Notice of appeal. - An aggrieved party or the Solicitor General may appeal from the decision by filing a Notice of Appeal within fifteen days from notice of denial of the motion for reconsideration or new trial. The appellant shall serve a copy of the notice of appeal on the adverse parties. </w:t>
      </w:r>
    </w:p>
    <w:p w:rsidR="00000000" w:rsidDel="00000000" w:rsidP="00000000" w:rsidRDefault="00000000" w:rsidRPr="00000000" w14:paraId="0000078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proposed New Rule, approved in an En Banc Resolution in AM No. 02-11-10-SC, became effective on March 15, 2003.</w:t>
      </w:r>
    </w:p>
    <w:p w:rsidR="00000000" w:rsidDel="00000000" w:rsidP="00000000" w:rsidRDefault="00000000" w:rsidRPr="00000000" w14:paraId="0000078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Above his signature on the Resolution, Justice Vitug tersely wrote that it was his "understanding that neither Santos nor Molina has been made irrelevant, let alone necessarily overturned by the new rules."</w:t>
      </w:r>
    </w:p>
    <w:p w:rsidR="00000000" w:rsidDel="00000000" w:rsidP="00000000" w:rsidRDefault="00000000" w:rsidRPr="00000000" w14:paraId="0000078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my part, I issued a full Dissenting Opinion contesting some portions of the Rule relating to psychological incapacity. Because this Dissent was not published by the Court, I now would like to quote it verbatim, for the record, as follows:</w:t>
      </w:r>
    </w:p>
    <w:p w:rsidR="00000000" w:rsidDel="00000000" w:rsidP="00000000" w:rsidRDefault="00000000" w:rsidRPr="00000000" w14:paraId="0000078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85">
      <w:pPr>
        <w:spacing w:after="80" w:before="80" w:lineRule="auto"/>
        <w:ind w:firstLine="360"/>
        <w:jc w:val="center"/>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"DISSENTING OPINION</w:t>
      </w:r>
    </w:p>
    <w:p w:rsidR="00000000" w:rsidDel="00000000" w:rsidP="00000000" w:rsidRDefault="00000000" w:rsidRPr="00000000" w14:paraId="00000786">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"PANGANIBAN, </w:t>
      </w:r>
      <w:r w:rsidDel="00000000" w:rsidR="00000000" w:rsidRPr="00000000">
        <w:rPr>
          <w:rFonts w:ascii="Georgia" w:cs="Georgia" w:eastAsia="Georgia" w:hAnsi="Georgia"/>
          <w:b w:val="1"/>
          <w:bCs w:val="1"/>
          <w:i w:val="1"/>
          <w:iCs w:val="1"/>
          <w:rtl w:val="0"/>
        </w:rPr>
        <w:t xml:space="preserve">J</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78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previous discussions in the Court on the 'Rule on the Declaration of the Absolute</w:t>
      </w:r>
    </w:p>
    <w:p w:rsidR="00000000" w:rsidDel="00000000" w:rsidP="00000000" w:rsidRDefault="00000000" w:rsidRPr="00000000" w14:paraId="00000788">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Nullity of Marriages, especially those portions involving psychological incapacity, I suggested the solicitation of the comment or advice of both Archbishop Oscar V. Cruz and former Court of Appeals Justice Ricardo C. Puno" as </w:t>
      </w:r>
      <w:r w:rsidDel="00000000" w:rsidR="00000000" w:rsidRPr="00000000">
        <w:rPr>
          <w:rFonts w:ascii="Georgia" w:cs="Georgia" w:eastAsia="Georgia" w:hAnsi="Georgia"/>
          <w:i w:val="1"/>
          <w:iCs w:val="1"/>
          <w:rtl w:val="0"/>
        </w:rPr>
        <w:t xml:space="preserve">amici curiae</w:t>
      </w:r>
      <w:r w:rsidDel="00000000" w:rsidR="00000000" w:rsidRPr="00000000">
        <w:rPr>
          <w:rFonts w:ascii="Georgia" w:cs="Georgia" w:eastAsia="Georgia" w:hAnsi="Georgia"/>
          <w:rtl w:val="0"/>
        </w:rPr>
        <w:t xml:space="preserve">. While my request was turned down, I was nevertheless expressly allowed to have personal consultations with them.</w:t>
      </w:r>
    </w:p>
    <w:p w:rsidR="00000000" w:rsidDel="00000000" w:rsidP="00000000" w:rsidRDefault="00000000" w:rsidRPr="00000000" w14:paraId="0000078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principal proponent of the new Rule, Mr. Justice Reynato S. Puno, said that his Committee had already sought the counsel of former Justice Ricardo C. Puno. Hence, I consulted only with the Most Reverend Cruz, whom the Court had invited as amicus curiae during the oral argument in Republic v. Molina on December 3, 1996. It will be recalled that in the unanimous Decision of the Court in that case, some of his opinions were used in formulating the guidelines laid down regarding the interpretation and the application of Article 36 of the Family Code. Those guidelines have heretofore been used in hearing and disposing of petitions for the declaration of the nullity of marriages on the ground of psychological incapacity.</w:t>
      </w:r>
    </w:p>
    <w:p w:rsidR="00000000" w:rsidDel="00000000" w:rsidP="00000000" w:rsidRDefault="00000000" w:rsidRPr="00000000" w14:paraId="0000078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considered the consultation important, because Article 36 had undoubtedly been adopted by the Family Code Revision Committee from Canon 1095 of the New Code of Canon Law, which became effective in 1983. As head of the National Appellate Matrimonial Tribunal, which reviews all decisions of the marriage tribunals in all archdioceses and dioceses in the country, Archbishop Cruz is an authority on Canon 1095. Since Article 36 was sourced almost verbatim therefrom, I thought that a contemporaneous interpretation of the latter provision would have great persuasive effect on construing the former. </w:t>
      </w:r>
    </w:p>
    <w:p w:rsidR="00000000" w:rsidDel="00000000" w:rsidP="00000000" w:rsidRDefault="00000000" w:rsidRPr="00000000" w14:paraId="0000078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a careful study of the opinions of Archbishop Cruz, particularly his letter to me dated February 6, 2003, I recommended some amendments to the Rule on the Declaration of the Absolute Nullity of Marriages based on psychological incapacity. While I am grateful that some of my suggestions were incorporated into the final provisions, I believe that some major items that were rejected are essential and should be taken into account.</w:t>
      </w:r>
    </w:p>
    <w:p w:rsidR="00000000" w:rsidDel="00000000" w:rsidP="00000000" w:rsidRDefault="00000000" w:rsidRPr="00000000" w14:paraId="0000078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WHAT THE PETITION SHOULD STATE. I believe that in addition to those provided in the new Rule, the following should also be alleged in a petition for nullity filed by a plaintiff:</w:t>
      </w:r>
    </w:p>
    <w:p w:rsidR="00000000" w:rsidDel="00000000" w:rsidP="00000000" w:rsidRDefault="00000000" w:rsidRPr="00000000" w14:paraId="0000078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Per our ruling in </w:t>
      </w:r>
      <w:r w:rsidDel="00000000" w:rsidR="00000000" w:rsidRPr="00000000">
        <w:rPr>
          <w:rFonts w:ascii="Georgia" w:cs="Georgia" w:eastAsia="Georgia" w:hAnsi="Georgia"/>
          <w:i w:val="1"/>
          <w:iCs w:val="1"/>
          <w:rtl w:val="0"/>
        </w:rPr>
        <w:t xml:space="preserve">Republic v. Molina</w:t>
      </w:r>
      <w:r w:rsidDel="00000000" w:rsidR="00000000" w:rsidRPr="00000000">
        <w:rPr>
          <w:rFonts w:ascii="Georgia" w:cs="Georgia" w:eastAsia="Georgia" w:hAnsi="Georgia"/>
          <w:rtl w:val="0"/>
        </w:rPr>
        <w:t xml:space="preserve">, petitions for the declaration of marital nullity should state the facts showing the root cause/s of either or both parties' psychological incapacity, causes that must be medically or clinically identified. </w:t>
      </w:r>
    </w:p>
    <w:p w:rsidR="00000000" w:rsidDel="00000000" w:rsidP="00000000" w:rsidRDefault="00000000" w:rsidRPr="00000000" w14:paraId="0000078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The incapacity must not only be alleged to be existing at the time of or prior to the celebration of them but also be medically or clinically permanent or incurable? and grave enough to bring about the disability of the party to assume the essential obligations of marriage.</w:t>
      </w:r>
    </w:p>
    <w:p w:rsidR="00000000" w:rsidDel="00000000" w:rsidP="00000000" w:rsidRDefault="00000000" w:rsidRPr="00000000" w14:paraId="0000078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The petition should likewise allege the specific marital obligation/s not complied with. These obligations must be those provided by Articles 68 to 71 of the Family Code as regards the husband and the wife; and Articles 220, 221 and 225 of the same Code as regards parents and their children.</w:t>
      </w:r>
    </w:p>
    <w:p w:rsidR="00000000" w:rsidDel="00000000" w:rsidP="00000000" w:rsidRDefault="00000000" w:rsidRPr="00000000" w14:paraId="0000079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proposals, I stress, are expressly provided in this Court’s rulings in </w:t>
      </w:r>
      <w:r w:rsidDel="00000000" w:rsidR="00000000" w:rsidRPr="00000000">
        <w:rPr>
          <w:rFonts w:ascii="Georgia" w:cs="Georgia" w:eastAsia="Georgia" w:hAnsi="Georgia"/>
          <w:i w:val="1"/>
          <w:iCs w:val="1"/>
          <w:rtl w:val="0"/>
        </w:rPr>
        <w:t xml:space="preserve">Republic v. Molina</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Santos v. CA</w:t>
      </w:r>
      <w:r w:rsidDel="00000000" w:rsidR="00000000" w:rsidRPr="00000000">
        <w:rPr>
          <w:rFonts w:ascii="Georgia" w:cs="Georgia" w:eastAsia="Georgia" w:hAnsi="Georgia"/>
          <w:rtl w:val="0"/>
        </w:rPr>
        <w:t xml:space="preserve">," hold that the psychological incapacity must be characterized by (a) gravity, (b) juridical antecedence and (c) incurability.</w:t>
      </w:r>
    </w:p>
    <w:p w:rsidR="00000000" w:rsidDel="00000000" w:rsidP="00000000" w:rsidRDefault="00000000" w:rsidRPr="00000000" w14:paraId="0000079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"Root Cause </w:t>
      </w:r>
    </w:p>
    <w:p w:rsidR="00000000" w:rsidDel="00000000" w:rsidP="00000000" w:rsidRDefault="00000000" w:rsidRPr="00000000" w14:paraId="00000792">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Must Be Alleged </w:t>
      </w:r>
    </w:p>
    <w:p w:rsidR="00000000" w:rsidDel="00000000" w:rsidP="00000000" w:rsidRDefault="00000000" w:rsidRPr="00000000" w14:paraId="0000079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Committee on Rules and eventually the whole Court agreed to require the parties to specifically allege the complete facts showing that either or both parties were psychologically incapacitated from complying with the essential marital obligations x x x at the time of the celebration of the marriage, even if such incapacity becomes manifest only after its celebration. 81 Yet, there was steadfast refusal to include the recommendations I enumerated above.</w:t>
      </w:r>
    </w:p>
    <w:p w:rsidR="00000000" w:rsidDel="00000000" w:rsidP="00000000" w:rsidRDefault="00000000" w:rsidRPr="00000000" w14:paraId="0000079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due respect, I firmly believe that those allegations should be stated in the Petition on the grounds discussed below. </w:t>
      </w:r>
    </w:p>
    <w:p w:rsidR="00000000" w:rsidDel="00000000" w:rsidP="00000000" w:rsidRDefault="00000000" w:rsidRPr="00000000" w14:paraId="0000079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how can the facts be termed complete, if the plaintiff is not required to state the root cause of the claimed psychological incapacity? Be it remembered that psychological incapacity is a mental, not a physical, ailment. Though psychological in nature, it is as much an illness as medical conditions like cancer, tuberculosis, or the common cold. I believe that a plain allegation of the psychological incapacity of one party or both parties to the marriage is insufficient, because it is a mere inference, not a statement of fact. As such, it must be supported by the plaintiff with 'complete facts.’</w:t>
      </w:r>
    </w:p>
    <w:p w:rsidR="00000000" w:rsidDel="00000000" w:rsidP="00000000" w:rsidRDefault="00000000" w:rsidRPr="00000000" w14:paraId="0000079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"Elementary is the rule that the complaint or petition must state its cause of action with supporting facts, not with conclusions or speculations. Parties must explicitly allege the factual circumstances showing why they are entitled to the relief they demand. </w:t>
      </w:r>
    </w:p>
    <w:p w:rsidR="00000000" w:rsidDel="00000000" w:rsidP="00000000" w:rsidRDefault="00000000" w:rsidRPr="00000000" w14:paraId="0000079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“Second, it is claimed that tracing the root cause is too scientific and burdensome a quest for petitioners; hence, they need only to state the physical manifestations of the psychological malady. While I agree that such manifestations are part of the 'complete facts, I respectfully submit that the root cause - or at the very least, the reasons or circumstances that impelled the plaintiff to infer the presence of the psychological incapacity - should be stated with even more cogency. Requiring the allegation of 'physical manifestations’ but not of root cause is to mistake the effect for the cause of the ailment.</w:t>
      </w:r>
    </w:p>
    <w:p w:rsidR="00000000" w:rsidDel="00000000" w:rsidP="00000000" w:rsidRDefault="00000000" w:rsidRPr="00000000" w14:paraId="0000079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"Many times, petitions to void marriages are filed simply because the spouses have gotten tired of each other. Sometimes, battered wives or abandoned husbands rush to court blaming psychological incapacity for their unfortunate situations without adequate counsel on whether their claims are medically or clinically viable. Indeed, without looking into the root cause of their conflict, one or the other spouse often goes to court for the purpose of seeking an end to the marital horrors through a petition for nullity based on psychological incapacity. They view this ground as the 'cure all' to their marital predicament, a panacea similar to divorce. In the process, they clog the court system with improvident petitions.</w:t>
      </w:r>
    </w:p>
    <w:p w:rsidR="00000000" w:rsidDel="00000000" w:rsidP="00000000" w:rsidRDefault="00000000" w:rsidRPr="00000000" w14:paraId="0000079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indeed a problematic marriage must be mended or threshed out in some civil manner, declaring its nullity on the ground of psychological incapacity is not always the remedy. And what better pre-court alternative is there than for the spouses to find out medically or clinically whether alleging psychological incapacity is a viable option? </w:t>
      </w:r>
    </w:p>
    <w:p w:rsidR="00000000" w:rsidDel="00000000" w:rsidP="00000000" w:rsidRDefault="00000000" w:rsidRPr="00000000" w14:paraId="0000079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"Third, it is argued that requiring a statement of the root cause in medical or clinical terms is prejudicial to the poor who cannot afford the fees of psychiatrists or psychologists. Well, I believe that the proper remedy to the problem of high cost is the provision by the government of free medical or clinical services. If the State now provides free health services and even medicine to cure physical ailments, should it not also give such service for mental ailments like psychological incapacity? </w:t>
      </w:r>
    </w:p>
    <w:p w:rsidR="00000000" w:rsidDel="00000000" w:rsidP="00000000" w:rsidRDefault="00000000" w:rsidRPr="00000000" w14:paraId="0000079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say that the solution is to go to court without adequate medical or clinical prognosis is to propose that a patient drink medicine without adequate information on the illness. Such a course of action is not only scientifically ill-advised; it is also expensive and prone to further complications. In the case of problematic marriages, such a rash recourse not only drains the parties time and resources, but also unduly clogs court dockets. </w:t>
      </w:r>
    </w:p>
    <w:p w:rsidR="00000000" w:rsidDel="00000000" w:rsidP="00000000" w:rsidRDefault="00000000" w:rsidRPr="00000000" w14:paraId="0000079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"Fourth, the parties owe it to themselves, their marriage and their children to be sure that indeed one or the other spouse is afflicted with psychological incapacity antecedent to the marriage, and permanently and gravely so. Indeed, it is not easy to nullify a marriage through this route, which is available only in a very limited number of cases. According to Archbishop Cruz, the Catholic Church developed the ground, its theological justification and its availability as a remedy only after 150 years of study. It grants annulment on this ground only after a long and thorough examination of all circumstances, a rigid and convincing medical/ clinical examination of the party concerned.</w:t>
      </w:r>
    </w:p>
    <w:p w:rsidR="00000000" w:rsidDel="00000000" w:rsidP="00000000" w:rsidRDefault="00000000" w:rsidRPr="00000000" w14:paraId="0000079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"Since Article 36 of the Family Code was copied from Canon 1095, I believe that the same strictness should be observed in the grant of civil nullities. After all, under our Constitution and our laws, validity is the rule in marriage and nullity is only the exception. </w:t>
      </w:r>
    </w:p>
    <w:p w:rsidR="00000000" w:rsidDel="00000000" w:rsidP="00000000" w:rsidRDefault="00000000" w:rsidRPr="00000000" w14:paraId="0000079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"Before the parties go to court, they should be adequately convinced of their cause of action by knowing beforehand the root cause of their marital problems. And the initial way to show entitlement to nullity is a statement of the 'complete' facts including the root cause.</w:t>
      </w:r>
    </w:p>
    <w:p w:rsidR="00000000" w:rsidDel="00000000" w:rsidP="00000000" w:rsidRDefault="00000000" w:rsidRPr="00000000" w14:paraId="0000079F">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"Permanence and </w:t>
      </w:r>
    </w:p>
    <w:p w:rsidR="00000000" w:rsidDel="00000000" w:rsidP="00000000" w:rsidRDefault="00000000" w:rsidRPr="00000000" w14:paraId="000007A0">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Gravity of Incapacity </w:t>
      </w:r>
    </w:p>
    <w:p w:rsidR="00000000" w:rsidDel="00000000" w:rsidP="00000000" w:rsidRDefault="00000000" w:rsidRPr="00000000" w14:paraId="000007A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"Aside from the root cause, I believe that, to be 'complete, the facts should also show that the incapacity is (a) medically or clinically permanent or incurable and (b) grave enough to bring about the inability of the party to assume the essential obligations of marriage. My initial proposal that the petition contain an allegation of the existence of the incapacity at the time or prior to the celebration of the marriage is now carried in Section 2(d) of the Rule.</w:t>
      </w:r>
    </w:p>
    <w:p w:rsidR="00000000" w:rsidDel="00000000" w:rsidP="00000000" w:rsidRDefault="00000000" w:rsidRPr="00000000" w14:paraId="000007A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the Court has decided in the new Rule not to require the parties to include the above allegation in their petition shows that it has veered from these essen requirements culled from our existing jurisprudence, requirements that were in turn taken from the Catholic Church's uniform interpretation of Canon 1095. For this reason, a decision granting nullity of marriage without a finding of the incurability and the gravity of the ailment would be a departure from current jurisprudence as well as from the uniform meaning given by Canon law to this provision.</w:t>
      </w:r>
    </w:p>
    <w:p w:rsidR="00000000" w:rsidDel="00000000" w:rsidP="00000000" w:rsidRDefault="00000000" w:rsidRPr="00000000" w14:paraId="000007A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"Specific Marital </w:t>
      </w:r>
    </w:p>
    <w:p w:rsidR="00000000" w:rsidDel="00000000" w:rsidP="00000000" w:rsidRDefault="00000000" w:rsidRPr="00000000" w14:paraId="000007A4">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Obligation Breached </w:t>
      </w:r>
    </w:p>
    <w:p w:rsidR="00000000" w:rsidDel="00000000" w:rsidP="00000000" w:rsidRDefault="00000000" w:rsidRPr="00000000" w14:paraId="000007A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cannot understand, either, why there is a refusal to require the specification of the marital obligations in the Family Code that cannot be complied with by reason of the alleged incapacity. I believe that the omission thereof would lead to guesswork in the proceedings. </w:t>
      </w:r>
    </w:p>
    <w:p w:rsidR="00000000" w:rsidDel="00000000" w:rsidP="00000000" w:rsidRDefault="00000000" w:rsidRPr="00000000" w14:paraId="000007A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"Together with the other omissions (root cause, permanence and gravity), this failure to require an allegation of the obligations breached will enable a plaintiff to come to court even without a firm statement of the cause of action.</w:t>
      </w:r>
    </w:p>
    <w:p w:rsidR="00000000" w:rsidDel="00000000" w:rsidP="00000000" w:rsidRDefault="00000000" w:rsidRPr="00000000" w14:paraId="000007A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SOLICITOR GENERAL SHOULD DEFEND MARRIAGE AND FAMILY. In cases involving Article 36, the participation of the Office of the Solicitor General as counsel for the State cannot be overestimated.</w:t>
      </w:r>
    </w:p>
    <w:p w:rsidR="00000000" w:rsidDel="00000000" w:rsidP="00000000" w:rsidRDefault="00000000" w:rsidRPr="00000000" w14:paraId="000007A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"Our Constitution devotes an entire Article on the Family, which it recognizes as 'the foundation of the nation.' It decrees that marriage is a legally 'inviolable' institution that must be protected from dissolution at the whim of the parties. Both the family and marriage are to be 'protected' by the State. </w:t>
      </w:r>
    </w:p>
    <w:p w:rsidR="00000000" w:rsidDel="00000000" w:rsidP="00000000" w:rsidRDefault="00000000" w:rsidRPr="00000000" w14:paraId="000007A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Family Code" echoes this constitutional edict on marriage and the family; it also emphasizes their permanence, inviolability and solidarity.</w:t>
      </w:r>
    </w:p>
    <w:p w:rsidR="00000000" w:rsidDel="00000000" w:rsidP="00000000" w:rsidRDefault="00000000" w:rsidRPr="00000000" w14:paraId="000007A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this mandate, the State, through the Office of the Solicitor General (OSG), cannot be allowed to turn its back on its constitutional duty to protect marriage and the family. "True, Section 18 of the Rule - as now finalized by the Puno Committee and the entire Court - grants the trial court the discretion to 'require x x x the public prosecutor, in consultation with the Office of the Solicitor General, to file their respective memoranda in support of their claims within fifteen days from the date the trial is terminated' True also, the OSG, even if not an original party or oppositor, 'may appeal the decision.</w:t>
      </w:r>
    </w:p>
    <w:p w:rsidR="00000000" w:rsidDel="00000000" w:rsidP="00000000" w:rsidRDefault="00000000" w:rsidRPr="00000000" w14:paraId="000007A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are, however, post facto remedies in which the OSG may not be fully effective. The hornbook doctrine is that only questions raised below may be the subject of appeals. Even more important, a case can be decided only on the basis of facts, theories and causes of action shown by the pleadings and by the facts proven during the trial. If t OSG does not oppose the petition at the first opportunity, participate during the trial, or present contradictory evidence - or at the very least, does not cross-examine the witnesses - 'the truth, the whole truth and nothing but the truth' may not be ferreted out.</w:t>
      </w:r>
    </w:p>
    <w:p w:rsidR="00000000" w:rsidDel="00000000" w:rsidP="00000000" w:rsidRDefault="00000000" w:rsidRPr="00000000" w14:paraId="000007A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believe that it is important, even essential, that t OSG should be given the mandate, at the earliest stages of the proceedings, to defend marriage and the family on behalf of the State. After all, the guidelines in </w:t>
      </w:r>
      <w:r w:rsidDel="00000000" w:rsidR="00000000" w:rsidRPr="00000000">
        <w:rPr>
          <w:rFonts w:ascii="Georgia" w:cs="Georgia" w:eastAsia="Georgia" w:hAnsi="Georgia"/>
          <w:i w:val="1"/>
          <w:iCs w:val="1"/>
          <w:rtl w:val="0"/>
        </w:rPr>
        <w:t xml:space="preserve">Republic v. Molina</w:t>
      </w:r>
      <w:r w:rsidDel="00000000" w:rsidR="00000000" w:rsidRPr="00000000">
        <w:rPr>
          <w:rFonts w:ascii="Georgia" w:cs="Georgia" w:eastAsia="Georgia" w:hAnsi="Georgia"/>
          <w:rtl w:val="0"/>
        </w:rPr>
        <w:t xml:space="preserve"> was carefully crafted by a unanimous Court because of the OSG's insistent indictment of Article 36 of the Family Code as the 'most liberal divorce procedure in the world.' By excluding the OSG from the origins of the cases involving psychological incapacity, the new Rule may be resurrecting this indictment of Article 36 as nothing less than a de facto divorce law.</w:t>
      </w:r>
    </w:p>
    <w:p w:rsidR="00000000" w:rsidDel="00000000" w:rsidP="00000000" w:rsidRDefault="00000000" w:rsidRPr="00000000" w14:paraId="000007A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"According to Archbishop Cruz, 'the State is duty-] bound to spare no effort precisely in promoting the stability of marriage and in defending [the] solidarity of the family. It would be then incongruous for the State to renounce its constitutional mandate, to reject its codal commitment safeguarding marriage from questionable actions destructive thereof, in protecting the family from personalistic options divisive thereof. Added the good prelate:</w:t>
      </w:r>
    </w:p>
    <w:p w:rsidR="00000000" w:rsidDel="00000000" w:rsidP="00000000" w:rsidRDefault="00000000" w:rsidRPr="00000000" w14:paraId="000007A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the proposed Rule that 'the Court may require the Office of the Solicitor General to file its own memorandum in cases of significant interest to the State appears unacceptable for the following reasons: One, without demeaning the Office of the public prosecutor standing for the State in defending the institution of marriage, it is not a secret that there is a good amount of laxity in the compliance of the said Office especially in big urban places in the country. Two, simply making the submission of a memorandum from the Office of the Solicitor General as something merely facultative is in effect doing away with the second line of defense of marriage and family life. Three, it can be rightfully asked if marriage and the family after all constitute but an insignificant interest of the State, notwithstanding all constitutional and lf codal provisions to the contrary.</w:t>
      </w:r>
    </w:p>
    <w:p w:rsidR="00000000" w:rsidDel="00000000" w:rsidP="00000000" w:rsidRDefault="00000000" w:rsidRPr="00000000" w14:paraId="000007A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the OSG is saddled with work is no reason for it to abandon its responsibility: to defend, when called upon and at the earliest opportunity, the constitutional protection of marriage and the family. Neither is there reason to delay compliance with that duty. The OSG takes the role of the </w:t>
      </w:r>
      <w:r w:rsidDel="00000000" w:rsidR="00000000" w:rsidRPr="00000000">
        <w:rPr>
          <w:rFonts w:ascii="Georgia" w:cs="Georgia" w:eastAsia="Georgia" w:hAnsi="Georgia"/>
          <w:i w:val="1"/>
          <w:iCs w:val="1"/>
          <w:rtl w:val="0"/>
        </w:rPr>
        <w:t xml:space="preserve">defensor vinculi</w:t>
      </w:r>
      <w:r w:rsidDel="00000000" w:rsidR="00000000" w:rsidRPr="00000000">
        <w:rPr>
          <w:rFonts w:ascii="Georgia" w:cs="Georgia" w:eastAsia="Georgia" w:hAnsi="Georgia"/>
          <w:rtl w:val="0"/>
        </w:rPr>
        <w:t xml:space="preserve"> who defends the marriage, when appropriate, in nullity cases under Canon 1095. If indeed it lacks manpower to attend to this constitutional duty, the logical solution is for it to secure that manpower, not to abandon its responsibility.</w:t>
      </w:r>
    </w:p>
    <w:p w:rsidR="00000000" w:rsidDel="00000000" w:rsidP="00000000" w:rsidRDefault="00000000" w:rsidRPr="00000000" w14:paraId="000007B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DECISION SHOULD EXPRESSLY EXPLAIN THE ROOT CAUSE AND THE OTHER FACTS REQUIRED TO BE ALLEGED IN THE PETITION. The decision of the lower court in Article 36 cases should clearly explain the root cause/s of the psychological incapacity, causes which must be medically or clinically identified.</w:t>
      </w:r>
    </w:p>
    <w:p w:rsidR="00000000" w:rsidDel="00000000" w:rsidP="00000000" w:rsidRDefault="00000000" w:rsidRPr="00000000" w14:paraId="000007B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decision must also show that the incapacity was existing at the time of or prior to the celebration of the marriage, is medically or clinically permanent or incurable, and is grave enough to bring about the party's incapacity to assume the essential obligations of marriage.</w:t>
      </w:r>
    </w:p>
    <w:p w:rsidR="00000000" w:rsidDel="00000000" w:rsidP="00000000" w:rsidRDefault="00000000" w:rsidRPr="00000000" w14:paraId="000007B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incurability of the incapacity must also be specific - whether it is absolute or only relative to the other spouse, not necessarily absolute in regard to everyone else of the opposite sex.</w:t>
      </w:r>
    </w:p>
    <w:p w:rsidR="00000000" w:rsidDel="00000000" w:rsidP="00000000" w:rsidRDefault="00000000" w:rsidRPr="00000000" w14:paraId="000007B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text of the decision should likewise specify the marital obligation/s not complied with - obligations embraced in Articles 68 to 71 of the Family Code as regards the husband and his wife; as well as Articles 220, 221 and 225 of the same Code in regard to parents and their children.</w:t>
      </w:r>
    </w:p>
    <w:p w:rsidR="00000000" w:rsidDel="00000000" w:rsidP="00000000" w:rsidRDefault="00000000" w:rsidRPr="00000000" w14:paraId="000007B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"Observed Archbishop Cruz: 'It might be opportune to ask if the dispositive portion of the Decree or the Declaration would have nothing to say about the </w:t>
      </w:r>
      <w:r w:rsidDel="00000000" w:rsidR="00000000" w:rsidRPr="00000000">
        <w:rPr>
          <w:rFonts w:ascii="Georgia" w:cs="Georgia" w:eastAsia="Georgia" w:hAnsi="Georgia"/>
          <w:i w:val="1"/>
          <w:iCs w:val="1"/>
          <w:rtl w:val="0"/>
        </w:rPr>
        <w:t xml:space="preserve">Pars in Causa</w:t>
      </w:r>
      <w:r w:rsidDel="00000000" w:rsidR="00000000" w:rsidRPr="00000000">
        <w:rPr>
          <w:rFonts w:ascii="Georgia" w:cs="Georgia" w:eastAsia="Georgia" w:hAnsi="Georgia"/>
          <w:rtl w:val="0"/>
        </w:rPr>
        <w:t xml:space="preserve"> proven radically unfit for marriage in conjunction with his/her possible subsequent option to get married again. While the issues on the disposition of properties, the assignment of the custodial right if needed, the matter of support and other concerns are important, the person of the subject party proven incapacitated for valid marriage is of no lesser significance.'</w:t>
      </w:r>
    </w:p>
    <w:p w:rsidR="00000000" w:rsidDel="00000000" w:rsidP="00000000" w:rsidRDefault="00000000" w:rsidRPr="00000000" w14:paraId="000007B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"Finally, also in accordance with </w:t>
      </w:r>
      <w:r w:rsidDel="00000000" w:rsidR="00000000" w:rsidRPr="00000000">
        <w:rPr>
          <w:rFonts w:ascii="Georgia" w:cs="Georgia" w:eastAsia="Georgia" w:hAnsi="Georgia"/>
          <w:i w:val="1"/>
          <w:iCs w:val="1"/>
          <w:rtl w:val="0"/>
        </w:rPr>
        <w:t xml:space="preserve">Republic v. Molina</w:t>
      </w:r>
      <w:r w:rsidDel="00000000" w:rsidR="00000000" w:rsidRPr="00000000">
        <w:rPr>
          <w:rFonts w:ascii="Georgia" w:cs="Georgia" w:eastAsia="Georgia" w:hAnsi="Georgia"/>
          <w:rtl w:val="0"/>
        </w:rPr>
        <w:t xml:space="preserve">, no decision should be handed down unless the solicitor general issues a certification, to be quoted in the decision, briefly stating therein his or her reasons for agreeing with or opposing the petition.</w:t>
      </w:r>
    </w:p>
    <w:p w:rsidR="00000000" w:rsidDel="00000000" w:rsidP="00000000" w:rsidRDefault="00000000" w:rsidRPr="00000000" w14:paraId="000007B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"All in all, I respectfully submit that by refusing to require 1) the parties to allege in the petition the essential facts showing the root cause, its incurability and gravity; (2) the solicitor general to defend the marriage at the earliest opportunity; and (3) the trial judge to state the said essential facts in the decision granting nullity, the Court may be encouraging the filing of groundless petitions for nullity. Worse, it may be facilitating the grant of such petitions on grounds other than [that] originally conceived under Article 36 of the Family Code. I hope that the OSG - and our own people - will not one day soon come again to this Court complaining about Article 36 being the most liberal divorce procedure in the world.</w:t>
      </w:r>
    </w:p>
    <w:p w:rsidR="00000000" w:rsidDel="00000000" w:rsidP="00000000" w:rsidRDefault="00000000" w:rsidRPr="00000000" w14:paraId="000007B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THE FOREGOING REASONS, I regret that I cannot give my concurrence to and approval of the Rule on the Declaration of the Nullity of Marriages based on psychological incapacity. </w:t>
      </w:r>
    </w:p>
    <w:p w:rsidR="00000000" w:rsidDel="00000000" w:rsidP="00000000" w:rsidRDefault="00000000" w:rsidRPr="00000000" w14:paraId="000007B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"March 4, 2003</w:t>
      </w:r>
    </w:p>
    <w:p w:rsidR="00000000" w:rsidDel="00000000" w:rsidP="00000000" w:rsidRDefault="00000000" w:rsidRPr="00000000" w14:paraId="000007B9">
      <w:pPr>
        <w:spacing w:after="80" w:before="80" w:lineRule="auto"/>
        <w:ind w:left="2880" w:firstLine="360"/>
        <w:jc w:val="both"/>
        <w:rPr>
          <w:rFonts w:ascii="Georgia" w:cs="Georgia" w:eastAsia="Georgia" w:hAnsi="Georgia"/>
        </w:rPr>
      </w:pPr>
      <w:r w:rsidDel="00000000" w:rsidR="00000000" w:rsidRPr="00000000">
        <w:rPr>
          <w:rFonts w:ascii="Georgia" w:cs="Georgia" w:eastAsia="Georgia" w:hAnsi="Georgia"/>
          <w:rtl w:val="0"/>
        </w:rPr>
        <w:t xml:space="preserve">"ARTEMIO V. PANGANIBAN</w:t>
      </w:r>
    </w:p>
    <w:p w:rsidR="00000000" w:rsidDel="00000000" w:rsidP="00000000" w:rsidRDefault="00000000" w:rsidRPr="00000000" w14:paraId="000007BA">
      <w:pPr>
        <w:spacing w:after="80" w:before="80" w:lineRule="auto"/>
        <w:ind w:left="3600" w:firstLine="360"/>
        <w:jc w:val="both"/>
        <w:rPr>
          <w:rFonts w:ascii="Georgia" w:cs="Georgia" w:eastAsia="Georgia" w:hAnsi="Georgia"/>
        </w:rPr>
      </w:pPr>
      <w:r w:rsidDel="00000000" w:rsidR="00000000" w:rsidRPr="00000000">
        <w:rPr>
          <w:rFonts w:ascii="Georgia" w:cs="Georgia" w:eastAsia="Georgia" w:hAnsi="Georgia"/>
          <w:rtl w:val="0"/>
        </w:rPr>
        <w:t xml:space="preserve">Associate Justice"</w:t>
      </w:r>
    </w:p>
    <w:p w:rsidR="00000000" w:rsidDel="00000000" w:rsidP="00000000" w:rsidRDefault="00000000" w:rsidRPr="00000000" w14:paraId="000007B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B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B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B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B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C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C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C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C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C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7C5">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14</w:t>
      </w:r>
    </w:p>
    <w:p w:rsidR="00000000" w:rsidDel="00000000" w:rsidP="00000000" w:rsidRDefault="00000000" w:rsidRPr="00000000" w14:paraId="000007C6">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7C7">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Update on Death Penalty Cases </w:t>
      </w:r>
    </w:p>
    <w:p w:rsidR="00000000" w:rsidDel="00000000" w:rsidP="00000000" w:rsidRDefault="00000000" w:rsidRPr="00000000" w14:paraId="000007C8">
      <w:pPr>
        <w:spacing w:after="80" w:before="80" w:lineRule="auto"/>
        <w:ind w:firstLine="360"/>
        <w:jc w:val="center"/>
        <w:rPr>
          <w:rFonts w:ascii="Georgia" w:cs="Georgia" w:eastAsia="Georgia" w:hAnsi="Georgia"/>
        </w:rPr>
      </w:pP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                    </w:t>
      </w:r>
    </w:p>
    <w:p w:rsidR="00000000" w:rsidDel="00000000" w:rsidP="00000000" w:rsidRDefault="00000000" w:rsidRPr="00000000" w14:paraId="000007C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Since the Court upheld the constitutionality of the Death Penalty Law in </w:t>
      </w:r>
      <w:r w:rsidDel="00000000" w:rsidR="00000000" w:rsidRPr="00000000">
        <w:rPr>
          <w:rFonts w:ascii="Georgia" w:cs="Georgia" w:eastAsia="Georgia" w:hAnsi="Georgia"/>
          <w:i w:val="1"/>
          <w:iCs w:val="1"/>
          <w:rtl w:val="0"/>
        </w:rPr>
        <w:t xml:space="preserve">People v. Echegaray</w:t>
      </w:r>
      <w:r w:rsidDel="00000000" w:rsidR="00000000" w:rsidRPr="00000000">
        <w:rPr>
          <w:rFonts w:ascii="Georgia" w:cs="Georgia" w:eastAsia="Georgia" w:hAnsi="Georgia"/>
          <w:rtl w:val="0"/>
        </w:rPr>
        <w:t xml:space="preserve"> six years ago, I have always endeavored to discuss in my books important developments in the implementation of the capital penalty. This chapter in the present volume continues this tradition. </w:t>
      </w:r>
    </w:p>
    <w:p w:rsidR="00000000" w:rsidDel="00000000" w:rsidP="00000000" w:rsidRDefault="00000000" w:rsidRPr="00000000" w14:paraId="000007CA">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No Executions During</w:t>
      </w:r>
    </w:p>
    <w:p w:rsidR="00000000" w:rsidDel="00000000" w:rsidP="00000000" w:rsidRDefault="00000000" w:rsidRPr="00000000" w14:paraId="000007CB">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My Eighth Year in the Court</w:t>
      </w:r>
    </w:p>
    <w:p w:rsidR="00000000" w:rsidDel="00000000" w:rsidP="00000000" w:rsidRDefault="00000000" w:rsidRPr="00000000" w14:paraId="000007C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Reforming the Judiciary, I reported that no actual executions had been carried out during the period covered by the book - October 11, 2001 to October 10, 2002 - which correspond to my seventh year as a Supreme Court magistrate. The scheduled executions had all been postponed on the strength of reprieves granted by President Gloria Macapagal Arroyo.</w:t>
      </w:r>
    </w:p>
    <w:p w:rsidR="00000000" w:rsidDel="00000000" w:rsidP="00000000" w:rsidRDefault="00000000" w:rsidRPr="00000000" w14:paraId="000007CD">
      <w:pPr>
        <w:spacing w:after="80" w:before="80"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Similarly, during my eighth year in office, which is the period covered by the present volume (October 11, 2002 to October 10, 2003), the lethal injections imposed on several convicts have been postponed. For example, the President granted express reprieves to the following: </w:t>
      </w:r>
      <w:r w:rsidDel="00000000" w:rsidR="00000000" w:rsidRPr="00000000">
        <w:rPr>
          <w:rtl w:val="0"/>
        </w:rPr>
      </w:r>
    </w:p>
    <w:p w:rsidR="00000000" w:rsidDel="00000000" w:rsidP="00000000" w:rsidRDefault="00000000" w:rsidRPr="00000000" w14:paraId="000007CE">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Name of Convict</w:t>
      </w:r>
    </w:p>
    <w:p w:rsidR="00000000" w:rsidDel="00000000" w:rsidP="00000000" w:rsidRDefault="00000000" w:rsidRPr="00000000" w14:paraId="000007CF">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Danilo Remudo y Siray Castro Geraban y Espela Ramil Rayos y Velez Chapter 14</w:t>
      </w:r>
    </w:p>
    <w:p w:rsidR="00000000" w:rsidDel="00000000" w:rsidP="00000000" w:rsidRDefault="00000000" w:rsidRPr="00000000" w14:paraId="000007D0">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Update on Death Penalty Cases                        Ireneo Padilla y Villaseñor Pamfilo Quimson y Siat f the Death Since the Court upheld the constitutionality oago, I have      Pablo Santos y Cruz Penalty Law in People v. Echegaray' six years Jimmy Jacob y Lopez developments in the implementation of theescapi   tal penalty. tinu this tradition. This chapter in the present volume con                           </w:t>
      </w:r>
    </w:p>
    <w:p w:rsidR="00000000" w:rsidDel="00000000" w:rsidP="00000000" w:rsidRDefault="00000000" w:rsidRPr="00000000" w14:paraId="000007D1">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D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her State of the Nation (SONA) address on July 28, 2003, President Gloria Macapagal Arroyo explained that while she was “pro-life,” the moratorium on the death penalty would not include the “big fish” in the illegal drug trade. </w:t>
      </w:r>
    </w:p>
    <w:p w:rsidR="00000000" w:rsidDel="00000000" w:rsidP="00000000" w:rsidRDefault="00000000" w:rsidRPr="00000000" w14:paraId="000007D3">
      <w:pPr>
        <w:spacing w:after="80" w:before="80" w:lineRule="auto"/>
        <w:ind w:firstLine="36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New Jurisprudence</w:t>
      </w:r>
    </w:p>
    <w:p w:rsidR="00000000" w:rsidDel="00000000" w:rsidP="00000000" w:rsidRDefault="00000000" w:rsidRPr="00000000" w14:paraId="000007D4">
      <w:pPr>
        <w:spacing w:after="80" w:before="80" w:lineRule="auto"/>
        <w:ind w:firstLine="36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on the Death Penalty</w:t>
      </w:r>
    </w:p>
    <w:p w:rsidR="00000000" w:rsidDel="00000000" w:rsidP="00000000" w:rsidRDefault="00000000" w:rsidRPr="00000000" w14:paraId="000007D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Supreme Court respects the right and the power of the President to review death penalties imposed by its final judgments and to exercise her pardoning power accordingly. That is why in every death decision, the Court includes a standard clause in the dispositive portion, worded as follows:</w:t>
      </w:r>
    </w:p>
    <w:p w:rsidR="00000000" w:rsidDel="00000000" w:rsidP="00000000" w:rsidRDefault="00000000" w:rsidRPr="00000000" w14:paraId="000007D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accordance with Section 25 of R.A. No. 7659 amending Section 83 of the Revised Penal Code, let the records of this case be forthwith forwarded, upon finality of this decision, to the Office of the President for possible exercise of the pardoning power." </w:t>
      </w:r>
    </w:p>
    <w:p w:rsidR="00000000" w:rsidDel="00000000" w:rsidP="00000000" w:rsidRDefault="00000000" w:rsidRPr="00000000" w14:paraId="000007D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Despite the frequent exercise of the presidential power of reprieve I do not know of any absolute pardon granted to death convicts since RA 7659 took effect 10 years ago), the Court continued to review death cases automatically and to impose the capital penalty whenever the occasion called for it. </w:t>
      </w:r>
    </w:p>
    <w:p w:rsidR="00000000" w:rsidDel="00000000" w:rsidP="00000000" w:rsidRDefault="00000000" w:rsidRPr="00000000" w14:paraId="000007D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will now summarize some important SC decisions on death cases, promulgated between October 11, 2002 to October 10, 2003. </w:t>
      </w:r>
    </w:p>
    <w:p w:rsidR="00000000" w:rsidDel="00000000" w:rsidP="00000000" w:rsidRDefault="00000000" w:rsidRPr="00000000" w14:paraId="000007D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Two-Stage Voting Rule </w:t>
      </w:r>
    </w:p>
    <w:p w:rsidR="00000000" w:rsidDel="00000000" w:rsidP="00000000" w:rsidRDefault="00000000" w:rsidRPr="00000000" w14:paraId="000007DA">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in Death Cases</w:t>
      </w:r>
    </w:p>
    <w:p w:rsidR="00000000" w:rsidDel="00000000" w:rsidP="00000000" w:rsidRDefault="00000000" w:rsidRPr="00000000" w14:paraId="000007D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Let me recall that in </w:t>
      </w:r>
      <w:r w:rsidDel="00000000" w:rsidR="00000000" w:rsidRPr="00000000">
        <w:rPr>
          <w:rFonts w:ascii="Georgia" w:cs="Georgia" w:eastAsia="Georgia" w:hAnsi="Georgia"/>
          <w:i w:val="1"/>
          <w:iCs w:val="1"/>
          <w:rtl w:val="0"/>
        </w:rPr>
        <w:t xml:space="preserve">Reforming the Judiciary</w:t>
      </w:r>
      <w:r w:rsidDel="00000000" w:rsidR="00000000" w:rsidRPr="00000000">
        <w:rPr>
          <w:rFonts w:ascii="Georgia" w:cs="Georgia" w:eastAsia="Georgia" w:hAnsi="Georgia"/>
          <w:rtl w:val="0"/>
        </w:rPr>
        <w:t xml:space="preserve">, I wrote that the Supreme Court had resolved, in </w:t>
      </w:r>
      <w:r w:rsidDel="00000000" w:rsidR="00000000" w:rsidRPr="00000000">
        <w:rPr>
          <w:rFonts w:ascii="Georgia" w:cs="Georgia" w:eastAsia="Georgia" w:hAnsi="Georgia"/>
          <w:i w:val="1"/>
          <w:iCs w:val="1"/>
          <w:rtl w:val="0"/>
        </w:rPr>
        <w:t xml:space="preserve">People v. Roque</w:t>
      </w:r>
      <w:r w:rsidDel="00000000" w:rsidR="00000000" w:rsidRPr="00000000">
        <w:rPr>
          <w:rFonts w:ascii="Georgia" w:cs="Georgia" w:eastAsia="Georgia" w:hAnsi="Georgia"/>
          <w:rtl w:val="0"/>
        </w:rPr>
        <w:t xml:space="preserve">, to vote twice on death penalty cases - to determine, first, whether the appellant is guilty of the heinous crime charged; and second, if so, whether the death penalty should be imposed.</w:t>
      </w:r>
    </w:p>
    <w:p w:rsidR="00000000" w:rsidDel="00000000" w:rsidP="00000000" w:rsidRDefault="00000000" w:rsidRPr="00000000" w14:paraId="000007D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applied this principle in </w:t>
      </w:r>
      <w:r w:rsidDel="00000000" w:rsidR="00000000" w:rsidRPr="00000000">
        <w:rPr>
          <w:rFonts w:ascii="Georgia" w:cs="Georgia" w:eastAsia="Georgia" w:hAnsi="Georgia"/>
          <w:i w:val="1"/>
          <w:iCs w:val="1"/>
          <w:rtl w:val="0"/>
        </w:rPr>
        <w:t xml:space="preserve">People v. Purazo</w:t>
      </w:r>
      <w:r w:rsidDel="00000000" w:rsidR="00000000" w:rsidRPr="00000000">
        <w:rPr>
          <w:rFonts w:ascii="Georgia" w:cs="Georgia" w:eastAsia="Georgia" w:hAnsi="Georgia"/>
          <w:rtl w:val="0"/>
        </w:rPr>
        <w:t xml:space="preserve">, "another sickening case of incestuous rape." After reviewing the trial court judgment that had imposed death on the accused, the High Court unanimously affirmed the guilt of the appellant. During the second vote, however, it reduced the penalty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because the Information ha merely alleged that the two counts of rape were "committed sometime in the month of March 1997, and for sometime subsequent thereto." Citing </w:t>
      </w:r>
      <w:r w:rsidDel="00000000" w:rsidR="00000000" w:rsidRPr="00000000">
        <w:rPr>
          <w:rFonts w:ascii="Georgia" w:cs="Georgia" w:eastAsia="Georgia" w:hAnsi="Georgia"/>
          <w:i w:val="1"/>
          <w:iCs w:val="1"/>
          <w:rtl w:val="0"/>
        </w:rPr>
        <w:t xml:space="preserve">People v. Roque,</w:t>
      </w:r>
      <w:r w:rsidDel="00000000" w:rsidR="00000000" w:rsidRPr="00000000">
        <w:rPr>
          <w:rFonts w:ascii="Georgia" w:cs="Georgia" w:eastAsia="Georgia" w:hAnsi="Georgia"/>
          <w:rtl w:val="0"/>
        </w:rPr>
        <w:t xml:space="preserve"> the Court explained that, ordinarily, the exact date of the commission of the crime need not be specified in the information; but that in this death case, a second voting as to the penalty to be imposed was mandatory, and that the justices did not need to explain their votes. </w:t>
      </w:r>
    </w:p>
    <w:p w:rsidR="00000000" w:rsidDel="00000000" w:rsidP="00000000" w:rsidRDefault="00000000" w:rsidRPr="00000000" w14:paraId="000007D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Nonetheless, the case evoked Separate Opinions from the justices. Justice Jose C. Vitug, the respected </w:t>
      </w:r>
      <w:r w:rsidDel="00000000" w:rsidR="00000000" w:rsidRPr="00000000">
        <w:rPr>
          <w:rFonts w:ascii="Georgia" w:cs="Georgia" w:eastAsia="Georgia" w:hAnsi="Georgia"/>
          <w:i w:val="1"/>
          <w:iCs w:val="1"/>
          <w:rtl w:val="0"/>
        </w:rPr>
        <w:t xml:space="preserve">ponente of Roque</w:t>
      </w:r>
      <w:r w:rsidDel="00000000" w:rsidR="00000000" w:rsidRPr="00000000">
        <w:rPr>
          <w:rFonts w:ascii="Georgia" w:cs="Georgia" w:eastAsia="Georgia" w:hAnsi="Georgia"/>
          <w:rtl w:val="0"/>
        </w:rPr>
        <w:t xml:space="preserve">, wrote that the prescription of a </w:t>
      </w:r>
      <w:r w:rsidDel="00000000" w:rsidR="00000000" w:rsidRPr="00000000">
        <w:rPr>
          <w:rFonts w:ascii="Georgia" w:cs="Georgia" w:eastAsia="Georgia" w:hAnsi="Georgia"/>
          <w:i w:val="1"/>
          <w:iCs w:val="1"/>
          <w:rtl w:val="0"/>
        </w:rPr>
        <w:t xml:space="preserve">single mandatory penalty </w:t>
      </w:r>
      <w:r w:rsidDel="00000000" w:rsidR="00000000" w:rsidRPr="00000000">
        <w:rPr>
          <w:rFonts w:ascii="Georgia" w:cs="Georgia" w:eastAsia="Georgia" w:hAnsi="Georgia"/>
          <w:rtl w:val="0"/>
        </w:rPr>
        <w:t xml:space="preserve">like death "constitutes a legislative infringement on judicial prerogative." He joined Justice Josue N. Bellosillo, the writer of Purazo, in the latter's ruling that courts could not ignore the presence of mitigating circumstances and should thus impose a less severe penalty like reclusion perpetua. He said that "judicial discretion [to lower a penalty] is inherent in the courts, and any attempt to subvert it would be constitutionally infirm." </w:t>
      </w:r>
    </w:p>
    <w:p w:rsidR="00000000" w:rsidDel="00000000" w:rsidP="00000000" w:rsidRDefault="00000000" w:rsidRPr="00000000" w14:paraId="000007D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Citing several US decisions, Justice Vitug considered "mandatory death sentence as a form of cruel and unusual punishment," because it had not taken into account "the possibility of compassionate or mitigating factors stemming from the frailties of man, (and) treat|ed] all persons convicted of a designated offense not as uniquely individual human beings, but as members of a faceless, undifferentiated mass to be subjected to the blind infliction of the penalty of death." He ended by saying that "courts are not precluded, given mitigating factors or conditions duly established in evidence, (a) from declaring the crime charged to be, in fact, non-heinous in character, or (b) from concluding that no compelling reasons exists to warrant the imposition of the death penalty, either of which would allow such courts to impose the penalty next lower in degree than death."</w:t>
      </w:r>
    </w:p>
    <w:p w:rsidR="00000000" w:rsidDel="00000000" w:rsidP="00000000" w:rsidRDefault="00000000" w:rsidRPr="00000000" w14:paraId="000007D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his Separate Opinion, the esteemed Justice Antonio T. Carpio concurred in the </w:t>
      </w:r>
      <w:r w:rsidDel="00000000" w:rsidR="00000000" w:rsidRPr="00000000">
        <w:rPr>
          <w:rFonts w:ascii="Georgia" w:cs="Georgia" w:eastAsia="Georgia" w:hAnsi="Georgia"/>
          <w:i w:val="1"/>
          <w:iCs w:val="1"/>
          <w:rtl w:val="0"/>
        </w:rPr>
        <w:t xml:space="preserve">ponencia</w:t>
      </w:r>
      <w:r w:rsidDel="00000000" w:rsidR="00000000" w:rsidRPr="00000000">
        <w:rPr>
          <w:rFonts w:ascii="Georgia" w:cs="Georgia" w:eastAsia="Georgia" w:hAnsi="Georgia"/>
          <w:rtl w:val="0"/>
        </w:rPr>
        <w:t xml:space="preserve">, because "[i]f a majority of the members of the Court do not vote to affirm the death penalty, the penalty is automatically reduced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Citing Article 47 of the Revised Penal Code, he opined that the Supreme Court must vote twice before it could impose death. And failing to secure the necessary vote for any reason whatsoever, then the penalty should be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He opined that “[e]ven if a person is charged and convicted of a heinous crime, the Constitution still requires that there must be 'compelling reasons' for imposing the death penalty." While the Constitution requires the Court to set forth clearly and distinctly the facts and the law in decisions, there is however "no requirement that the Court explain why the majority voted or did not vote to impose the death penalty x x x." Hence, he opted "to convict appellant Solomon Purazo of the crime of qualified rape. However, [he] voted to impose the penalty of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because no compelling reasons exist[ed] to impose the death penalty." </w:t>
      </w:r>
    </w:p>
    <w:p w:rsidR="00000000" w:rsidDel="00000000" w:rsidP="00000000" w:rsidRDefault="00000000" w:rsidRPr="00000000" w14:paraId="000007E0">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For his part, the distinguished Justice Romeo J. Callejo Sr. argued that the death penalty should have been imposed, because "courts ha[d] no option but to follow the law," which prescribed a single indivisible penalty for the unquestionably heinous crime of qualified rape. He believed that the mere fact that the Information alleged that the crime had been committed "sometime in the month of March 1997 and for sometime thereto" was not a justification for the reduction of the penalty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He called for a review of our ruling in </w:t>
      </w:r>
      <w:r w:rsidDel="00000000" w:rsidR="00000000" w:rsidRPr="00000000">
        <w:rPr>
          <w:rFonts w:ascii="Georgia" w:cs="Georgia" w:eastAsia="Georgia" w:hAnsi="Georgia"/>
          <w:i w:val="1"/>
          <w:iCs w:val="1"/>
          <w:rtl w:val="0"/>
        </w:rPr>
        <w:t xml:space="preserve">People v. Roque.</w:t>
      </w:r>
    </w:p>
    <w:p w:rsidR="00000000" w:rsidDel="00000000" w:rsidP="00000000" w:rsidRDefault="00000000" w:rsidRPr="00000000" w14:paraId="000007E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my part, I did not want to dilute my firm and oftrepeated position that RA 7659, insofar as it imposed the death penalty, was unconstitutional. Hence, in my short Separate Opinion, I simply opted to impose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on that ground: the unconstitutionality of the death penalty.</w:t>
      </w:r>
    </w:p>
    <w:p w:rsidR="00000000" w:rsidDel="00000000" w:rsidP="00000000" w:rsidRDefault="00000000" w:rsidRPr="00000000" w14:paraId="000007E2">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Two-Stage Voting Rule Not Invoked </w:t>
      </w:r>
    </w:p>
    <w:p w:rsidR="00000000" w:rsidDel="00000000" w:rsidP="00000000" w:rsidRDefault="00000000" w:rsidRPr="00000000" w14:paraId="000007E3">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When Death Is Not the Proper Penalty </w:t>
      </w:r>
    </w:p>
    <w:p w:rsidR="00000000" w:rsidDel="00000000" w:rsidP="00000000" w:rsidRDefault="00000000" w:rsidRPr="00000000" w14:paraId="000007E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Purazo was promulgated on May 5, 2003. Earlier, in </w:t>
      </w:r>
      <w:r w:rsidDel="00000000" w:rsidR="00000000" w:rsidRPr="00000000">
        <w:rPr>
          <w:rFonts w:ascii="Georgia" w:cs="Georgia" w:eastAsia="Georgia" w:hAnsi="Georgia"/>
          <w:i w:val="1"/>
          <w:iCs w:val="1"/>
          <w:rtl w:val="0"/>
        </w:rPr>
        <w:t xml:space="preserve">People v. Mauro</w:t>
      </w:r>
      <w:r w:rsidDel="00000000" w:rsidR="00000000" w:rsidRPr="00000000">
        <w:rPr>
          <w:rFonts w:ascii="Georgia" w:cs="Georgia" w:eastAsia="Georgia" w:hAnsi="Georgia"/>
          <w:rtl w:val="0"/>
        </w:rPr>
        <w:t xml:space="preserve">, the Court ruled that the Information alleging that the two counts of rape had been committed "sometime during the year 1992" and "sometime during the year 1993" were sufficiently explicit and "certain as to the dates of the commission of said crimes."</w:t>
      </w:r>
    </w:p>
    <w:p w:rsidR="00000000" w:rsidDel="00000000" w:rsidP="00000000" w:rsidRDefault="00000000" w:rsidRPr="00000000" w14:paraId="000007E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differentiated </w:t>
      </w:r>
      <w:r w:rsidDel="00000000" w:rsidR="00000000" w:rsidRPr="00000000">
        <w:rPr>
          <w:rFonts w:ascii="Georgia" w:cs="Georgia" w:eastAsia="Georgia" w:hAnsi="Georgia"/>
          <w:i w:val="1"/>
          <w:iCs w:val="1"/>
          <w:rtl w:val="0"/>
        </w:rPr>
        <w:t xml:space="preserve">Mauro</w:t>
      </w:r>
      <w:r w:rsidDel="00000000" w:rsidR="00000000" w:rsidRPr="00000000">
        <w:rPr>
          <w:rFonts w:ascii="Georgia" w:cs="Georgia" w:eastAsia="Georgia" w:hAnsi="Georgia"/>
          <w:rtl w:val="0"/>
        </w:rPr>
        <w:t xml:space="preserve"> from </w:t>
      </w:r>
      <w:r w:rsidDel="00000000" w:rsidR="00000000" w:rsidRPr="00000000">
        <w:rPr>
          <w:rFonts w:ascii="Georgia" w:cs="Georgia" w:eastAsia="Georgia" w:hAnsi="Georgia"/>
          <w:i w:val="1"/>
          <w:iCs w:val="1"/>
          <w:rtl w:val="0"/>
        </w:rPr>
        <w:t xml:space="preserve">People v. Ladrillo</w:t>
      </w:r>
      <w:r w:rsidDel="00000000" w:rsidR="00000000" w:rsidRPr="00000000">
        <w:rPr>
          <w:rFonts w:ascii="Georgia" w:cs="Georgia" w:eastAsia="Georgia" w:hAnsi="Georgia"/>
          <w:rtl w:val="0"/>
        </w:rPr>
        <w:t xml:space="preserve">, in which the Information alleged that the crime had been committed "on or about the year 1992." In striking down this statement of date as uncertain, the High Tribunal held that the clause encompassed "not only the twelve months of 1992 but including the years prior and subsequent to 1992."</w:t>
      </w:r>
    </w:p>
    <w:p w:rsidR="00000000" w:rsidDel="00000000" w:rsidP="00000000" w:rsidRDefault="00000000" w:rsidRPr="00000000" w14:paraId="000007E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any event, the two-stage voting rule was not applied to Mauro because reclusion perpetua, not death, had already been ruled as the proper penalty. The reason for the former penalty was that the Information did not allege the minority of the victim and her relationship to the appellant. Hence, the crime was merely simple, not qualified, rape.</w:t>
      </w:r>
    </w:p>
    <w:p w:rsidR="00000000" w:rsidDel="00000000" w:rsidP="00000000" w:rsidRDefault="00000000" w:rsidRPr="00000000" w14:paraId="000007E7">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Proof of Age Still Needed Despite </w:t>
      </w:r>
    </w:p>
    <w:p w:rsidR="00000000" w:rsidDel="00000000" w:rsidP="00000000" w:rsidRDefault="00000000" w:rsidRPr="00000000" w14:paraId="000007E8">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Appellants' Admissions </w:t>
      </w:r>
    </w:p>
    <w:p w:rsidR="00000000" w:rsidDel="00000000" w:rsidP="00000000" w:rsidRDefault="00000000" w:rsidRPr="00000000" w14:paraId="000007E9">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During the Pretrial</w:t>
      </w:r>
    </w:p>
    <w:p w:rsidR="00000000" w:rsidDel="00000000" w:rsidP="00000000" w:rsidRDefault="00000000" w:rsidRPr="00000000" w14:paraId="000007EA">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   3. Under the new Rules on Criminal Procedure, pretrial is mandatory. Normally, matters admitted therein need not be proven during the trial. However, </w:t>
      </w:r>
      <w:r w:rsidDel="00000000" w:rsidR="00000000" w:rsidRPr="00000000">
        <w:rPr>
          <w:rFonts w:ascii="Georgia" w:cs="Georgia" w:eastAsia="Georgia" w:hAnsi="Georgia"/>
          <w:i w:val="1"/>
          <w:iCs w:val="1"/>
          <w:rtl w:val="0"/>
        </w:rPr>
        <w:t xml:space="preserve">People v. Biong</w:t>
      </w:r>
      <w:r w:rsidDel="00000000" w:rsidR="00000000" w:rsidRPr="00000000">
        <w:rPr>
          <w:rFonts w:ascii="Georgia" w:cs="Georgia" w:eastAsia="Georgia" w:hAnsi="Georgia"/>
          <w:rtl w:val="0"/>
        </w:rPr>
        <w:t xml:space="preserve"> held that this no-proof rule would not apply to death cases. Thus, even if the appellant had already admitted during the pretrial that the private complainant was his daughter, and that she was born on August 12, 1985, the prosecution must still present "independent proof of the victim's age, even though it has not been contested by the defense." Explained* the Court:</w:t>
      </w:r>
    </w:p>
    <w:p w:rsidR="00000000" w:rsidDel="00000000" w:rsidP="00000000" w:rsidRDefault="00000000" w:rsidRPr="00000000" w14:paraId="000007E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 as the prosecution is still required to present evidence to prove the guilt of the accused beyond reasonable doubt despite a guilty plea in a capital offense, so must the government submit independent evidence to prove beyond reasonable doubt all the elements - including the qualifying circumstances - of the crime of rape despite the appellant's admissions during his testimony or during pre-trial. After all, qualifying circumstances alter the nature and the gravity of the crime and increase the penalty to death. </w:t>
      </w:r>
    </w:p>
    <w:p w:rsidR="00000000" w:rsidDel="00000000" w:rsidP="00000000" w:rsidRDefault="00000000" w:rsidRPr="00000000" w14:paraId="000007E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itself, the appellant's admission falls short of proof beyond reasonable doubt. Considering the irreversible and final nature of the penalty of death once carried out, nothing but proof beyond reasonable doubt of every fact necessary to constitute the crime will suffice for the Court to uphold such an extreme penalty." </w:t>
      </w:r>
    </w:p>
    <w:p w:rsidR="00000000" w:rsidDel="00000000" w:rsidP="00000000" w:rsidRDefault="00000000" w:rsidRPr="00000000" w14:paraId="000007ED">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Temperate Damages in the Absence of Proof </w:t>
      </w:r>
    </w:p>
    <w:p w:rsidR="00000000" w:rsidDel="00000000" w:rsidP="00000000" w:rsidRDefault="00000000" w:rsidRPr="00000000" w14:paraId="000007EE">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of the Exact Amount of Actual Damages</w:t>
      </w:r>
    </w:p>
    <w:p w:rsidR="00000000" w:rsidDel="00000000" w:rsidP="00000000" w:rsidRDefault="00000000" w:rsidRPr="00000000" w14:paraId="000007E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In </w:t>
      </w:r>
      <w:r w:rsidDel="00000000" w:rsidR="00000000" w:rsidRPr="00000000">
        <w:rPr>
          <w:rFonts w:ascii="Georgia" w:cs="Georgia" w:eastAsia="Georgia" w:hAnsi="Georgia"/>
          <w:i w:val="1"/>
          <w:iCs w:val="1"/>
          <w:rtl w:val="0"/>
        </w:rPr>
        <w:t xml:space="preserve">People v. Abrazaldo</w:t>
      </w:r>
      <w:r w:rsidDel="00000000" w:rsidR="00000000" w:rsidRPr="00000000">
        <w:rPr>
          <w:rFonts w:ascii="Georgia" w:cs="Georgia" w:eastAsia="Georgia" w:hAnsi="Georgia"/>
          <w:rtl w:val="0"/>
        </w:rPr>
        <w:t xml:space="preserve">, the Court decided to award temperate, in lieu of actual, damages when the victim was shown to have suffered actual damages, the exact amount of which had not been proven. The amount of temperate damages was fixed at P25,000. This sum is likewise awarded when the actual damages proven amounted to less than P25,000. Conversely, if the actual damages proven exceed P25,000, the amount proven shall be awarded and temperate damages may no longer be awarded.</w:t>
      </w:r>
    </w:p>
    <w:p w:rsidR="00000000" w:rsidDel="00000000" w:rsidP="00000000" w:rsidRDefault="00000000" w:rsidRPr="00000000" w14:paraId="000007F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When "Has Become Insane" Is Deemed</w:t>
      </w:r>
    </w:p>
    <w:p w:rsidR="00000000" w:rsidDel="00000000" w:rsidP="00000000" w:rsidRDefault="00000000" w:rsidRPr="00000000" w14:paraId="000007F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 Qualifying Circumstance</w:t>
      </w:r>
    </w:p>
    <w:p w:rsidR="00000000" w:rsidDel="00000000" w:rsidP="00000000" w:rsidRDefault="00000000" w:rsidRPr="00000000" w14:paraId="000007F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Under Article 335 of the Revised Penal Code, as amended by RA 2632 and RA 4111, the penalty is increased to death "when by reason or on the occasion of rape, the victim has become insane." Citing the history of the clause, of the accused, unless a </w:t>
      </w:r>
      <w:r w:rsidDel="00000000" w:rsidR="00000000" w:rsidRPr="00000000">
        <w:rPr>
          <w:rFonts w:ascii="Georgia" w:cs="Georgia" w:eastAsia="Georgia" w:hAnsi="Georgia"/>
          <w:i w:val="1"/>
          <w:iCs w:val="1"/>
          <w:rtl w:val="0"/>
        </w:rPr>
        <w:t xml:space="preserve">People v. Degamo</w:t>
      </w:r>
      <w:r w:rsidDel="00000000" w:rsidR="00000000" w:rsidRPr="00000000">
        <w:rPr>
          <w:rFonts w:ascii="Georgia" w:cs="Georgia" w:eastAsia="Georgia" w:hAnsi="Georgia"/>
          <w:rtl w:val="0"/>
        </w:rPr>
        <w:t xml:space="preserve"> ruled that insanity need not be permanent. Consequently, even if, during the trial or while the case is pending, the victim has returned to normal behavior after undergoing treatment, the accused is not freed from the penalty of death. The Court elucidated:</w:t>
      </w:r>
    </w:p>
    <w:p w:rsidR="00000000" w:rsidDel="00000000" w:rsidP="00000000" w:rsidRDefault="00000000" w:rsidRPr="00000000" w14:paraId="000007F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inherently difficult for us to set the parameters or fix a hard and fast rule as to may be considered a qualifying circumstance. Whether the rape resulted in the insanity of the victim shall have to be resolved by the courts on a case to case basis. Suffice it to be stated that the resultant insanity of the victim in rape cases must at least be manifest at the time of filing the complaint or information or at any time thereafter before judgment is rendered, in which case, the information may accordingly be amended. The reason for this is simple. Rape is always a traumatic experience for the victim who necessarily suffers untold psychological and emotional damage. Like victims of other crimes, rape victims have different ways of coping with the trauma brought about by the crime. While one may exhibit shock or depression immediately after the crime and recover thereafter, another might require a longer period to exhibit these same symptoms and not return to normalcy. Certainly, one can never calculate or measure the depths of the psychological and emotional damage that rape inflicts on the victim.” </w:t>
      </w:r>
    </w:p>
    <w:p w:rsidR="00000000" w:rsidDel="00000000" w:rsidP="00000000" w:rsidRDefault="00000000" w:rsidRPr="00000000" w14:paraId="000007F4">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Determining the Nature </w:t>
      </w:r>
    </w:p>
    <w:p w:rsidR="00000000" w:rsidDel="00000000" w:rsidP="00000000" w:rsidRDefault="00000000" w:rsidRPr="00000000" w14:paraId="000007F5">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of the Crime Charged </w:t>
      </w:r>
    </w:p>
    <w:p w:rsidR="00000000" w:rsidDel="00000000" w:rsidP="00000000" w:rsidRDefault="00000000" w:rsidRPr="00000000" w14:paraId="000007F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To determine the nature of the crime charged, the focal point of reference is always the information. This is basic. The allegations therein, not the designations given by the prosecution, are the authoritative sources of what is charged against the accused.</w:t>
      </w:r>
    </w:p>
    <w:p w:rsidR="00000000" w:rsidDel="00000000" w:rsidP="00000000" w:rsidRDefault="00000000" w:rsidRPr="00000000" w14:paraId="000007F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People v. Delim, this rule was put to a test. The Information quoted below elicits the question "What crime is being charged?" </w:t>
      </w:r>
    </w:p>
    <w:p w:rsidR="00000000" w:rsidDel="00000000" w:rsidP="00000000" w:rsidRDefault="00000000" w:rsidRPr="00000000" w14:paraId="000007F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on or about January 23, 1999, in the evening at Brgy. Bila, Sison, Pangasinan, and within the jurisdiction of this Honorable Court, the abovenamed accused, armed with short firearms barged in and entered the house of Modesto Delim and once inside with intent to kill, treachery, evident premedi[t]ation, conspiring with one another, did then and there, willfully, unlawfully and feloniously grab, hold, hogtie, gag with a piece of cloth, [bring] out and abduct Modesto Delimil accused Leon Delim and Manuel Delim stayed in the house guarded and prevented the wife and son of Modesto Delim from helping the latter, thereafter with abuse of superior strength stabbed and killed said Modesto Delim, to the damage and prejudice of his heirs."</w:t>
      </w:r>
    </w:p>
    <w:p w:rsidR="00000000" w:rsidDel="00000000" w:rsidP="00000000" w:rsidRDefault="00000000" w:rsidRPr="00000000" w14:paraId="000007F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Decision written by Justice Romeo J. Callejo Sr., the Court held that the crime charged in the foregoing Information was murder defined under Article 248 of the Revised Penal Code (RPC). In his Dissent, Justice Jose C. Vitug opined that the offense was kidnapping, punishable by Article 267 of the RPC. </w:t>
      </w:r>
    </w:p>
    <w:p w:rsidR="00000000" w:rsidDel="00000000" w:rsidP="00000000" w:rsidRDefault="00000000" w:rsidRPr="00000000" w14:paraId="000007F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Citing </w:t>
      </w:r>
      <w:r w:rsidDel="00000000" w:rsidR="00000000" w:rsidRPr="00000000">
        <w:rPr>
          <w:rFonts w:ascii="Georgia" w:cs="Georgia" w:eastAsia="Georgia" w:hAnsi="Georgia"/>
          <w:i w:val="1"/>
          <w:iCs w:val="1"/>
          <w:rtl w:val="0"/>
        </w:rPr>
        <w:t xml:space="preserve">People v. Puno</w:t>
      </w:r>
      <w:r w:rsidDel="00000000" w:rsidR="00000000" w:rsidRPr="00000000">
        <w:rPr>
          <w:rFonts w:ascii="Georgia" w:cs="Georgia" w:eastAsia="Georgia" w:hAnsi="Georgia"/>
          <w:rtl w:val="0"/>
        </w:rPr>
        <w:t xml:space="preserve">, the Court said in its automatic review that "for kidnapping to exist, there must be indubitable proof that the actual specific intent of an incident in the commission of another offense primarily intended by the malefactor."</w:t>
      </w:r>
    </w:p>
    <w:p w:rsidR="00000000" w:rsidDel="00000000" w:rsidP="00000000" w:rsidRDefault="00000000" w:rsidRPr="00000000" w14:paraId="000007F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Elaborating, Justice Callejo stressed that "[what is primordial then is the specific intent of the malefactors as disclosed in the information or criminal complaint that is determinative of what crime the accused is charged with that of murder or kidnapping." </w:t>
      </w:r>
    </w:p>
    <w:p w:rsidR="00000000" w:rsidDel="00000000" w:rsidP="00000000" w:rsidRDefault="00000000" w:rsidRPr="00000000" w14:paraId="000007F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Specific intent is a "state of mind," which" may be pro by direct evidence or by circumstantial evidence. It may be inferred from the circumstances of the action of the accused as established by the evidence on record." In murder, the specific intent is to kill the victim; in kidnapping, to deprive the victim of liberty. </w:t>
      </w:r>
    </w:p>
    <w:p w:rsidR="00000000" w:rsidDel="00000000" w:rsidP="00000000" w:rsidRDefault="00000000" w:rsidRPr="00000000" w14:paraId="000007F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Delim, the Information indicated that "the specific intent of the malefactors in barging into the house of [the victim] was to kill him x x x [and the] act x x x of abducting [him] was merely incidental to their primary purpose of killing him. Moreover, there is no specific allegation in the Information that the primary intent of the malefactors was to deprive [the victim] of his freedom or liberty and that killing him was merely incidental to kidnapping. On the other hand, Justice Vitug argued in his Dissent that the gravamen of the crime charged was kidnapping. He cited the allegation in the Information that the accused had "willfully, unlawfully, and feloniously grabbed), h(e)ld hog-tied), gag(ged), with a piece of cloth, brought out and abducted) Modesto Delim (while) Leon Delim and Manuel Delim stayed in the house (and) guarded and prevented the wife and son of Modesto Delim from helping the latter."</w:t>
      </w:r>
    </w:p>
    <w:p w:rsidR="00000000" w:rsidDel="00000000" w:rsidP="00000000" w:rsidRDefault="00000000" w:rsidRPr="00000000" w14:paraId="000007FE">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Added the dissenter: </w:t>
      </w:r>
    </w:p>
    <w:p w:rsidR="00000000" w:rsidDel="00000000" w:rsidP="00000000" w:rsidRDefault="00000000" w:rsidRPr="00000000" w14:paraId="000007F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fact that the Information went further to charge the accused with the killing of the victim should be of no moment, the real nature of the criminal charge being determined not from the caption or the preamble of the Information nor from the specification of the law alleged to have been violated - these being conclusions of law - but by the actual recital of facts in the complaint or information." </w:t>
      </w:r>
    </w:p>
    <w:p w:rsidR="00000000" w:rsidDel="00000000" w:rsidP="00000000" w:rsidRDefault="00000000" w:rsidRPr="00000000" w14:paraId="0000080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Will Treachery Aggravate </w:t>
      </w:r>
    </w:p>
    <w:p w:rsidR="00000000" w:rsidDel="00000000" w:rsidP="00000000" w:rsidRDefault="00000000" w:rsidRPr="00000000" w14:paraId="0000080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Penalty in Robbery with Homicide? </w:t>
      </w:r>
    </w:p>
    <w:p w:rsidR="00000000" w:rsidDel="00000000" w:rsidP="00000000" w:rsidRDefault="00000000" w:rsidRPr="00000000" w14:paraId="0000080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There is a recurring dispute among criminal law experts as to whether treachery can be appreciated as an aggravating circumstance in the crime of robbery with homicide. Chief Justice Ramon C. Aquino and Justice Luis B. Reyes answers in the negative, because treachery is applicable only to crimes against "the person" as defined in Title 10, Book Two of the RPC. </w:t>
      </w:r>
      <w:r w:rsidDel="00000000" w:rsidR="00000000" w:rsidRPr="00000000">
        <w:rPr>
          <w:rFonts w:ascii="Georgia" w:cs="Georgia" w:eastAsia="Georgia" w:hAnsi="Georgia"/>
          <w:i w:val="1"/>
          <w:iCs w:val="1"/>
          <w:rtl w:val="0"/>
        </w:rPr>
        <w:t xml:space="preserve">People v. Bariquit</w:t>
      </w:r>
      <w:r w:rsidDel="00000000" w:rsidR="00000000" w:rsidRPr="00000000">
        <w:rPr>
          <w:rFonts w:ascii="Georgia" w:cs="Georgia" w:eastAsia="Georgia" w:hAnsi="Georgia"/>
          <w:rtl w:val="0"/>
        </w:rPr>
        <w:t xml:space="preserve"> upheld this view and cited previous rulings along this line.</w:t>
      </w:r>
    </w:p>
    <w:p w:rsidR="00000000" w:rsidDel="00000000" w:rsidP="00000000" w:rsidRDefault="00000000" w:rsidRPr="00000000" w14:paraId="0000080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However, Justice Florenz D. Regalado opines that while treachery cannot be considered in robbery, it can be appreciated insofar as the killing is concerned. He cites </w:t>
      </w:r>
      <w:r w:rsidDel="00000000" w:rsidR="00000000" w:rsidRPr="00000000">
        <w:rPr>
          <w:rFonts w:ascii="Georgia" w:cs="Georgia" w:eastAsia="Georgia" w:hAnsi="Georgia"/>
          <w:i w:val="1"/>
          <w:iCs w:val="1"/>
          <w:rtl w:val="0"/>
        </w:rPr>
        <w:t xml:space="preserve">People v. Balagtas</w:t>
      </w:r>
      <w:r w:rsidDel="00000000" w:rsidR="00000000" w:rsidRPr="00000000">
        <w:rPr>
          <w:rFonts w:ascii="Georgia" w:cs="Georgia" w:eastAsia="Georgia" w:hAnsi="Georgia"/>
          <w:rtl w:val="0"/>
        </w:rPr>
        <w:t xml:space="preserve"> as authority.</w:t>
      </w:r>
    </w:p>
    <w:p w:rsidR="00000000" w:rsidDel="00000000" w:rsidP="00000000" w:rsidRDefault="00000000" w:rsidRPr="00000000" w14:paraId="0000080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Recently, in </w:t>
      </w:r>
      <w:r w:rsidDel="00000000" w:rsidR="00000000" w:rsidRPr="00000000">
        <w:rPr>
          <w:rFonts w:ascii="Georgia" w:cs="Georgia" w:eastAsia="Georgia" w:hAnsi="Georgia"/>
          <w:i w:val="1"/>
          <w:iCs w:val="1"/>
          <w:rtl w:val="0"/>
        </w:rPr>
        <w:t xml:space="preserve">People v. Escote </w:t>
      </w:r>
      <w:r w:rsidDel="00000000" w:rsidR="00000000" w:rsidRPr="00000000">
        <w:rPr>
          <w:rFonts w:ascii="Georgia" w:cs="Georgia" w:eastAsia="Georgia" w:hAnsi="Georgia"/>
          <w:rtl w:val="0"/>
        </w:rPr>
        <w:t xml:space="preserve">written by Justice Romeo J. Callejo Sr., the Court, by a vote of 12-3, decided to settle the issue head on. It firmly ruled that treachery may be appreciated as a generic aggravating circumstance in the crime of robbery with homicide, "but merely for the purpose of increasing the penalty." </w:t>
      </w:r>
    </w:p>
    <w:p w:rsidR="00000000" w:rsidDel="00000000" w:rsidP="00000000" w:rsidRDefault="00000000" w:rsidRPr="00000000" w14:paraId="0000080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justifying the Court's pronouncement, Justice Callejo traced the historical background of our penal law as follows: </w:t>
      </w:r>
    </w:p>
    <w:p w:rsidR="00000000" w:rsidDel="00000000" w:rsidP="00000000" w:rsidRDefault="00000000" w:rsidRPr="00000000" w14:paraId="0000080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must be recalled that by Royal Order of December 17, 1886 the 1850 Penal Code in force in Spain, as amended by the </w:t>
      </w:r>
      <w:r w:rsidDel="00000000" w:rsidR="00000000" w:rsidRPr="00000000">
        <w:rPr>
          <w:rFonts w:ascii="Georgia" w:cs="Georgia" w:eastAsia="Georgia" w:hAnsi="Georgia"/>
          <w:i w:val="1"/>
          <w:iCs w:val="1"/>
          <w:rtl w:val="0"/>
        </w:rPr>
        <w:t xml:space="preserve">Codigo Penal Reformado de 1870</w:t>
      </w:r>
      <w:r w:rsidDel="00000000" w:rsidR="00000000" w:rsidRPr="00000000">
        <w:rPr>
          <w:rFonts w:ascii="Georgia" w:cs="Georgia" w:eastAsia="Georgia" w:hAnsi="Georgia"/>
          <w:rtl w:val="0"/>
        </w:rPr>
        <w:t xml:space="preserve"> was applied in the Philippines. The Penal Code of 1887 in the Philippines was amended by Act 3815, now known as the Revised Penal Code, which was enacted and published in Spanish. In construing the Old Penal Code and the Revised Penal Code, this Court had accorded respect and persuasive, if not conclusive effect to the decisions of the Supreme Court of Spain interpreting and construing the 1850 Penal Code of Spain, as amended by Codigo Penal Reformado de 1870." </w:t>
      </w:r>
    </w:p>
    <w:p w:rsidR="00000000" w:rsidDel="00000000" w:rsidP="00000000" w:rsidRDefault="00000000" w:rsidRPr="00000000" w14:paraId="0000080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"Article 14, paragraph 16 of the Revised Penal Code reads:</w:t>
      </w:r>
    </w:p>
    <w:p w:rsidR="00000000" w:rsidDel="00000000" w:rsidP="00000000" w:rsidRDefault="00000000" w:rsidRPr="00000000" w14:paraId="0000080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'ART. 14. Aggravating circumstances. - The following are aggravating circumstances:</w:t>
      </w:r>
    </w:p>
    <w:p w:rsidR="00000000" w:rsidDel="00000000" w:rsidP="00000000" w:rsidRDefault="00000000" w:rsidRPr="00000000" w14:paraId="0000080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w:t>
        <w:tab/>
        <w:tab/>
        <w:tab/>
        <w:t xml:space="preserve">x x x</w:t>
        <w:tab/>
        <w:tab/>
        <w:tab/>
        <w:t xml:space="preserve">x x x</w:t>
      </w:r>
    </w:p>
    <w:p w:rsidR="00000000" w:rsidDel="00000000" w:rsidP="00000000" w:rsidRDefault="00000000" w:rsidRPr="00000000" w14:paraId="0000080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'16. That the act be committed with treachery (</w:t>
      </w:r>
      <w:r w:rsidDel="00000000" w:rsidR="00000000" w:rsidRPr="00000000">
        <w:rPr>
          <w:rFonts w:ascii="Georgia" w:cs="Georgia" w:eastAsia="Georgia" w:hAnsi="Georgia"/>
          <w:i w:val="1"/>
          <w:iCs w:val="1"/>
          <w:rtl w:val="0"/>
        </w:rPr>
        <w:t xml:space="preserve">alevosia</w:t>
      </w:r>
      <w:r w:rsidDel="00000000" w:rsidR="00000000" w:rsidRPr="00000000">
        <w:rPr>
          <w:rFonts w:ascii="Georgia" w:cs="Georgia" w:eastAsia="Georgia" w:hAnsi="Georgia"/>
          <w:rtl w:val="0"/>
        </w:rPr>
        <w:t xml:space="preserve">). There is treachery when the offender commits any of the crimes against the person, employing means, methods, or forms in the execution thereof which tend directly and specially to insure its execution, without risk to himself arising from the defense which the offended party might make.' </w:t>
      </w:r>
    </w:p>
    <w:p w:rsidR="00000000" w:rsidDel="00000000" w:rsidP="00000000" w:rsidRDefault="00000000" w:rsidRPr="00000000" w14:paraId="0000080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law was taken from Chapter IV, Article 10, paragraph 2 of the 1860 Penal Code and the Codigo Penal Reformado de 1870 of Spain which reads: </w:t>
      </w:r>
    </w:p>
    <w:p w:rsidR="00000000" w:rsidDel="00000000" w:rsidP="00000000" w:rsidRDefault="00000000" w:rsidRPr="00000000" w14:paraId="0000080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'Article 10 ..2. Ejecutar el hecho con alevosia. Hay alevosia cuando el culpable comete cualquiera de los delitos contra las personas empleando medios, modos o por mas en la ejecucion que tiendan directa y especialmente a asegurarla sin riesgo para su persona, que proceda de la defensa que pudiera hacer el ofendido. x x x’</w:t>
      </w:r>
    </w:p>
    <w:p w:rsidR="00000000" w:rsidDel="00000000" w:rsidP="00000000" w:rsidRDefault="00000000" w:rsidRPr="00000000" w14:paraId="0000080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"Article 14, paragraph 16 of the Revised Penal Code is a reproduction of the 1850 Penal Code of Spain and the Codigo Penal Reformado de 1870 with a slight difference. In the latter law, the words ' las personas' (the persons) are used, whereas in Article 14, paragraph 6 of the Revised Penal Code, the words 'the person' are used.</w:t>
      </w:r>
    </w:p>
    <w:p w:rsidR="00000000" w:rsidDel="00000000" w:rsidP="00000000" w:rsidRDefault="00000000" w:rsidRPr="00000000" w14:paraId="0000080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"Going by the letter of the law, treachery is applicable only to crimes against persons as enumerated in Title Eight, Chapters One and Two, Book II of the Revised Penal Code. However, the Supreme Court of Spain has consistently applied treachery to robbery with homicide, classified as a crime against property. Citing decisions of the Supreme Court of Spain, Cuello Calon, a noted commentator on the Spanish Penal Code, says that despite the strict and express reference of the penal code to treachery being applicable to persons, treachery also applies to other crimes such as robbery with homicide:</w:t>
      </w:r>
    </w:p>
    <w:p w:rsidR="00000000" w:rsidDel="00000000" w:rsidP="00000000" w:rsidRDefault="00000000" w:rsidRPr="00000000" w14:paraId="0000080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'Aun cuando el Codigo solo se refiere a los delitos contra las personas, cabe estimarla en los que no perteneciendo a este titulo se determinan por muerte o lesiones, como, en el robo con homicidio, y en el homicidio del Jefe del Estado que es un delito contra la seguridad interior del Estado, y no obstante la referencia estricta del texto legal a los delitos contra las personas no es la alevosia aplicable a la mayoria de ellos, no lo es en el homicidio, pues como su conc urren cia lo cuali fica lo trans form a en delit o distinto, en asesinato, in en el homicidio consentido (art. 409), ni en la riña tumultuaria (art. 408) ni en el infanticidio (art. 410). x x x </w:t>
      </w:r>
    </w:p>
    <w:p w:rsidR="00000000" w:rsidDel="00000000" w:rsidP="00000000" w:rsidRDefault="00000000" w:rsidRPr="00000000" w14:paraId="0000081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"Viada also says that treachery is appreciated in crimes against persons (delitos contra personas) and also in robbery with homicide (robo con homicidio).</w:t>
      </w:r>
    </w:p>
    <w:p w:rsidR="00000000" w:rsidDel="00000000" w:rsidP="00000000" w:rsidRDefault="00000000" w:rsidRPr="00000000" w14:paraId="0000081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'Contra las personas. - Luego la circunstancia de alevosia solo puede apreciarse en los delitos provis os desde el art. 417 al 447, y en algun otro, como el de robo con homicidio, atentario, a la vez que contra la propriedad, contra al persona.’ </w:t>
      </w:r>
    </w:p>
    <w:p w:rsidR="00000000" w:rsidDel="00000000" w:rsidP="00000000" w:rsidRDefault="00000000" w:rsidRPr="00000000" w14:paraId="0000081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treachery is a generic aggravating circumstance to robbery with homicide although said crime is classified as a crime against property and a single and indivisible crime.</w:t>
      </w:r>
    </w:p>
    <w:p w:rsidR="00000000" w:rsidDel="00000000" w:rsidP="00000000" w:rsidRDefault="00000000" w:rsidRPr="00000000" w14:paraId="0000081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Treachery is not a qualifying circumstance because as ruled by the Supreme Court of Spain in its decision dated September 11, 1878, the word 'homicide' is used in its broadest and most generic sense.</w:t>
      </w:r>
    </w:p>
    <w:p w:rsidR="00000000" w:rsidDel="00000000" w:rsidP="00000000" w:rsidRDefault="00000000" w:rsidRPr="00000000" w14:paraId="0000081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"Article 62, paragraph 1 of the Revised Penal Code provides that in diminishing or increasing the penalty for a crime, aggravating circumstances shall be taken into account. However, aggravating circumstances which in themselves constitute a crime specially punishable by law or which are included by the law in defining a crime and prescribing a penalty therefore shall not be taken into account for the purpose of increasing the penalty." Under paragraph 2 of the law, the same rule shall apply with respect to any aggravating circumstances inherent in the crime to such a degree that it must of necessity accompany the commission thereof.</w:t>
      </w:r>
    </w:p>
    <w:p w:rsidR="00000000" w:rsidDel="00000000" w:rsidP="00000000" w:rsidRDefault="00000000" w:rsidRPr="00000000" w14:paraId="0000081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Aggravating circumstances which in themselves constitute a crime specially punishable by law or which are included by the law in defining a crime and prescribing the penalty therefore shall not be taken into account for the purpose of increasing the penalty.’</w:t>
      </w:r>
    </w:p>
    <w:p w:rsidR="00000000" w:rsidDel="00000000" w:rsidP="00000000" w:rsidRDefault="00000000" w:rsidRPr="00000000" w14:paraId="0000081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same rule shall apply with respect to any aggravating circumstances inherent in the crime to such a degree that it must of necessity accompany the commission thereof.'</w:t>
      </w:r>
    </w:p>
    <w:p w:rsidR="00000000" w:rsidDel="00000000" w:rsidP="00000000" w:rsidRDefault="00000000" w:rsidRPr="00000000" w14:paraId="0000081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"Treachery is not an element of robbery with homicide.Neither does it constitute a crime specially punishable by law nor is it included by the law in defining the crime of robbery with homicide and prescribing the penalty therefore. Treachery is likewise not inherent in the crime of robbery with homicide.Hence, treachery should be considered as a generic aggravating circumstance in robbery with homicide for the imposition of the proper penalty for the crime.</w:t>
      </w:r>
    </w:p>
    <w:p w:rsidR="00000000" w:rsidDel="00000000" w:rsidP="00000000" w:rsidRDefault="00000000" w:rsidRPr="00000000" w14:paraId="0000081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its </w:t>
      </w:r>
      <w:r w:rsidDel="00000000" w:rsidR="00000000" w:rsidRPr="00000000">
        <w:rPr>
          <w:rFonts w:ascii="Georgia" w:cs="Georgia" w:eastAsia="Georgia" w:hAnsi="Georgia"/>
          <w:i w:val="1"/>
          <w:iCs w:val="1"/>
          <w:rtl w:val="0"/>
        </w:rPr>
        <w:t xml:space="preserve">Sentencia</w:t>
      </w:r>
      <w:r w:rsidDel="00000000" w:rsidR="00000000" w:rsidRPr="00000000">
        <w:rPr>
          <w:rFonts w:ascii="Georgia" w:cs="Georgia" w:eastAsia="Georgia" w:hAnsi="Georgia"/>
          <w:rtl w:val="0"/>
        </w:rPr>
        <w:t xml:space="preserve"> dated March 14, 1877, the Supreme Court of Spain declared that treachery is a generic aggravating circumstance not only in crimes against persons but also in robbery with homicide. The high court of Spain  applied Article 79 of the Spanish Penal Code (Article 62 of the Revised Penal Code) and ruled that since treachery is not a constitutive element of the crime of robbery with homicide nor is it inherent in said crime, without which it cannot be committed, treachery is an aggravating circumstance to said crime. The high court of Spain was not impervious of the fact that robbery with homicide is classified as a crime against property. Indeed, it specifically declared that the classification of robbery with homicide as a crime against property is irrelevant and inconsequential in the application of treachery. It further declared that it would be futile to argue that in crimes against property such as robbery with homicide, treachery would have no application. This is so, the high tribunal ruled, because when robbery is coupled with crimes committed against persons, the crime is not only an assault (ataca) on the property of the but also on the victims themselves (ofende):</w:t>
      </w:r>
    </w:p>
    <w:p w:rsidR="00000000" w:rsidDel="00000000" w:rsidP="00000000" w:rsidRDefault="00000000" w:rsidRPr="00000000" w14:paraId="0000081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[Q]ue la circunstancia agravante de alevosia in es constitutiva del delito complejo de robo y homicidio, in de tal modo inherente que sin ella no pueda cometerse, sin que quepa arguir que en los delitos contra la propriedad no debe aquella tener aplicacion, porque cuando estos son complejos de los que se cometen contra las personas, no solo se ataca a al propiedad, sino que se ofende a estas. x x x </w:t>
      </w:r>
    </w:p>
    <w:p w:rsidR="00000000" w:rsidDel="00000000" w:rsidP="00000000" w:rsidRDefault="00000000" w:rsidRPr="00000000" w14:paraId="0000081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fine, in the application of treachery as a generic aggravating circumstance to robbery with homicide, the law looks at the constituent crime of homicide which is a crime against persons and not at the constituent crime of robbery which is a crime against property. Treachery is applied to the constituent crime of 'homicide' and not to the constituent crime of 'robbery' of the special complex crime of robbery with homicide. </w:t>
      </w:r>
    </w:p>
    <w:p w:rsidR="00000000" w:rsidDel="00000000" w:rsidP="00000000" w:rsidRDefault="00000000" w:rsidRPr="00000000" w14:paraId="0000081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crime of robbery with homicide does not lose its classification as a crime against property or as a special complex and single and indivisible crime simply because treachery is appreciated as a generic aggravating circumstance. Treachery merely increases the penalty for the crime conformably with Article 63 of the Revised Penal Code. In its Sentencia, dated July 9, 1877, the high tribunal of Spain also ruled that when the victim of robbery is killed with lly       treachery, the said circumstance should be appreciated as a generic aggravating circumstance in robbery with homicide:</w:t>
      </w:r>
    </w:p>
    <w:p w:rsidR="00000000" w:rsidDel="00000000" w:rsidP="00000000" w:rsidRDefault="00000000" w:rsidRPr="00000000" w14:paraId="0000081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[Q]ue si aparece probado que el procesado y su coreo convinieron en matar a un conocido suyo, compañero de viaje, para lo cual desviaron cautelosamente los carros que guiaban, en uno de los cuales iba el interfecto, dirigiendolos por otro camino que conducia a un aljibon, y al llegar a este, valiendose de engaño para hacer bajar a dicho interfecto, se lanzaron de improviso sobre el, tirandolo en tierra, robandole el dinero, la manta y los talegos que levaba, y atandole al pie dicho aljibon, dados estos hechos, no cabe duda que constituyen el delito complejo del art. 516, num. I, con la circunstancia agravante de alevosia, puesto que los medios, forma y modos empleados en la ejecucion del crimen tendieron directa y especialmente a asegurarla sin riesgo para sus autores, procedente de la defensa del ofendido.' </w:t>
      </w:r>
    </w:p>
    <w:p w:rsidR="00000000" w:rsidDel="00000000" w:rsidP="00000000" w:rsidRDefault="00000000" w:rsidRPr="00000000" w14:paraId="0000081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sum then, treachery is a generic aggravating circumstance in robbery with homicide when the victim of homicide is killed by treachery." </w:t>
      </w:r>
    </w:p>
    <w:p w:rsidR="00000000" w:rsidDel="00000000" w:rsidP="00000000" w:rsidRDefault="00000000" w:rsidRPr="00000000" w14:paraId="0000081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b w:val="1"/>
          <w:bCs w:val="1"/>
          <w:rtl w:val="0"/>
        </w:rPr>
        <w:t xml:space="preserve">The Vitug Dissent.</w:t>
      </w:r>
      <w:r w:rsidDel="00000000" w:rsidR="00000000" w:rsidRPr="00000000">
        <w:rPr>
          <w:rFonts w:ascii="Georgia" w:cs="Georgia" w:eastAsia="Georgia" w:hAnsi="Georgia"/>
          <w:rtl w:val="0"/>
        </w:rPr>
        <w:t xml:space="preserve"> Justice Jose C. Vitug wrote a strong Dissent, arguing that robbery with homicide was a special complex crime against property "explicitly carrying a corresponding penalty of </w:t>
      </w:r>
      <w:r w:rsidDel="00000000" w:rsidR="00000000" w:rsidRPr="00000000">
        <w:rPr>
          <w:rFonts w:ascii="Georgia" w:cs="Georgia" w:eastAsia="Georgia" w:hAnsi="Georgia"/>
          <w:i w:val="1"/>
          <w:iCs w:val="1"/>
          <w:rtl w:val="0"/>
        </w:rPr>
        <w:t xml:space="preserve">reclusion perpetua to death.</w:t>
      </w:r>
      <w:r w:rsidDel="00000000" w:rsidR="00000000" w:rsidRPr="00000000">
        <w:rPr>
          <w:rFonts w:ascii="Georgia" w:cs="Georgia" w:eastAsia="Georgia" w:hAnsi="Georgia"/>
          <w:rtl w:val="0"/>
        </w:rPr>
        <w:t xml:space="preserve">" The esteemed jurist explained: </w:t>
      </w:r>
    </w:p>
    <w:p w:rsidR="00000000" w:rsidDel="00000000" w:rsidP="00000000" w:rsidRDefault="00000000" w:rsidRPr="00000000" w14:paraId="0000081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an ordinary complex crime, Article 48 of the Revised Penal Code expresses that 'the penalty for the most serious crime shall be imposed, the same to be applied in its maximum period.' Article 48 means then that in the imposition of the penalty tor such an ordinary complex crime, i.e., where no specific penalty is prescribed for the complex crime itself, the composite offenses and their respective penalties are individually factored, and it is possible, indeed warranted, that any aggravating circumstance, generic or qualified, even if it be peculiar to only one of the constituent crimes, can and should be logically considered in order to determine which of the composite crimes is the 'most serious crime, the penalty for which shall then 'be applied in its maximum period.' The rule evidently is not in square with a special complex crime, like robbery with homicide, where the law effectively treats the offense as an individual felony in itself and then prescribes a specific penalty therefor. Article 294 is explicit, and it provides -</w:t>
      </w:r>
    </w:p>
    <w:p w:rsidR="00000000" w:rsidDel="00000000" w:rsidP="00000000" w:rsidRDefault="00000000" w:rsidRPr="00000000" w14:paraId="0000082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'Art. 294. Any person guilty of robbery with the use of violence against or intimidation of any person shall suffer:</w:t>
      </w:r>
    </w:p>
    <w:p w:rsidR="00000000" w:rsidDel="00000000" w:rsidP="00000000" w:rsidRDefault="00000000" w:rsidRPr="00000000" w14:paraId="0000082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penalty of </w:t>
      </w:r>
      <w:r w:rsidDel="00000000" w:rsidR="00000000" w:rsidRPr="00000000">
        <w:rPr>
          <w:rFonts w:ascii="Georgia" w:cs="Georgia" w:eastAsia="Georgia" w:hAnsi="Georgia"/>
          <w:i w:val="1"/>
          <w:iCs w:val="1"/>
          <w:rtl w:val="0"/>
        </w:rPr>
        <w:t xml:space="preserve">reclusion perpetua to death</w:t>
      </w:r>
      <w:r w:rsidDel="00000000" w:rsidR="00000000" w:rsidRPr="00000000">
        <w:rPr>
          <w:rFonts w:ascii="Georgia" w:cs="Georgia" w:eastAsia="Georgia" w:hAnsi="Georgia"/>
          <w:rtl w:val="0"/>
        </w:rPr>
        <w:t xml:space="preserve">, when by reason or on the occasion of the robbery, the crime of homicide shall have been committed, or when the robbery shall have been accompanied by rape or intentional mutilation or arson.' </w:t>
      </w:r>
    </w:p>
    <w:p w:rsidR="00000000" w:rsidDel="00000000" w:rsidP="00000000" w:rsidRDefault="00000000" w:rsidRPr="00000000" w14:paraId="0000082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being just an independent prescribed penalty for the offense, any circumstance that can aggravate that penalty should be germane and generic not to one but to both of the constituent offenses that comprise the elements of the crime. The suggestion that treachery could be appreciated 'only insofar' as the killing is concerned would unavoidably be to consider and hold robbery and homicide as being separately penalized and to thus discount its classification under Article 294 of the Code as a distinct crime itself with a distinct penalty prescribed therefor. Most importantly, such interpretation would treat the special complex crime of robbery with homicide no differently from ordinary complex crimes defined under Article 48, where the composite crimes are separately regarded and weighed in the ultimate imposition of the penalty. If such were intended, the law could have easily been so provided, with the penalty for the higher of the two offenses to be then accordingly imposed on the malefactor. </w:t>
      </w:r>
    </w:p>
    <w:p w:rsidR="00000000" w:rsidDel="00000000" w:rsidP="00000000" w:rsidRDefault="00000000" w:rsidRPr="00000000" w14:paraId="0000082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prescribing, however, the penalty of reclusion perpetua to death, where homicide results by reason or on occasion of the robbery, the law has virtually taken into account the particularly 'nefarious' nature of the crime, where human life is taken, howsoever committed, to pursue the criminal intent to gain with the use of violence against or intimidation of any person.</w:t>
      </w:r>
    </w:p>
    <w:p w:rsidR="00000000" w:rsidDel="00000000" w:rsidP="00000000" w:rsidRDefault="00000000" w:rsidRPr="00000000" w14:paraId="0000082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"Distinct penalties prescribed by law in special complex crimes is in recognition of the primacy given to criminal intent over the overt acts that are done to achieve that intent. This conclusion is made implicit in various provisions of the Revised Penal Code. Thus, practically all of the justifying circumstances, as well as the exempting circumstances of accident (paragraph 4, Article 12) and lawful or insuperable cause (paragraph 7, Article 12), are based on the lack of criminal intent. In felonies committed by means of </w:t>
      </w:r>
      <w:r w:rsidDel="00000000" w:rsidR="00000000" w:rsidRPr="00000000">
        <w:rPr>
          <w:rFonts w:ascii="Georgia" w:cs="Georgia" w:eastAsia="Georgia" w:hAnsi="Georgia"/>
          <w:i w:val="1"/>
          <w:iCs w:val="1"/>
          <w:rtl w:val="0"/>
        </w:rPr>
        <w:t xml:space="preserve">dolo</w:t>
      </w:r>
      <w:r w:rsidDel="00000000" w:rsidR="00000000" w:rsidRPr="00000000">
        <w:rPr>
          <w:rFonts w:ascii="Georgia" w:cs="Georgia" w:eastAsia="Georgia" w:hAnsi="Georgia"/>
          <w:rtl w:val="0"/>
        </w:rPr>
        <w:t xml:space="preserve">, as opposed to those committed by means of </w:t>
      </w:r>
      <w:r w:rsidDel="00000000" w:rsidR="00000000" w:rsidRPr="00000000">
        <w:rPr>
          <w:rFonts w:ascii="Georgia" w:cs="Georgia" w:eastAsia="Georgia" w:hAnsi="Georgia"/>
          <w:i w:val="1"/>
          <w:iCs w:val="1"/>
          <w:rtl w:val="0"/>
        </w:rPr>
        <w:t xml:space="preserve">culpa</w:t>
      </w:r>
      <w:r w:rsidDel="00000000" w:rsidR="00000000" w:rsidRPr="00000000">
        <w:rPr>
          <w:rFonts w:ascii="Georgia" w:cs="Georgia" w:eastAsia="Georgia" w:hAnsi="Georgia"/>
          <w:rtl w:val="0"/>
        </w:rPr>
        <w:t xml:space="preserve"> (including offenses punished under special laws), criminal intent.</w:t>
      </w:r>
    </w:p>
    <w:p w:rsidR="00000000" w:rsidDel="00000000" w:rsidP="00000000" w:rsidRDefault="00000000" w:rsidRPr="00000000" w14:paraId="0000082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Paragraph 2, Article 4, of the Revised Penal Code places emphasis on 'intent' over effect, as it assigns criminal liability to one who has committed an 'impossible crime,' said person having intended and pursued such intent to commit a felony although, technically, no crime has actually been committed. Article 134 of the same Code, penalizing the crime of rebellion, imposes a distinct penalty, the rebel being moved by a single intent which is to overthrow the existing government, and ignores individual acts committed in the furtherance of such intent. </w:t>
      </w:r>
    </w:p>
    <w:p w:rsidR="00000000" w:rsidDel="00000000" w:rsidP="00000000" w:rsidRDefault="00000000" w:rsidRPr="00000000" w14:paraId="0000082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a circumstance, peculiar to only one of the composite crimes, could at all be allowed to aggravate the penalty in robbery with homicide, it should be with respect to the main offense of robbery, the intent to gain being the moving force that impels the malefactor to commit the crime. The attendant offense of homicide cannot be further modified, 'homicide' this time being so understood, as it should be, in its generic sense, comprehending even murder or parricide, when committed 'by reason or on the occasion of the robbery. The generic character of 'homicide in this special complex crime has been exemplified, for instance, in </w:t>
      </w:r>
      <w:r w:rsidDel="00000000" w:rsidR="00000000" w:rsidRPr="00000000">
        <w:rPr>
          <w:rFonts w:ascii="Georgia" w:cs="Georgia" w:eastAsia="Georgia" w:hAnsi="Georgia"/>
          <w:i w:val="1"/>
          <w:iCs w:val="1"/>
          <w:rtl w:val="0"/>
        </w:rPr>
        <w:t xml:space="preserve">People vs. Mangulabnan</w:t>
      </w:r>
      <w:r w:rsidDel="00000000" w:rsidR="00000000" w:rsidRPr="00000000">
        <w:rPr>
          <w:rFonts w:ascii="Georgia" w:cs="Georgia" w:eastAsia="Georgia" w:hAnsi="Georgia"/>
          <w:rtl w:val="0"/>
        </w:rPr>
        <w:t xml:space="preserve">, where the Court has held that, '[i]n order to determine the existence of the crime of robbery with homicide, it is enough that a homicide would result by reason or on the occasion of the robbery and it is immaterial that the homicide be produced by reason or on occasion of the robbery inasmuch as it is only the result obtained, without reference or distinction as to the circumstances, causes, modes or persons intervening in the commission of the crime, that has to be taken into consideration. </w:t>
      </w:r>
    </w:p>
    <w:p w:rsidR="00000000" w:rsidDel="00000000" w:rsidP="00000000" w:rsidRDefault="00000000" w:rsidRPr="00000000" w14:paraId="0000082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the term 'homicide' were not to be understood in its generic sense, an aggravating circumstance, such as evident premeditation or treachery, would qualify the killing into murder. Two separate crimes of robbery and homicide inevitably would result that effectively would place the two felonies outside the coverage of Article 294. And, as to whether or not those crimes should be complexed with each other would depend on the attendance of the requisites enumerated in Article 48 for ordinary complex crimes, i.e., a) that a single act constitute two or more grave or less grave felonies or b) that an offense is a necessary means for committing the other.</w:t>
      </w:r>
    </w:p>
    <w:p w:rsidR="00000000" w:rsidDel="00000000" w:rsidP="00000000" w:rsidRDefault="00000000" w:rsidRPr="00000000" w14:paraId="0000082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on the foregoing predicate, I am convinced, that this Court in </w:t>
      </w:r>
      <w:r w:rsidDel="00000000" w:rsidR="00000000" w:rsidRPr="00000000">
        <w:rPr>
          <w:rFonts w:ascii="Georgia" w:cs="Georgia" w:eastAsia="Georgia" w:hAnsi="Georgia"/>
          <w:i w:val="1"/>
          <w:iCs w:val="1"/>
          <w:rtl w:val="0"/>
        </w:rPr>
        <w:t xml:space="preserve">People vs. Timple </w:t>
      </w:r>
      <w:r w:rsidDel="00000000" w:rsidR="00000000" w:rsidRPr="00000000">
        <w:rPr>
          <w:rFonts w:ascii="Georgia" w:cs="Georgia" w:eastAsia="Georgia" w:hAnsi="Georgia"/>
          <w:rtl w:val="0"/>
        </w:rPr>
        <w:t xml:space="preserve">has rejected the idea of appreciating treachery as being an aggravating circumstance in the crime of robbery with homicide, an offense, I might repeat, is by law classified as a crime against property. I certainly will not view the ruling as having been made in any cavalier fashion and with little or no effort for an introspective ratiocination. </w:t>
      </w:r>
      <w:r w:rsidDel="00000000" w:rsidR="00000000" w:rsidRPr="00000000">
        <w:rPr>
          <w:rFonts w:ascii="Georgia" w:cs="Georgia" w:eastAsia="Georgia" w:hAnsi="Georgia"/>
          <w:i w:val="1"/>
          <w:iCs w:val="1"/>
          <w:rtl w:val="0"/>
        </w:rPr>
        <w:t xml:space="preserve">Timple</w:t>
      </w:r>
      <w:r w:rsidDel="00000000" w:rsidR="00000000" w:rsidRPr="00000000">
        <w:rPr>
          <w:rFonts w:ascii="Georgia" w:cs="Georgia" w:eastAsia="Georgia" w:hAnsi="Georgia"/>
          <w:rtl w:val="0"/>
        </w:rPr>
        <w:t xml:space="preserve"> has, in fact, been stressed in </w:t>
      </w:r>
      <w:r w:rsidDel="00000000" w:rsidR="00000000" w:rsidRPr="00000000">
        <w:rPr>
          <w:rFonts w:ascii="Georgia" w:cs="Georgia" w:eastAsia="Georgia" w:hAnsi="Georgia"/>
          <w:i w:val="1"/>
          <w:iCs w:val="1"/>
          <w:rtl w:val="0"/>
        </w:rPr>
        <w:t xml:space="preserve">People vs. Arizobal</w:t>
      </w:r>
      <w:r w:rsidDel="00000000" w:rsidR="00000000" w:rsidRPr="00000000">
        <w:rPr>
          <w:rFonts w:ascii="Georgia" w:cs="Georgia" w:eastAsia="Georgia" w:hAnsi="Georgia"/>
          <w:rtl w:val="0"/>
        </w:rPr>
        <w:t xml:space="preserve">; viz: </w:t>
      </w:r>
    </w:p>
    <w:p w:rsidR="00000000" w:rsidDel="00000000" w:rsidP="00000000" w:rsidRDefault="00000000" w:rsidRPr="00000000" w14:paraId="0000082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treachery was incorrectly considered by the trial court. The accused stand charged with, tried and convicted of robbery with homicide. This special complex crime is primarily classified in this jurisdiction as a crime against property, and not against persons, homicide being merely an incident of robbery with the latter being the main purpose and object of the criminals. As such, treachery cannot be validly appreciated as an aggravating circumstance under Art. 14 of The Revised Penal Code. (People v. Bariquit, G.R. No. 122733, 2 October 2000, 341 SCRA 600.) This is completely a reversal of the previous jurisprudence on the matter decided in a litany of cases before People v. Bariquit.’</w:t>
      </w:r>
    </w:p>
    <w:p w:rsidR="00000000" w:rsidDel="00000000" w:rsidP="00000000" w:rsidRDefault="00000000" w:rsidRPr="00000000" w14:paraId="0000082A">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Judicial Notice of a Person’s Age</w:t>
      </w:r>
    </w:p>
    <w:p w:rsidR="00000000" w:rsidDel="00000000" w:rsidP="00000000" w:rsidRDefault="00000000" w:rsidRPr="00000000" w14:paraId="0000082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It is basic in criminal law, especially in qualified rape, that the age of the victim must be both alleged in the information and proven beyond reasonable doubt. In many cases, the Supreme Court has discoursed on whether a court may take judicial notice of the age of the rape victim from a mere observation of her physical features. </w:t>
      </w:r>
    </w:p>
    <w:p w:rsidR="00000000" w:rsidDel="00000000" w:rsidP="00000000" w:rsidRDefault="00000000" w:rsidRPr="00000000" w14:paraId="0000082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Judicial notice refers to the capacity or power of a court to consider certain facts as true without need of proof. Corollary to this concept, a party need not offer evidence to prove a matter that a court has taken or may take judicial notice of. It would be superfluous and inconvenient to require proof of facts that are already known to the tribunal.</w:t>
      </w:r>
    </w:p>
    <w:p w:rsidR="00000000" w:rsidDel="00000000" w:rsidP="00000000" w:rsidRDefault="00000000" w:rsidRPr="00000000" w14:paraId="0000082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People v. Rullepa</w:t>
      </w:r>
      <w:r w:rsidDel="00000000" w:rsidR="00000000" w:rsidRPr="00000000">
        <w:rPr>
          <w:rFonts w:ascii="Georgia" w:cs="Georgia" w:eastAsia="Georgia" w:hAnsi="Georgia"/>
          <w:rtl w:val="0"/>
        </w:rPr>
        <w:t xml:space="preserve">, the Court took up anew the issue of a person to ascertain his or her age, he is not taking judicial notice of such fact; rather, he is conducting an examination of the evidence, the evidence being the appearance of the person. Such a process militates against the very concept of judicial notice, the object of which is to do away with the presentation of evidence." Be that as it may, that procedure is still followed. Ruled the Court: </w:t>
      </w:r>
    </w:p>
    <w:p w:rsidR="00000000" w:rsidDel="00000000" w:rsidP="00000000" w:rsidRDefault="00000000" w:rsidRPr="00000000" w14:paraId="0000082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is not to say that the process is not sanctioned by the Rules of Court; on the contrary, it  [is]. A person’s appearance, where relevant, is admissible as object evidence, the same being addressed to the senses of the court. Section 1, Rule 130, provides:</w:t>
      </w:r>
    </w:p>
    <w:p w:rsidR="00000000" w:rsidDel="00000000" w:rsidP="00000000" w:rsidRDefault="00000000" w:rsidRPr="00000000" w14:paraId="0000082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1. Object as evidence. Objects as evidence are those addressed to the senses of the court. When an object is relevant to the fact in issue, it may be exhibited to, examined or viewed by the court.'</w:t>
      </w:r>
    </w:p>
    <w:p w:rsidR="00000000" w:rsidDel="00000000" w:rsidP="00000000" w:rsidRDefault="00000000" w:rsidRPr="00000000" w14:paraId="0000083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person's appearance, as evidence of age (for example, of infancy, or of being under the age of consent to intercourse), is usually regarded as relevant; and, if so, the tribunal may properly observe the person brought before it. Experience teaches that corporal appearances are approximately an index of the age of their bearer, particularly for the marked extremes of old age and youth. In every case such evidence should be accepted and weighed for what it may be in each case worth. In particular, the outward physical appearance of an alleged minor may be considered in judging his age; a contrary rule would for such an inference be pedantically overcautious. Consequently, the jury or the court trying an issue of fact may be allowed to judge the age of persons in court by observation of such persons. The formal offer of the person as evidence is not necessary. The examination and cross-examination of a party before the jury are equivalent to exhibiting him before the jury and an offer of such a person as an exhibit is properly refused. </w:t>
      </w:r>
    </w:p>
    <w:p w:rsidR="00000000" w:rsidDel="00000000" w:rsidP="00000000" w:rsidRDefault="00000000" w:rsidRPr="00000000" w14:paraId="0000083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w:t>
        <w:tab/>
        <w:tab/>
        <w:tab/>
        <w:t xml:space="preserve"> x x x</w:t>
        <w:tab/>
        <w:tab/>
        <w:tab/>
        <w:tab/>
        <w:t xml:space="preserve"> x x x</w:t>
      </w:r>
    </w:p>
    <w:p w:rsidR="00000000" w:rsidDel="00000000" w:rsidP="00000000" w:rsidRDefault="00000000" w:rsidRPr="00000000" w14:paraId="0000083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can be no question, therefore, as to the admissibility of a person's appearance in determining his or her age. As to the weight to accord such appearance, especially in rape cases, Pruna laid down guideline no. 3, which is again reproduced hereunder:</w:t>
      </w:r>
    </w:p>
    <w:p w:rsidR="00000000" w:rsidDel="00000000" w:rsidP="00000000" w:rsidRDefault="00000000" w:rsidRPr="00000000" w14:paraId="0000083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If the certificate of live birth or authentic document is shown to have been lost or destroyed or otherwise unavailable, the testimony, if clear and credible, of the victim’s mother or a member of the family either by affinity or consanguinity who is qualified to testify on matters respecting pedigree such as the exact age or date of birth of the offended party pursuant to Section 40, Rule 130 of the Rules on Evidence shall be sufficient under the following circumstances: </w:t>
      </w:r>
    </w:p>
    <w:p w:rsidR="00000000" w:rsidDel="00000000" w:rsidP="00000000" w:rsidRDefault="00000000" w:rsidRPr="00000000" w14:paraId="0000083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If the victim is alleged to be below 3 years of age and what is sought to be proved is that she is less than 7 years old;</w:t>
      </w:r>
    </w:p>
    <w:p w:rsidR="00000000" w:rsidDel="00000000" w:rsidP="00000000" w:rsidRDefault="00000000" w:rsidRPr="00000000" w14:paraId="0000083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If the victim is alleged to be below 7 years of age and what is sought to be proved is that she is less than 12 years old; </w:t>
      </w:r>
    </w:p>
    <w:p w:rsidR="00000000" w:rsidDel="00000000" w:rsidP="00000000" w:rsidRDefault="00000000" w:rsidRPr="00000000" w14:paraId="0000083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If the victim is alleged to be below 12 years of age and what is sought to be proved is that she is less than 18 years old.'</w:t>
      </w:r>
    </w:p>
    <w:p w:rsidR="00000000" w:rsidDel="00000000" w:rsidP="00000000" w:rsidRDefault="00000000" w:rsidRPr="00000000" w14:paraId="0000083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the above guideline, the testimony of a relative with respect to the age of the victim is sufficient to constitute proof beyond reasonable doubt in cases (a), (b) and (c) above. In such cases, the disparity between the allegation and the proof of age is so great that the court can easily determine from the appearance of the victim the veracity of the testimony. The appearance corroborates the relative's testimony.</w:t>
      </w:r>
    </w:p>
    <w:p w:rsidR="00000000" w:rsidDel="00000000" w:rsidP="00000000" w:rsidRDefault="00000000" w:rsidRPr="00000000" w14:paraId="0000083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the alleged age approaches the age sought to be proved, the person's appearance, as object evidence of her age, loses probative value. Doubt as to her true age becomes greater and, following </w:t>
      </w:r>
      <w:r w:rsidDel="00000000" w:rsidR="00000000" w:rsidRPr="00000000">
        <w:rPr>
          <w:rFonts w:ascii="Georgia" w:cs="Georgia" w:eastAsia="Georgia" w:hAnsi="Georgia"/>
          <w:i w:val="1"/>
          <w:iCs w:val="1"/>
          <w:rtl w:val="0"/>
        </w:rPr>
        <w:t xml:space="preserve">Agadas</w:t>
      </w:r>
      <w:r w:rsidDel="00000000" w:rsidR="00000000" w:rsidRPr="00000000">
        <w:rPr>
          <w:rFonts w:ascii="Georgia" w:cs="Georgia" w:eastAsia="Georgia" w:hAnsi="Georgia"/>
          <w:rtl w:val="0"/>
        </w:rPr>
        <w:t xml:space="preserve">, supra, such doubt must be resolved in favor of the accused.</w:t>
      </w:r>
    </w:p>
    <w:p w:rsidR="00000000" w:rsidDel="00000000" w:rsidP="00000000" w:rsidRDefault="00000000" w:rsidRPr="00000000" w14:paraId="0000083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is because in the era of modernism and 205), Watson v. State rapid growth, the victim's mere physical appearance is not enough to gauge her exact age. For the extreme penalty of death to be upheld, nothing but proof beyond reasonable doubt of every fact necessary to constitute the crime must be substantiated. Verily, the minority of the victim should be not only alleged but likewise proved with equal certainty and clearness as the crime itself. Be it remembered that the proof of the victim's age in the present case spells the difference between life and death.”</w:t>
      </w:r>
    </w:p>
    <w:p w:rsidR="00000000" w:rsidDel="00000000" w:rsidP="00000000" w:rsidRDefault="00000000" w:rsidRPr="00000000" w14:paraId="0000083A">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Categorical Finding on Age </w:t>
      </w:r>
    </w:p>
    <w:p w:rsidR="00000000" w:rsidDel="00000000" w:rsidP="00000000" w:rsidRDefault="00000000" w:rsidRPr="00000000" w14:paraId="0000083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9. Consistent with the above doctrine,</w:t>
      </w:r>
      <w:r w:rsidDel="00000000" w:rsidR="00000000" w:rsidRPr="00000000">
        <w:rPr>
          <w:rFonts w:ascii="Georgia" w:cs="Georgia" w:eastAsia="Georgia" w:hAnsi="Georgia"/>
          <w:i w:val="1"/>
          <w:iCs w:val="1"/>
          <w:rtl w:val="0"/>
        </w:rPr>
        <w:t xml:space="preserve"> People v. Villarama</w:t>
      </w:r>
      <w:r w:rsidDel="00000000" w:rsidR="00000000" w:rsidRPr="00000000">
        <w:rPr>
          <w:rFonts w:ascii="Georgia" w:cs="Georgia" w:eastAsia="Georgia" w:hAnsi="Georgia"/>
          <w:rtl w:val="0"/>
        </w:rPr>
        <w:t xml:space="preserve"> ruled that "the trial court should always make a categorical finding as to the age of the victim"; otherwise, the death sentence cannot be meted out in a qualified rape case. It added that "judicial notice of the issue of age without the requisite hearing under Section 3 of Rule 129 of the Rules on Evidence would not be sufficient to establish the age of the victim to warrant the imposition of the death penalty." The guidelines on this point remain to be those stated in </w:t>
      </w:r>
      <w:r w:rsidDel="00000000" w:rsidR="00000000" w:rsidRPr="00000000">
        <w:rPr>
          <w:rFonts w:ascii="Georgia" w:cs="Georgia" w:eastAsia="Georgia" w:hAnsi="Georgia"/>
          <w:i w:val="1"/>
          <w:iCs w:val="1"/>
          <w:rtl w:val="0"/>
        </w:rPr>
        <w:t xml:space="preserve">People v. Pruna</w:t>
      </w:r>
      <w:r w:rsidDel="00000000" w:rsidR="00000000" w:rsidRPr="00000000">
        <w:rPr>
          <w:rFonts w:ascii="Georgia" w:cs="Georgia" w:eastAsia="Georgia" w:hAnsi="Georgia"/>
          <w:rtl w:val="0"/>
        </w:rPr>
        <w:t xml:space="preserve">. </w:t>
      </w:r>
    </w:p>
    <w:p w:rsidR="00000000" w:rsidDel="00000000" w:rsidP="00000000" w:rsidRDefault="00000000" w:rsidRPr="00000000" w14:paraId="0000083C">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Allegation of Uncle-Niece </w:t>
      </w:r>
    </w:p>
    <w:p w:rsidR="00000000" w:rsidDel="00000000" w:rsidP="00000000" w:rsidRDefault="00000000" w:rsidRPr="00000000" w14:paraId="0000083D">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Relationship Insufficient </w:t>
      </w:r>
    </w:p>
    <w:p w:rsidR="00000000" w:rsidDel="00000000" w:rsidP="00000000" w:rsidRDefault="00000000" w:rsidRPr="00000000" w14:paraId="0000083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10. In </w:t>
      </w:r>
      <w:r w:rsidDel="00000000" w:rsidR="00000000" w:rsidRPr="00000000">
        <w:rPr>
          <w:rFonts w:ascii="Georgia" w:cs="Georgia" w:eastAsia="Georgia" w:hAnsi="Georgia"/>
          <w:i w:val="1"/>
          <w:iCs w:val="1"/>
          <w:rtl w:val="0"/>
        </w:rPr>
        <w:t xml:space="preserve">People v. Esperanza</w:t>
      </w:r>
      <w:r w:rsidDel="00000000" w:rsidR="00000000" w:rsidRPr="00000000">
        <w:rPr>
          <w:rFonts w:ascii="Georgia" w:cs="Georgia" w:eastAsia="Georgia" w:hAnsi="Georgia"/>
          <w:rtl w:val="0"/>
        </w:rPr>
        <w:t xml:space="preserve">, the Court held that an allegation in the Information that the accused had forced sexual intercourse with "his niece" was not "specific enough to satisfy the special qualifying circumstance of relationship." It explained that "[i]f the offender is merely a relation - not a parent, ascendant, step-parent, guardian, or common law spouse of the mother of the victim — the specific relationship must be alleged in the information, i.e., that he is a relative by consanguinity or affinity [as the case may be] within the third civil degree." The reason is that not all nieces fall within the third civil degree. Hence, the crime charged was only simple, not qualified, rape; and the penalty to be imposed was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not death.</w:t>
      </w:r>
    </w:p>
    <w:p w:rsidR="00000000" w:rsidDel="00000000" w:rsidP="00000000" w:rsidRDefault="00000000" w:rsidRPr="00000000" w14:paraId="0000083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disposition would have still held true even if the prosecution had proven that indeed the relationship between the accused and the victim was within the third civil degree. A person cannot be convicted of qualified rape if the charge is merely simple rape. </w:t>
      </w:r>
    </w:p>
    <w:p w:rsidR="00000000" w:rsidDel="00000000" w:rsidP="00000000" w:rsidRDefault="00000000" w:rsidRPr="00000000" w14:paraId="0000084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Allegation of Having Been </w:t>
      </w:r>
    </w:p>
    <w:p w:rsidR="00000000" w:rsidDel="00000000" w:rsidP="00000000" w:rsidRDefault="00000000" w:rsidRPr="00000000" w14:paraId="0000084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"Sexually Abused" Also Insufficient</w:t>
      </w:r>
    </w:p>
    <w:p w:rsidR="00000000" w:rsidDel="00000000" w:rsidP="00000000" w:rsidRDefault="00000000" w:rsidRPr="00000000" w14:paraId="0000084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11. The strictness of the Supreme Court in passing upon the allegations in an information was once again demonstrated in </w:t>
      </w:r>
      <w:r w:rsidDel="00000000" w:rsidR="00000000" w:rsidRPr="00000000">
        <w:rPr>
          <w:rFonts w:ascii="Georgia" w:cs="Georgia" w:eastAsia="Georgia" w:hAnsi="Georgia"/>
          <w:i w:val="1"/>
          <w:iCs w:val="1"/>
          <w:rtl w:val="0"/>
        </w:rPr>
        <w:t xml:space="preserve">People v. Flores</w:t>
      </w:r>
      <w:r w:rsidDel="00000000" w:rsidR="00000000" w:rsidRPr="00000000">
        <w:rPr>
          <w:rFonts w:ascii="Georgia" w:cs="Georgia" w:eastAsia="Georgia" w:hAnsi="Georgia"/>
          <w:rtl w:val="0"/>
        </w:rPr>
        <w:t xml:space="preserve">. Here, the Information charged that the appellant had "sexually abused" the complainant. The Court said the allegation was insufficient because the "gravamen of the crime of rape is carnal knowledge or sexual intercourse," not mere sexual abuse. </w:t>
      </w:r>
    </w:p>
    <w:p w:rsidR="00000000" w:rsidDel="00000000" w:rsidP="00000000" w:rsidRDefault="00000000" w:rsidRPr="00000000" w14:paraId="00000843">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Meaning of "Mental Retardate"</w:t>
      </w:r>
    </w:p>
    <w:p w:rsidR="00000000" w:rsidDel="00000000" w:rsidP="00000000" w:rsidRDefault="00000000" w:rsidRPr="00000000" w14:paraId="0000084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12. Under the law, carnal knowledge of a "mental retardate" justifies the imposition of the death penalty. However, such mental condition of the offended party must be proven beyond reasonable doubt. The legal description of this condition was explained in </w:t>
      </w:r>
      <w:r w:rsidDel="00000000" w:rsidR="00000000" w:rsidRPr="00000000">
        <w:rPr>
          <w:rFonts w:ascii="Georgia" w:cs="Georgia" w:eastAsia="Georgia" w:hAnsi="Georgia"/>
          <w:i w:val="1"/>
          <w:iCs w:val="1"/>
          <w:rtl w:val="0"/>
        </w:rPr>
        <w:t xml:space="preserve">People v. Dalandas</w:t>
      </w:r>
      <w:r w:rsidDel="00000000" w:rsidR="00000000" w:rsidRPr="00000000">
        <w:rPr>
          <w:rFonts w:ascii="Georgia" w:cs="Georgia" w:eastAsia="Georgia" w:hAnsi="Georgia"/>
          <w:rtl w:val="0"/>
        </w:rPr>
        <w:t xml:space="preserve"> as follows:</w:t>
      </w:r>
    </w:p>
    <w:p w:rsidR="00000000" w:rsidDel="00000000" w:rsidP="00000000" w:rsidRDefault="00000000" w:rsidRPr="00000000" w14:paraId="0000084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“Mental retardation is a chronic condition present from birth or early childhood and characterized by impaired intellectual functioning measured by standardized tests. It manifests itself in impaired adaptation to the daily demands of the individual’s own social environment. Commonly, a mental retardate exhibits a slow rate of maturation, physical and/or psychological, as well as impaired learning capacity.</w:t>
      </w:r>
    </w:p>
    <w:p w:rsidR="00000000" w:rsidDel="00000000" w:rsidP="00000000" w:rsidRDefault="00000000" w:rsidRPr="00000000" w14:paraId="0000084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“Although ‘mental retardation’ is often used interchangeably with ‘mental deficiency,’ the latter term is usually reserved for those without recognizable brain pathology. The degrees of mental retardation according to their level of intellectual function are illustrated, thus:</w:t>
      </w:r>
    </w:p>
    <w:p w:rsidR="00000000" w:rsidDel="00000000" w:rsidP="00000000" w:rsidRDefault="00000000" w:rsidRPr="00000000" w14:paraId="00000847">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“Mental Retardation</w:t>
      </w:r>
    </w:p>
    <w:p w:rsidR="00000000" w:rsidDel="00000000" w:rsidP="00000000" w:rsidRDefault="00000000" w:rsidRPr="00000000" w14:paraId="00000848">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LEVEL</w:t>
        <w:tab/>
        <w:tab/>
        <w:t xml:space="preserve">DESCRIPTION</w:t>
        <w:tab/>
        <w:tab/>
        <w:t xml:space="preserve">INTELLIGENCE QUOTIENT</w:t>
      </w:r>
    </w:p>
    <w:p w:rsidR="00000000" w:rsidDel="00000000" w:rsidP="00000000" w:rsidRDefault="00000000" w:rsidRPr="00000000" w14:paraId="00000849">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ab/>
        <w:tab/>
        <w:t xml:space="preserve">                     TERM</w:t>
        <w:tab/>
        <w:tab/>
        <w:tab/>
        <w:t xml:space="preserve">               (IQ RANGE)</w:t>
      </w:r>
    </w:p>
    <w:p w:rsidR="00000000" w:rsidDel="00000000" w:rsidP="00000000" w:rsidRDefault="00000000" w:rsidRPr="00000000" w14:paraId="0000084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4B">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I</w:t>
        <w:tab/>
        <w:tab/>
        <w:t xml:space="preserve">Profound</w:t>
        <w:tab/>
        <w:tab/>
        <w:tab/>
        <w:tab/>
        <w:t xml:space="preserve">Below 20</w:t>
      </w:r>
    </w:p>
    <w:p w:rsidR="00000000" w:rsidDel="00000000" w:rsidP="00000000" w:rsidRDefault="00000000" w:rsidRPr="00000000" w14:paraId="0000084C">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II</w:t>
        <w:tab/>
        <w:tab/>
        <w:t xml:space="preserve">Severe</w:t>
        <w:tab/>
        <w:tab/>
        <w:tab/>
        <w:tab/>
        <w:tab/>
        <w:t xml:space="preserve">20-35</w:t>
      </w:r>
    </w:p>
    <w:p w:rsidR="00000000" w:rsidDel="00000000" w:rsidP="00000000" w:rsidRDefault="00000000" w:rsidRPr="00000000" w14:paraId="0000084D">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III</w:t>
        <w:tab/>
        <w:tab/>
        <w:t xml:space="preserve">Moderate</w:t>
        <w:tab/>
        <w:tab/>
        <w:tab/>
        <w:tab/>
        <w:t xml:space="preserve">36-52</w:t>
      </w:r>
    </w:p>
    <w:p w:rsidR="00000000" w:rsidDel="00000000" w:rsidP="00000000" w:rsidRDefault="00000000" w:rsidRPr="00000000" w14:paraId="0000084E">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IV</w:t>
        <w:tab/>
        <w:tab/>
        <w:t xml:space="preserve">Mild</w:t>
        <w:tab/>
        <w:tab/>
        <w:tab/>
        <w:tab/>
        <w:tab/>
        <w:t xml:space="preserve">53-68</w:t>
      </w:r>
    </w:p>
    <w:p w:rsidR="00000000" w:rsidDel="00000000" w:rsidP="00000000" w:rsidRDefault="00000000" w:rsidRPr="00000000" w14:paraId="0000084F">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      “A normal mind is one which in strength and capacity ranks reasonably well with the average of the great body of men and women who make up organized human society in general, and are by common consent recognized as sane and competent to perform the ordinary duties and assume the ordinary responsibilities of life. </w:t>
      </w:r>
    </w:p>
    <w:p w:rsidR="00000000" w:rsidDel="00000000" w:rsidP="00000000" w:rsidRDefault="00000000" w:rsidRPr="00000000" w14:paraId="0000085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traditional but now obsolescent terms applied to those degrees of mental retardation were (a) idiot, having an IQ of 0 to 19, and a maximum intellectual factor in adult life equivalent to that of the average two-year old child; (b) </w:t>
      </w:r>
      <w:r w:rsidDel="00000000" w:rsidR="00000000" w:rsidRPr="00000000">
        <w:rPr>
          <w:rFonts w:ascii="Georgia" w:cs="Georgia" w:eastAsia="Georgia" w:hAnsi="Georgia"/>
          <w:i w:val="1"/>
          <w:iCs w:val="1"/>
          <w:rtl w:val="0"/>
        </w:rPr>
        <w:t xml:space="preserve">imbecile</w:t>
      </w:r>
      <w:r w:rsidDel="00000000" w:rsidR="00000000" w:rsidRPr="00000000">
        <w:rPr>
          <w:rFonts w:ascii="Georgia" w:cs="Georgia" w:eastAsia="Georgia" w:hAnsi="Georgia"/>
          <w:rtl w:val="0"/>
        </w:rPr>
        <w:t xml:space="preserve"> by an IQ of 20 to 49 and a maximum intellectual function in adult life equivalent to that of the average seven-year old child; moron or feebleminded, having an IQ of 50 to 69 and a maximum intellectual function in adult life equivalent to that of the average twelve-year old child. Psychiatrists and psychologists apply the term 'borderline' intelligence to those with IQ between 70 to 89. In </w:t>
      </w:r>
      <w:r w:rsidDel="00000000" w:rsidR="00000000" w:rsidRPr="00000000">
        <w:rPr>
          <w:rFonts w:ascii="Georgia" w:cs="Georgia" w:eastAsia="Georgia" w:hAnsi="Georgia"/>
          <w:i w:val="1"/>
          <w:iCs w:val="1"/>
          <w:rtl w:val="0"/>
        </w:rPr>
        <w:t xml:space="preserve">People vs. Palma</w:t>
      </w:r>
      <w:r w:rsidDel="00000000" w:rsidR="00000000" w:rsidRPr="00000000">
        <w:rPr>
          <w:rFonts w:ascii="Georgia" w:cs="Georgia" w:eastAsia="Georgia" w:hAnsi="Georgia"/>
          <w:rtl w:val="0"/>
        </w:rPr>
        <w:t xml:space="preserve">, we ruled that a person is guilty of rape when he had sexual intercourse with a female who was suffering from a 'borderline mental deficiency.’ </w:t>
      </w:r>
    </w:p>
    <w:p w:rsidR="00000000" w:rsidDel="00000000" w:rsidP="00000000" w:rsidRDefault="00000000" w:rsidRPr="00000000" w14:paraId="0000085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mental retardation of persons and the degrees thereof may be manifested by their overt acts, appearance, attitude, and behavior. The dentition, manner of walking, ability to feed oneself or attend to personal hygiene, capacity to develop resistance or immunity to infection, dependency on others for protection and care and inability to achieve intelligible speech may be indicative of the degree of mental retardation of a person. Those suffering from severe mental retardation are usually undersized and exhibit some form of facial or body deformity such as mongolism, or gargolism. The size and shape of the head is indicative of microcephaly. The profoundly retarded may be unable to dress himself, or wash or attend to bowel and bladder functions so that his appearance may be very unclean and untidy unless they receive a great deal of nursing care. There may be marked disturbance of gait and involuntary movements. Attempts to converse with a mental retardate may be limited to a few unintelligible sounds, either spontaneous or in response to attempts that are made by the examiner to converse, or may be limited to a few simple words or phrases. All the foregoing may be testified on by ordinary witnesses who come in contact with an alleged mental retardate.”</w:t>
      </w:r>
    </w:p>
    <w:p w:rsidR="00000000" w:rsidDel="00000000" w:rsidP="00000000" w:rsidRDefault="00000000" w:rsidRPr="00000000" w14:paraId="00000852">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No Need to Specify</w:t>
      </w:r>
    </w:p>
    <w:p w:rsidR="00000000" w:rsidDel="00000000" w:rsidP="00000000" w:rsidRDefault="00000000" w:rsidRPr="00000000" w14:paraId="00000853">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Exact Amount of Drugs to Be Seized</w:t>
      </w:r>
    </w:p>
    <w:p w:rsidR="00000000" w:rsidDel="00000000" w:rsidP="00000000" w:rsidRDefault="00000000" w:rsidRPr="00000000" w14:paraId="00000854">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13. Under Section 2 of Article III of the Constitution search warrant must, among other things, "particularly describe the place to be searched and the persons or things describe the place to be seized.” This specificity of the description aims to avoid “search warrants of broad or general characterization or sweeping descriptions, which will authorize police officers to undertake a fishing expedition to seize and confiscate any and all kinds of evidence or articles relating to an offense.” In cases involving violations of the Dangerous Drugs Law, may a search warrant authorize the seizure of “an undetermined amount of marijuana?” Answering in the affirmative, the Court ruled in </w:t>
      </w:r>
      <w:r w:rsidDel="00000000" w:rsidR="00000000" w:rsidRPr="00000000">
        <w:rPr>
          <w:rFonts w:ascii="Georgia" w:cs="Georgia" w:eastAsia="Georgia" w:hAnsi="Georgia"/>
          <w:i w:val="1"/>
          <w:iCs w:val="1"/>
          <w:rtl w:val="0"/>
        </w:rPr>
        <w:t xml:space="preserve">People v. Tee.</w:t>
      </w:r>
    </w:p>
    <w:p w:rsidR="00000000" w:rsidDel="00000000" w:rsidP="00000000" w:rsidRDefault="00000000" w:rsidRPr="00000000" w14:paraId="0000085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it has been held that the term ‘narcotics paraphernalia’ is not so wanting in particularity as to create a general warrant. Nor is the description ‘any and all narcotics’ and ‘all implements, paraphernalia, articles, papers, and records pertaining to’ the use, possession, or sale of narcotics or dangerous drugs so broad as to be unconstitutional. A search warrant commanding peace officers to seize ‘a quantity of loose heroin’ has been held sufficiently particular.</w:t>
      </w:r>
    </w:p>
    <w:p w:rsidR="00000000" w:rsidDel="00000000" w:rsidP="00000000" w:rsidRDefault="00000000" w:rsidRPr="00000000" w14:paraId="0000085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"Tested against the foregoing precedents, the description 'an undetermined amount of marijuana must be held to satisfy the requirement for particularity in a search warrant. Noteworthy, what is to be seized in the instant case is property of a specified character, i.e., marijuana, an illicit drug. By reason of its character and the circumstances under which it would be found, said article is illegal. A further description would be unnecessary and ordinarily impossible, except as to such character, the place, and the circumstances. Thus, this Court has held that the description 'illegally in possession of undetermined quantity / amount of dried marijuana leaves and Methamphetamine Hydrochloride (Shabu) and sets of paraphernalia’ particularizes the things to be seized. </w:t>
      </w:r>
    </w:p>
    <w:p w:rsidR="00000000" w:rsidDel="00000000" w:rsidP="00000000" w:rsidRDefault="00000000" w:rsidRPr="00000000" w14:paraId="0000085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search warrant in the present case, given its nearly similar wording, 'undetermined amount of marijuana or Indian hemp, in our view, has satisfied the Constitution's requirements on particularity of description. The description therein is: (1) as specific as the circumstances will ordinarily allow; (2) expresses a conclusion of fact - not of law - by which the peace officers may be guided in making the search and seizure; and (3) limits the things to be seized to those which bear direct relation to the offense for which the warrant is being issued. Said warrant imposes a meaningful restriction upon the objects to be seized by the officers serving the warrant. Thus, it prevents exploratory searches, which might be violative of the Bill of Rights."</w:t>
      </w:r>
    </w:p>
    <w:p w:rsidR="00000000" w:rsidDel="00000000" w:rsidP="00000000" w:rsidRDefault="00000000" w:rsidRPr="00000000" w14:paraId="00000858">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Waiver of Presentation </w:t>
      </w:r>
    </w:p>
    <w:p w:rsidR="00000000" w:rsidDel="00000000" w:rsidP="00000000" w:rsidRDefault="00000000" w:rsidRPr="00000000" w14:paraId="0000085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of Defense Evidence</w:t>
      </w:r>
    </w:p>
    <w:p w:rsidR="00000000" w:rsidDel="00000000" w:rsidP="00000000" w:rsidRDefault="00000000" w:rsidRPr="00000000" w14:paraId="0000085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14. The Court has been quite strict in reviewing death cases in which the accused pleads guilty. In my previous books, I discussed the stringent process required of trial courts before the accused may be convicted and sentenced to death based on a plea of guilt. Recently, in </w:t>
      </w:r>
      <w:r w:rsidDel="00000000" w:rsidR="00000000" w:rsidRPr="00000000">
        <w:rPr>
          <w:rFonts w:ascii="Georgia" w:cs="Georgia" w:eastAsia="Georgia" w:hAnsi="Georgia"/>
          <w:i w:val="1"/>
          <w:iCs w:val="1"/>
          <w:rtl w:val="0"/>
        </w:rPr>
        <w:t xml:space="preserve">People v. Bodoso</w:t>
      </w:r>
      <w:r w:rsidDel="00000000" w:rsidR="00000000" w:rsidRPr="00000000">
        <w:rPr>
          <w:rFonts w:ascii="Georgia" w:cs="Georgia" w:eastAsia="Georgia" w:hAnsi="Georgia"/>
          <w:rtl w:val="0"/>
        </w:rPr>
        <w:t xml:space="preserve">, the Court said that the same strictness should be observed when the accused waives the right to present evidence. Because this right is inherent in due process, the trial judge is mandated to ascertain that the waiver was done "voluntarily, intelligently and with sufficient awareness of its relevant circumstances and likely consequences." Explained the Court:</w:t>
      </w:r>
    </w:p>
    <w:p w:rsidR="00000000" w:rsidDel="00000000" w:rsidP="00000000" w:rsidRDefault="00000000" w:rsidRPr="00000000" w14:paraId="0000085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"Henceforth, to protect the constitutional right to due process of every accused in a capital offense and to avoid any confusion about the proper steps to be taken when trial court comes face to face with an accused or his counsel who wants to waive his client's right to present evidence and be heard, it shall be the unequivocal duty of the trial court to observe, as a prerequisite to the validity of such waiver, a procedure akin to a ‘searching inquiry’ as specified in People v. Aranzado when an accused pleads guilty, particularly -</w:t>
      </w:r>
    </w:p>
    <w:p w:rsidR="00000000" w:rsidDel="00000000" w:rsidP="00000000" w:rsidRDefault="00000000" w:rsidRPr="00000000" w14:paraId="0000085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trial court shall hear both the prosecution and the accused with their respective counsel on the desire or manifestation of the accused to waive the right to present evidence and be heard.</w:t>
      </w:r>
    </w:p>
    <w:p w:rsidR="00000000" w:rsidDel="00000000" w:rsidP="00000000" w:rsidRDefault="00000000" w:rsidRPr="00000000" w14:paraId="0000085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trial court shall ensure the attendance of the prosecution and especially the accused with their respective counsel in the hearing which must be recorded. Their presence must be duly entered in the minutes of the proceedings.</w:t>
      </w:r>
    </w:p>
    <w:p w:rsidR="00000000" w:rsidDel="00000000" w:rsidP="00000000" w:rsidRDefault="00000000" w:rsidRPr="00000000" w14:paraId="0000085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During the hearing, it shall be the task of the trial court to </w:t>
      </w:r>
    </w:p>
    <w:p w:rsidR="00000000" w:rsidDel="00000000" w:rsidP="00000000" w:rsidRDefault="00000000" w:rsidRPr="00000000" w14:paraId="0000085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ask the defense counsel a series of questions to determine whether he had conferred with and completely explained to the accused that he had the right to present evidence and be heard as well as its meaning and consequences, together with the significance and outcome of the waiver of such right. If the lawyer for the accused has not done so, the trial court shall give the latter enough time to fulfill this professional obligation. face </w:t>
      </w:r>
    </w:p>
    <w:p w:rsidR="00000000" w:rsidDel="00000000" w:rsidP="00000000" w:rsidRDefault="00000000" w:rsidRPr="00000000" w14:paraId="0000086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inquire from the defense counsel with conformity of the accused whether he wants to present evidence or submit a memorandum elucidating on the contradictions and insufficiency of the prosecution evidence, if any, or in default thereof, file a demurrer to evidence with prior leave of court, if he so believes that the prosecution evidence is so weak that it need not even be rebutted. If there is a desire to do so, the trial court shall give the defense enough time for this purpose.</w:t>
      </w:r>
    </w:p>
    <w:p w:rsidR="00000000" w:rsidDel="00000000" w:rsidP="00000000" w:rsidRDefault="00000000" w:rsidRPr="00000000" w14:paraId="0000086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elicit information about the personality profile of the accused, such as his age, socioeconomic status, and educational background, which may serve as a trustworthy index of his capacity to give a free and informed waiver. </w:t>
      </w:r>
    </w:p>
    <w:p w:rsidR="00000000" w:rsidDel="00000000" w:rsidP="00000000" w:rsidRDefault="00000000" w:rsidRPr="00000000" w14:paraId="0000086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all questions posed to the accused should be in a language known and understood by the latter, hence, the record must state the language used for this purpose as well as reflect the corresponding translation thereof in English.</w:t>
      </w:r>
    </w:p>
    <w:p w:rsidR="00000000" w:rsidDel="00000000" w:rsidP="00000000" w:rsidRDefault="00000000" w:rsidRPr="00000000" w14:paraId="0000086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passing, trial courts may also abide by the forego procedure even when the waiver of the right to be present and be heard is made in criminal cases involving non-capital offenses. After all, in whatever action or forum the accused is situated, the waiver that he makes if it is to be binding and effective must still be exhibited in the case records to have been validly undertaken, that is, it was done voluntarily, knowingly and intelligently with sufficient awareness of the relevant circumstances and likely consequences. As a matter of good court practice, the trial court would have to rely upon the most convenient, if not primary, evidence of the validity of the waiver which would amount to the same thing as showing its adherence to the step-by-step process outlined above.</w:t>
      </w:r>
    </w:p>
    <w:p w:rsidR="00000000" w:rsidDel="00000000" w:rsidP="00000000" w:rsidRDefault="00000000" w:rsidRPr="00000000" w14:paraId="0000086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"Clearly, the rationale behind the foregoing requirements is that courts must proceed with more care where the possible punishment is in its severest form, namely death, for the reason that the execution of such a sentence irrevocable and experience has shown that innocent persons have at times thrown caution to the wind and given up defending themselves out of ignorance or desperation." Moreover, the necessity of taking further evidence would aid this Court in determining on appellate review the propriety or impropriety of the waiver. </w:t>
      </w:r>
    </w:p>
    <w:p w:rsidR="00000000" w:rsidDel="00000000" w:rsidP="00000000" w:rsidRDefault="00000000" w:rsidRPr="00000000" w14:paraId="0000086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in the case of an improvident plea of guilty, an invalid waiver of the right to present evidence and be heard per se does not work to vacate a finding of guilt in the criminal case and enforce an automatic remand thereof to the trial court. In </w:t>
      </w:r>
      <w:r w:rsidDel="00000000" w:rsidR="00000000" w:rsidRPr="00000000">
        <w:rPr>
          <w:rFonts w:ascii="Georgia" w:cs="Georgia" w:eastAsia="Georgia" w:hAnsi="Georgia"/>
          <w:i w:val="1"/>
          <w:iCs w:val="1"/>
          <w:rtl w:val="0"/>
        </w:rPr>
        <w:t xml:space="preserve">People v. Molina</w:t>
      </w:r>
      <w:r w:rsidDel="00000000" w:rsidR="00000000" w:rsidRPr="00000000">
        <w:rPr>
          <w:rFonts w:ascii="Georgia" w:cs="Georgia" w:eastAsia="Georgia" w:hAnsi="Georgia"/>
          <w:rtl w:val="0"/>
        </w:rPr>
        <w:t xml:space="preserve">, to warrant the remand of the case it must also be proved that as a result of such irregularity there was inadequate representation of facts by either the prosecution or the defense during the trial -</w:t>
      </w:r>
    </w:p>
    <w:p w:rsidR="00000000" w:rsidDel="00000000" w:rsidP="00000000" w:rsidRDefault="00000000" w:rsidRPr="00000000" w14:paraId="0000086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People v. Abapo </w:t>
      </w:r>
      <w:r w:rsidDel="00000000" w:rsidR="00000000" w:rsidRPr="00000000">
        <w:rPr>
          <w:rFonts w:ascii="Georgia" w:cs="Georgia" w:eastAsia="Georgia" w:hAnsi="Georgia"/>
          <w:rtl w:val="0"/>
        </w:rPr>
        <w:t xml:space="preserve">we found that undue reliance upon na invalid plea of guilty prevented the prosecution from fully presenting its evidence, and thus remanded the criminal case for further proceedings. Similarly in </w:t>
      </w:r>
      <w:r w:rsidDel="00000000" w:rsidR="00000000" w:rsidRPr="00000000">
        <w:rPr>
          <w:rFonts w:ascii="Georgia" w:cs="Georgia" w:eastAsia="Georgia" w:hAnsi="Georgia"/>
          <w:i w:val="1"/>
          <w:iCs w:val="1"/>
          <w:rtl w:val="0"/>
        </w:rPr>
        <w:t xml:space="preserve">People v. Durango</w:t>
      </w:r>
      <w:r w:rsidDel="00000000" w:rsidR="00000000" w:rsidRPr="00000000">
        <w:rPr>
          <w:rFonts w:ascii="Georgia" w:cs="Georgia" w:eastAsia="Georgia" w:hAnsi="Georgia"/>
          <w:rtl w:val="0"/>
        </w:rPr>
        <w:t xml:space="preserve"> where an improvident plea of guilty was followed by an abbreviated proceeding with practically no role at all being played by the defense, we ruled that this procedure was just too meager to accept as being the standard constitutional due process at work enough to forfeit a human life and so threw back the criminal case to the trial court for appropriate action. Verily the relevant matter that justifies the remand of the criminal case to the trial court is the procedural unfairness or complete miscarriage of justice in the handling of the proceedings a quo occasioned by x x x the 'attendant circumstances'</w:t>
      </w:r>
    </w:p>
    <w:p w:rsidR="00000000" w:rsidDel="00000000" w:rsidP="00000000" w:rsidRDefault="00000000" w:rsidRPr="00000000" w14:paraId="0000086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"Conversely, where facts are adequately represented in the criminal case and no procedural unfairness or irregularity has prejudiced either the prosecution or the defense as a result of the invalid waiver, the rule is that the guilty verdict may nevertheless be upheld where the judgment is supported beyond reasonable doubt by the evidence on record. Verily, in such a case, it would be a useless ritual to return the case to the trial court for further proceedings."</w:t>
      </w:r>
    </w:p>
    <w:p w:rsidR="00000000" w:rsidDel="00000000" w:rsidP="00000000" w:rsidRDefault="00000000" w:rsidRPr="00000000" w14:paraId="00000868">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Conspiracy in Kidnapping </w:t>
      </w:r>
    </w:p>
    <w:p w:rsidR="00000000" w:rsidDel="00000000" w:rsidP="00000000" w:rsidRDefault="00000000" w:rsidRPr="00000000" w14:paraId="0000086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Ransom Explained and Applied</w:t>
      </w:r>
    </w:p>
    <w:p w:rsidR="00000000" w:rsidDel="00000000" w:rsidP="00000000" w:rsidRDefault="00000000" w:rsidRPr="00000000" w14:paraId="0000086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15. Basic in criminal law is the rule that when conspiracy is proven, the act of one becomes the act of all. There is conspiracy when two or more persons agree to commit a felony and decide to commit it. It may be proven directly or through circumstantial evidence. It may be inferred from the conduct of the accused showing that they acted with a common purpose or design. To be guilty as a co-principal by reason of conspiracy, the accused must be shown to have performed an overt act in pursuance or in furtherance of the complicity.</w:t>
      </w:r>
    </w:p>
    <w:p w:rsidR="00000000" w:rsidDel="00000000" w:rsidP="00000000" w:rsidRDefault="00000000" w:rsidRPr="00000000" w14:paraId="0000086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People v. Pagalasan</w:t>
      </w:r>
      <w:r w:rsidDel="00000000" w:rsidR="00000000" w:rsidRPr="00000000">
        <w:rPr>
          <w:rFonts w:ascii="Georgia" w:cs="Georgia" w:eastAsia="Georgia" w:hAnsi="Georgia"/>
          <w:rtl w:val="0"/>
        </w:rPr>
        <w:t xml:space="preserve">, the appellant claimed that although his two co-accused were held guilty of kidnapping for ransom, the death penalty could not be meted out to him, because the prosecution failed to prove that he had conspired with them in demanding ransom. Agreeing with him, the Court said that the mere act of kidnapping "does not give rise to the presumption that the purpose xxx [was to extort ransom x x x. </w:t>
      </w:r>
    </w:p>
    <w:p w:rsidR="00000000" w:rsidDel="00000000" w:rsidP="00000000" w:rsidRDefault="00000000" w:rsidRPr="00000000" w14:paraId="0000086C">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"Violation of Constitutional Standards </w:t>
      </w:r>
    </w:p>
    <w:p w:rsidR="00000000" w:rsidDel="00000000" w:rsidP="00000000" w:rsidRDefault="00000000" w:rsidRPr="00000000" w14:paraId="0000086D">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the Form and Substance of a Decision</w:t>
      </w:r>
    </w:p>
    <w:p w:rsidR="00000000" w:rsidDel="00000000" w:rsidP="00000000" w:rsidRDefault="00000000" w:rsidRPr="00000000" w14:paraId="0000086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16.    Under Section 14 of Article VIII of the Constitution, "[n]o decision shall be rendered by any court without expressing therein clearly and distinctly the facts and the law on which it is based." This is buttressed by Section 1of Rule 120 of the Rules of Court, which states:</w:t>
      </w:r>
    </w:p>
    <w:p w:rsidR="00000000" w:rsidDel="00000000" w:rsidP="00000000" w:rsidRDefault="00000000" w:rsidRPr="00000000" w14:paraId="0000086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1. Judgment; definition and form: - Judgment is the adjudication by the court that the accused is guilty or not guilty of the offense charged and the imposition on him of the proper penalty and civil liability, if any. It must be written in the official language, personally and directly prepared by the judge and signed by him and shall contain clearly and distinctly a statement of the facts and the law upon which it is based."</w:t>
      </w:r>
    </w:p>
    <w:p w:rsidR="00000000" w:rsidDel="00000000" w:rsidP="00000000" w:rsidRDefault="00000000" w:rsidRPr="00000000" w14:paraId="0000087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People v. Ferrer</w:t>
      </w:r>
      <w:r w:rsidDel="00000000" w:rsidR="00000000" w:rsidRPr="00000000">
        <w:rPr>
          <w:rFonts w:ascii="Georgia" w:cs="Georgia" w:eastAsia="Georgia" w:hAnsi="Georgia"/>
          <w:rtl w:val="0"/>
        </w:rPr>
        <w:t xml:space="preserve">," the Court had occasion once more to apply this important constitutional provision. Here it quoted in full the five-page Decision rendered by the trial court" as follows: </w:t>
      </w:r>
    </w:p>
    <w:p w:rsidR="00000000" w:rsidDel="00000000" w:rsidP="00000000" w:rsidRDefault="00000000" w:rsidRPr="00000000" w14:paraId="0000087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"Accused Jerry Ferrer is charged [with] the commission of the crime of Rape committed as follows:</w:t>
      </w:r>
    </w:p>
    <w:p w:rsidR="00000000" w:rsidDel="00000000" w:rsidP="00000000" w:rsidRDefault="00000000" w:rsidRPr="00000000" w14:paraId="0000087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[Information is quoted] x x x</w:t>
      </w:r>
    </w:p>
    <w:p w:rsidR="00000000" w:rsidDel="00000000" w:rsidP="00000000" w:rsidRDefault="00000000" w:rsidRPr="00000000" w14:paraId="0000087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arraignment, the accused, assisted by his counsel, pleaded not guilty.</w:t>
      </w:r>
    </w:p>
    <w:p w:rsidR="00000000" w:rsidDel="00000000" w:rsidP="00000000" w:rsidRDefault="00000000" w:rsidRPr="00000000" w14:paraId="0000087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trial after the termination of the pre-trial, the prosecution presented both testimonial and documentary evidences consisting of the testimonies of Mrs. Glorieta Tugade, Mary Grace Belonio, Felipa Belonio and Dr. Benjamin Bajarla as well as Exhibits 'A' (Certificate of Live Birth of the victim; 'B' (Baptismal Certificate); 'C' (Medical Certificate showing laceration of hymen; 'D' (Microbiological result of such examination; and 'E' (Sketch of the Female External Genitalia).</w:t>
      </w:r>
    </w:p>
    <w:p w:rsidR="00000000" w:rsidDel="00000000" w:rsidP="00000000" w:rsidRDefault="00000000" w:rsidRPr="00000000" w14:paraId="0000087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"Trial was conducted in absentia in view of the escape from confinement of the accused.</w:t>
      </w:r>
    </w:p>
    <w:p w:rsidR="00000000" w:rsidDel="00000000" w:rsidP="00000000" w:rsidRDefault="00000000" w:rsidRPr="00000000" w14:paraId="0000087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the evidence, it appears that Mary Grace Belonio was born on July 6, 1984, at Banisilan, North Cotabato. Her father is Felix Belonio while her mother is Felipa Pataksil Belonio. Said spouses were lawfully married to each other in 1978 and out of such union, four (4) children were born one of whom is Mary Grace (the victim in this case). The couple were however separated and when Mary Grace was barely one (1) year and six (6) months old, Felipa started living as a common law wife of the accused Jerry Ferrer together with Mary Grace and her other children in one house at Mother Catutungan, Wao, Lanao del Sur. Felipa was a 'sari-sari' item vendor and normally left home as early as 3:00 o'clock in the morning for said business and return[ed] home at 7:00 o'clock in the evening. Jerry Ferrer (common law husband) is a blacksmith and stay[s] home with the child victim Mary Grace.</w:t>
      </w:r>
    </w:p>
    <w:p w:rsidR="00000000" w:rsidDel="00000000" w:rsidP="00000000" w:rsidRDefault="00000000" w:rsidRPr="00000000" w14:paraId="0000087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October of 1995 while the mother (Felipa) was away attending to her business, the accused Jerry started his criminal design to have carnal knowledge by committing rape on Mary Grace. It was Monday afternoon at 2:00 o'clock in October 1995 that Jerry called his step-daughter Mary Grace [to] go upstairs of their house at Catutungan, Wao, Lanao del Sur. With the use of his scythe in intimidating the girl, Jerry started touching the girl who was resisting but was no match to the strength of her step-father who was at the same time placing his scythe at the neck of the girl to prevent resistance. The accused undressed the girl by pulling the latter's short pant[s] down and her panty. The accused pushed the girl to lie down. The accused then pulled down his short pant|s] and took out his penis into the girl's vagina. The girl felt the pain that day. On Friday of the same week in the evening while his common law wife Felipa (mother of the victim) was away, the accused succeeded in consummating the crime of rape upon Mary Grace. The accused repeatedly did the sexual assault upon Mary Grace until in 1997, the victim got the courage to reveal the said rape to her mother that resulted in the filing of this case. The Medical Certificate issued by Dr. Benjamin Bajarla following [the] medical and physical examination on the victim on December 17, 1977 showed laceration of the girl's hymen at 3:00 o'clock, 6 o'clock and 9 o'clock positions.</w:t>
      </w:r>
    </w:p>
    <w:p w:rsidR="00000000" w:rsidDel="00000000" w:rsidP="00000000" w:rsidRDefault="00000000" w:rsidRPr="00000000" w14:paraId="0000087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further appears from the evidence that Mary Grace was born on July 6, 1984 and [that] the crime of rape was committed upon her by the accused in 1995 and [the] subsequent year. The victim was therefore 11 years old at the time of the commission of rape upon her.</w:t>
      </w:r>
    </w:p>
    <w:p w:rsidR="00000000" w:rsidDel="00000000" w:rsidP="00000000" w:rsidRDefault="00000000" w:rsidRPr="00000000" w14:paraId="0000087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Court was constrained to decide this case after trial in absentia for the reason of the accused escaping from imprisonment after arraignment. From all the foregoing evidences, the prosecution proved the guilt of the accused beyond reasonable doubt.</w:t>
      </w:r>
    </w:p>
    <w:p w:rsidR="00000000" w:rsidDel="00000000" w:rsidP="00000000" w:rsidRDefault="00000000" w:rsidRPr="00000000" w14:paraId="0000087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"WHEREFORE, judgment is hereby rendered:</w:t>
      </w:r>
    </w:p>
    <w:p w:rsidR="00000000" w:rsidDel="00000000" w:rsidP="00000000" w:rsidRDefault="00000000" w:rsidRPr="00000000" w14:paraId="0000087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Convicting the accused JERRY FERRER of the crime of Rape committed upon the person of his stepdaughter Mary Grace Belonio who was only 11 years old at the time of the commission of said crime.</w:t>
      </w:r>
    </w:p>
    <w:p w:rsidR="00000000" w:rsidDel="00000000" w:rsidP="00000000" w:rsidRDefault="00000000" w:rsidRPr="00000000" w14:paraId="0000087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Sentencing the said accused JERRY FERRER of the supreme penalty of death under Art. 335 of the Revised Penal Code. </w:t>
      </w:r>
    </w:p>
    <w:p w:rsidR="00000000" w:rsidDel="00000000" w:rsidP="00000000" w:rsidRDefault="00000000" w:rsidRPr="00000000" w14:paraId="0000087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Ordering the accused JERRY FERRER to pay to the victim the sum of One hundred thousand (P100,000) Pesos in moral damages; and the further sum of Thirty thousand (P30,000) Pesos as Attorney's fee and the costs."</w:t>
      </w:r>
    </w:p>
    <w:p w:rsidR="00000000" w:rsidDel="00000000" w:rsidP="00000000" w:rsidRDefault="00000000" w:rsidRPr="00000000" w14:paraId="0000087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ruled that, based on </w:t>
      </w:r>
      <w:r w:rsidDel="00000000" w:rsidR="00000000" w:rsidRPr="00000000">
        <w:rPr>
          <w:rFonts w:ascii="Georgia" w:cs="Georgia" w:eastAsia="Georgia" w:hAnsi="Georgia"/>
          <w:i w:val="1"/>
          <w:iCs w:val="1"/>
          <w:rtl w:val="0"/>
        </w:rPr>
        <w:t xml:space="preserve">res ipsa loquitur</w:t>
      </w:r>
      <w:r w:rsidDel="00000000" w:rsidR="00000000" w:rsidRPr="00000000">
        <w:rPr>
          <w:rFonts w:ascii="Georgia" w:cs="Georgia" w:eastAsia="Georgia" w:hAnsi="Georgia"/>
          <w:rtl w:val="0"/>
        </w:rPr>
        <w:t xml:space="preserve">, the RTC Decision had not measured up to the standards set by law. "Its inadequacy speaks for itself." Other than the narration of the prosecution evidence, nothing supported the Decision. First, there was no evaluation of the evidence; second, no reason was given for the conclusion that the evidence had proved the guilt of the accused beyond reasonable doubt; third, the Decision was "brief, starkly h[o]llow, vacuous in its contents and trite in its form. It achieved nothing and attempted x x x-nothing." </w:t>
      </w:r>
    </w:p>
    <w:p w:rsidR="00000000" w:rsidDel="00000000" w:rsidP="00000000" w:rsidRDefault="00000000" w:rsidRPr="00000000" w14:paraId="0000087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the Court voided the RTC Decision and remanded the case "for further proceedings and proper rendition of judgment," pursuant to constitutional standards.</w:t>
      </w:r>
    </w:p>
    <w:p w:rsidR="00000000" w:rsidDel="00000000" w:rsidP="00000000" w:rsidRDefault="00000000" w:rsidRPr="00000000" w14:paraId="0000088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Moral Ascendancy in Incestuous Rape </w:t>
      </w:r>
    </w:p>
    <w:p w:rsidR="00000000" w:rsidDel="00000000" w:rsidP="00000000" w:rsidRDefault="00000000" w:rsidRPr="00000000" w14:paraId="0000088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17. Under Article 266-A of the Revised Penal Code, rape is committed, </w:t>
      </w:r>
      <w:r w:rsidDel="00000000" w:rsidR="00000000" w:rsidRPr="00000000">
        <w:rPr>
          <w:rFonts w:ascii="Georgia" w:cs="Georgia" w:eastAsia="Georgia" w:hAnsi="Georgia"/>
          <w:i w:val="1"/>
          <w:iCs w:val="1"/>
          <w:rtl w:val="0"/>
        </w:rPr>
        <w:t xml:space="preserve">inter alia</w:t>
      </w:r>
      <w:r w:rsidDel="00000000" w:rsidR="00000000" w:rsidRPr="00000000">
        <w:rPr>
          <w:rFonts w:ascii="Georgia" w:cs="Georgia" w:eastAsia="Georgia" w:hAnsi="Georgia"/>
          <w:rtl w:val="0"/>
        </w:rPr>
        <w:t xml:space="preserve">, by a "man who shall have carnal knowledge of a woman x x x through force, threat or intimidation." When the victim is over 12 years of age and the accused is her father, may his "moral ascendancy and influence" over her be used as a substitute for "force, threat or intimidation"?</w:t>
      </w:r>
    </w:p>
    <w:p w:rsidR="00000000" w:rsidDel="00000000" w:rsidP="00000000" w:rsidRDefault="00000000" w:rsidRPr="00000000" w14:paraId="0000088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People v. Servano</w:t>
      </w:r>
      <w:r w:rsidDel="00000000" w:rsidR="00000000" w:rsidRPr="00000000">
        <w:rPr>
          <w:rFonts w:ascii="Georgia" w:cs="Georgia" w:eastAsia="Georgia" w:hAnsi="Georgia"/>
          <w:rtl w:val="0"/>
        </w:rPr>
        <w:t xml:space="preserve">, this question was answered in the affirmative. The Court explained that under the circumstances of this case, "appellant's commanding presence and bullying behavior were too intimidating for a child like [complainant] to resist. Undoubtedly, complainant's tender age and appellant's custodial control and domination over her rendered complainant subservient to her father's lechery. Indeed, it is difficult to believe that, given a choice, a daughter will willingly submit to the sexual perversity of her father. x x x. This fear was enough for complainant to believe that, if she did not yield to the bestial demands of her father, something would happen to her at that moment or thereafter. She did not have to be intimidated by so many words and actions right at that moment in order to make her submit to his sexual desires xxx." </w:t>
      </w:r>
    </w:p>
    <w:p w:rsidR="00000000" w:rsidDel="00000000" w:rsidP="00000000" w:rsidRDefault="00000000" w:rsidRPr="00000000" w14:paraId="0000088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"Granted that the prosecution failed to prove that appellant employed force and intimidation upon his daughter, appellant's conviction by the trial court for the crime of rape is nevertheless affirmable. We have to bear in mind that, in incest rape, the minor victim is at a just disadvantage because the assailant, by his overpowering and overbearing moral influence, can easily consummate his bestial lust with impunity. As a consequence, proof of force and violence is unnecessary, unlike where the accused is not an ascendant or blood relative of the victim."</w:t>
      </w:r>
    </w:p>
    <w:p w:rsidR="00000000" w:rsidDel="00000000" w:rsidP="00000000" w:rsidRDefault="00000000" w:rsidRPr="00000000" w14:paraId="0000088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Jose C. Vitug dissented, arguing that "mere relationship of a father to his minor daughter is not enough to conclude the existence of 'force, threat or intimidation.'" Even in earlier cases in which the Court relied on moral ascendancy, "the records have not been totally bereft of evidence of force, violence or intimidation exerted by the accused. x x x. Moral ascendancy, at best, merely reduces the degree or extent of proof ordinarily constitutive of actual force, threat or intimidation," he added. </w:t>
      </w:r>
    </w:p>
    <w:p w:rsidR="00000000" w:rsidDel="00000000" w:rsidP="00000000" w:rsidRDefault="00000000" w:rsidRPr="00000000" w14:paraId="00000885">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Searching Inquiry When the Accused </w:t>
      </w:r>
    </w:p>
    <w:p w:rsidR="00000000" w:rsidDel="00000000" w:rsidP="00000000" w:rsidRDefault="00000000" w:rsidRPr="00000000" w14:paraId="00000886">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Enters a Plea of Guilty </w:t>
      </w:r>
    </w:p>
    <w:p w:rsidR="00000000" w:rsidDel="00000000" w:rsidP="00000000" w:rsidRDefault="00000000" w:rsidRPr="00000000" w14:paraId="0000088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18. When the accused enters a plea of guilty to a capital offense, the Rules of Court require the trial court to "conduct a searching inquiry into the voluntariness and full comprehension of the consequences of his plea x x x." In many cases, the Supreme Court has faulted judges for their failure to implement this mandate fully. Thus, in </w:t>
      </w:r>
      <w:r w:rsidDel="00000000" w:rsidR="00000000" w:rsidRPr="00000000">
        <w:rPr>
          <w:rFonts w:ascii="Georgia" w:cs="Georgia" w:eastAsia="Georgia" w:hAnsi="Georgia"/>
          <w:i w:val="1"/>
          <w:iCs w:val="1"/>
          <w:rtl w:val="0"/>
        </w:rPr>
        <w:t xml:space="preserve">People v. Eras</w:t>
      </w:r>
      <w:r w:rsidDel="00000000" w:rsidR="00000000" w:rsidRPr="00000000">
        <w:rPr>
          <w:rFonts w:ascii="Georgia" w:cs="Georgia" w:eastAsia="Georgia" w:hAnsi="Georgia"/>
          <w:rtl w:val="0"/>
        </w:rPr>
        <w:t xml:space="preserve">, the guidelines that should be observed in conducting this inquiry were collated by the Court, citing People v. Pastor as follows:</w:t>
      </w:r>
    </w:p>
    <w:p w:rsidR="00000000" w:rsidDel="00000000" w:rsidP="00000000" w:rsidRDefault="00000000" w:rsidRPr="00000000" w14:paraId="0000088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Ascertain from the accused himself (a) how he was brought into the custody of the law; (b) whether he had the assistance of a competent counsel during the custodial and preliminary investigations; and (c) under what conditions he was detained and interrogated during the investigations. This is intended to rule out the possibility that the accused has been coerced or placed under a state of duress either by actual threats of physical harm coming from malevolent quarters? or simply because of the judge's intimidating robes.</w:t>
      </w:r>
    </w:p>
    <w:p w:rsidR="00000000" w:rsidDel="00000000" w:rsidP="00000000" w:rsidRDefault="00000000" w:rsidRPr="00000000" w14:paraId="0000088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Ask the defense counsel a series of questions as to whether he had conferred with, and completely explained to, the accused the meaning and consequences of a plea of guilty.</w:t>
      </w:r>
    </w:p>
    <w:p w:rsidR="00000000" w:rsidDel="00000000" w:rsidP="00000000" w:rsidRDefault="00000000" w:rsidRPr="00000000" w14:paraId="0000088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Elicit information about the personality profile of the accused, such as his age, socioeconomic status, and educational background, which may serve as a trustworthy index of his capacity to give a free and informed plea of guilty.</w:t>
      </w:r>
    </w:p>
    <w:p w:rsidR="00000000" w:rsidDel="00000000" w:rsidP="00000000" w:rsidRDefault="00000000" w:rsidRPr="00000000" w14:paraId="0000088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Inform the accused of the exact length of imprisonment or nature of the penalty under the law and the certainty that he will serve such a sentence. For not infrequently, an accused pleads guilty in the hope of a lenient treatment or upon bad advice or because of promises of the authorities or parties of a lighter penalty should he admit guilt or express remorse. It is the duty of the judge to ensure that the accused does not labor under these mistaken impressions because a plea of guilty carries with it not only the admission of authorship of the crime proper but also of the aggravating circumstances attending it, that increase punishment. </w:t>
      </w:r>
    </w:p>
    <w:p w:rsidR="00000000" w:rsidDel="00000000" w:rsidP="00000000" w:rsidRDefault="00000000" w:rsidRPr="00000000" w14:paraId="0000088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Inquire if the accused knows the crime with which he is charged and fully explain to him the elements of the crime which is the basis of his indictment. Failure of the court to do so would constitute a violation of his fundamental right to be informed of the precise nature of the accusation against him and a denial of his right to due process.</w:t>
      </w:r>
    </w:p>
    <w:p w:rsidR="00000000" w:rsidDel="00000000" w:rsidP="00000000" w:rsidRDefault="00000000" w:rsidRPr="00000000" w14:paraId="0000088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All questions posed to the accused should be in a language known and understood by the latter. </w:t>
      </w:r>
    </w:p>
    <w:p w:rsidR="00000000" w:rsidDel="00000000" w:rsidP="00000000" w:rsidRDefault="00000000" w:rsidRPr="00000000" w14:paraId="0000088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The trial judge must satisfy himself that the accused, in pleading guilty, is truly guilty. The accused must be required to narrate the tragedy or reenact the crime or furnish its missing details.</w:t>
      </w:r>
    </w:p>
    <w:p w:rsidR="00000000" w:rsidDel="00000000" w:rsidP="00000000" w:rsidRDefault="00000000" w:rsidRPr="00000000" w14:paraId="0000088F">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Indemnities and Damages</w:t>
      </w:r>
    </w:p>
    <w:p w:rsidR="00000000" w:rsidDel="00000000" w:rsidP="00000000" w:rsidRDefault="00000000" w:rsidRPr="00000000" w14:paraId="0000089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19. In its automatic review of death cases, the Supreme Court has developed a pattern of jurisprudence involving the award of indemnities and damages, especially in rape, murder and homicide. </w:t>
      </w:r>
    </w:p>
    <w:p w:rsidR="00000000" w:rsidDel="00000000" w:rsidP="00000000" w:rsidRDefault="00000000" w:rsidRPr="00000000" w14:paraId="0000089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rape cases, when the death penalty imposed by the trial court is affirmed by the Supreme Court, the victim is automatically granted the following, without need of proof other than the fact of rape: civil indemnity of ₽75,000 plus moral damages of ₽75,000 and exemplary damages usually of ₽25,000. When, for one reason or another, the penalty is reduced from death to imprisonment, the awards are a little less, as follows: indemnity of P50,000, moral damages of both cases, temperate damages of ₽25,000 is to be awarded P50,000 also and exemplary damages usually of P25,000. In both cases, temperate damages of P25,000 is to be awarded when the court finds some basis for actual damages, but the exact amount is either not proven at all, or the proven amout is less than such sum. However, when rape is committed by sexual assault, under the new law the civil indemnity is only P30,000; moral damages, P30,000; and the exemplary damages will be dependent on the attendance of aggravating circumstances.</w:t>
      </w:r>
    </w:p>
    <w:p w:rsidR="00000000" w:rsidDel="00000000" w:rsidP="00000000" w:rsidRDefault="00000000" w:rsidRPr="00000000" w14:paraId="0000089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b w:val="1"/>
          <w:bCs w:val="1"/>
          <w:rtl w:val="0"/>
        </w:rPr>
        <w:t xml:space="preserve">rape with homicide </w:t>
      </w:r>
      <w:r w:rsidDel="00000000" w:rsidR="00000000" w:rsidRPr="00000000">
        <w:rPr>
          <w:rFonts w:ascii="Georgia" w:cs="Georgia" w:eastAsia="Georgia" w:hAnsi="Georgia"/>
          <w:rtl w:val="0"/>
        </w:rPr>
        <w:t xml:space="preserve">when the death penalty imposed by the trial court is affirmed by the Supreme Court, the heirs of the victim are automatically granted the following, without need of proof other than the fact of rape and death of the victim: civil indemnity, P125,000; moral damages, P75,000; exemplary damages, P25,000; and temperate damages of at least P25,000 unless there is proof that the amount suffered is more than ₽25,000. When for one reason or another, the penalty is reduced from death to P100,000, but that for moral damages is retained at ₽75,000.</w:t>
      </w:r>
    </w:p>
    <w:p w:rsidR="00000000" w:rsidDel="00000000" w:rsidP="00000000" w:rsidRDefault="00000000" w:rsidRPr="00000000" w14:paraId="0000089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Note that in rape, moral damages are awarded without need of proof other than the fact of rape, because the Court takes judicial notice of the social humiliation, the anxiety, the besmirched reputation, and so on, that the victim suffers by reason of the rape. Of course, a larger amount may be granted in cases in which the victim - by actual proof presented before the trial court - suffered more than the foregoing amounts that are automatically granted.</w:t>
      </w:r>
    </w:p>
    <w:p w:rsidR="00000000" w:rsidDel="00000000" w:rsidP="00000000" w:rsidRDefault="00000000" w:rsidRPr="00000000" w14:paraId="0000089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murder and homicide cases, the civil indemnity automatically granted to the heirs, even without proof, is P50,000. Unlike in rape, moral damages are not automatically granted and need proof to substantiate them. As in rape, nt   however, exemplary damages are granted, once an aggravating circumstance is proven. The rule that temperate damages shall be at a minimum of P25,000 also applies.</w:t>
      </w:r>
    </w:p>
    <w:p w:rsidR="00000000" w:rsidDel="00000000" w:rsidP="00000000" w:rsidRDefault="00000000" w:rsidRPr="00000000" w14:paraId="00000895">
      <w:pPr>
        <w:spacing w:after="80" w:before="80" w:lineRule="auto"/>
        <w:ind w:firstLine="360"/>
        <w:jc w:val="both"/>
        <w:rPr>
          <w:rFonts w:ascii="Georgia" w:cs="Georgia" w:eastAsia="Georgia" w:hAnsi="Georgia"/>
        </w:rPr>
      </w:pPr>
      <w:r w:rsidDel="00000000" w:rsidR="00000000" w:rsidRPr="00000000">
        <w:rPr>
          <w:rtl w:val="0"/>
        </w:rPr>
      </w:r>
    </w:p>
    <w:sdt>
      <w:sdtPr>
        <w:lock w:val="contentLocked"/>
        <w:id w:val="1659639733"/>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Civil Indemnity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Temperate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Rape (Simple, by sexual intercouse)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Dependent on attendance of aggravating circumstance - generally P25,000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P25,000 (When no sufficient proof of actual damages is offered or if actual damages proven is less than P25,000)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Rape (by sexual assault)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Dependent on attendance of aggravating circumstance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Rape (qualified)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Rape with Homicide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P100,000 (P50,000 for Rape + P50,000 for death of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When offense is attended by any aggravating circumstance - whether qualifying or ordinary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Qualified Rape with Homicide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P125,000 (P75,000 for Qualified Rape + P50,000 for death of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P25,000 (When offense is attended by any aggravating circumstance - whether qualifying or ordinary)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Murder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Dependent 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Homicide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Dependent 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When offense is committed with one or more aggravating circumstance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-do-</w:t>
                </w:r>
              </w:p>
            </w:tc>
          </w:tr>
        </w:tbl>
      </w:sdtContent>
    </w:sdt>
    <w:p w:rsidR="00000000" w:rsidDel="00000000" w:rsidP="00000000" w:rsidRDefault="00000000" w:rsidRPr="00000000" w14:paraId="000008B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(Notes: The amounts are merely rules of thumb and do not necessarily put courts in a bind.)</w:t>
      </w:r>
    </w:p>
    <w:p w:rsidR="00000000" w:rsidDel="00000000" w:rsidP="00000000" w:rsidRDefault="00000000" w:rsidRPr="00000000" w14:paraId="000008B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9">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A">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B">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C">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D">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E">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C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0">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1">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2">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3">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5">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6">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7">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8">
      <w:pPr>
        <w:spacing w:after="80" w:before="80" w:lineRule="auto"/>
        <w:ind w:firstLine="36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Appendices</w:t>
      </w:r>
    </w:p>
    <w:p w:rsidR="00000000" w:rsidDel="00000000" w:rsidP="00000000" w:rsidRDefault="00000000" w:rsidRPr="00000000" w14:paraId="000008D9">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D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deference to the authors, the following articles - reprinted with their permission - have not been edited to conform to the style of this book.)</w:t>
      </w:r>
    </w:p>
    <w:p w:rsidR="00000000" w:rsidDel="00000000" w:rsidP="00000000" w:rsidRDefault="00000000" w:rsidRPr="00000000" w14:paraId="000008DB">
      <w:pPr>
        <w:spacing w:after="80" w:before="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8DC">
      <w:pPr>
        <w:spacing w:after="80" w:before="80"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Appendix A</w:t>
      </w:r>
    </w:p>
    <w:p w:rsidR="00000000" w:rsidDel="00000000" w:rsidP="00000000" w:rsidRDefault="00000000" w:rsidRPr="00000000" w14:paraId="000008DD">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8DE">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Life Technologies and the Rule of Law</w:t>
      </w:r>
    </w:p>
    <w:p w:rsidR="00000000" w:rsidDel="00000000" w:rsidP="00000000" w:rsidRDefault="00000000" w:rsidRPr="00000000" w14:paraId="000008DF">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8E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Dr. Franklin M. Zweig, Ph.D., JD </w:t>
      </w:r>
    </w:p>
    <w:p w:rsidR="00000000" w:rsidDel="00000000" w:rsidP="00000000" w:rsidRDefault="00000000" w:rsidRPr="00000000" w14:paraId="000008E1">
      <w:pPr>
        <w:spacing w:after="80" w:before="80" w:lineRule="auto"/>
        <w:ind w:firstLine="360"/>
        <w:jc w:val="center"/>
        <w:rPr>
          <w:rFonts w:ascii="Georgia" w:cs="Georgia" w:eastAsia="Georgia" w:hAnsi="Georgia"/>
        </w:rPr>
      </w:pPr>
      <w:r w:rsidDel="00000000" w:rsidR="00000000" w:rsidRPr="00000000">
        <w:rPr>
          <w:rFonts w:ascii="Georgia" w:cs="Georgia" w:eastAsia="Georgia" w:hAnsi="Georgia"/>
          <w:rtl w:val="0"/>
        </w:rPr>
        <w:t xml:space="preserve">President </w:t>
      </w:r>
    </w:p>
    <w:p w:rsidR="00000000" w:rsidDel="00000000" w:rsidP="00000000" w:rsidRDefault="00000000" w:rsidRPr="00000000" w14:paraId="000008E2">
      <w:pPr>
        <w:spacing w:after="80" w:before="80" w:lineRule="auto"/>
        <w:ind w:firstLine="360"/>
        <w:jc w:val="center"/>
        <w:rPr>
          <w:rFonts w:ascii="Georgia" w:cs="Georgia" w:eastAsia="Georgia" w:hAnsi="Georgia"/>
        </w:rPr>
      </w:pPr>
      <w:r w:rsidDel="00000000" w:rsidR="00000000" w:rsidRPr="00000000">
        <w:rPr>
          <w:rFonts w:ascii="Georgia" w:cs="Georgia" w:eastAsia="Georgia" w:hAnsi="Georgia"/>
          <w:rtl w:val="0"/>
        </w:rPr>
        <w:t xml:space="preserve">Einstein Institute for Science, Health &amp; the Courts</w:t>
      </w:r>
    </w:p>
    <w:p w:rsidR="00000000" w:rsidDel="00000000" w:rsidP="00000000" w:rsidRDefault="00000000" w:rsidRPr="00000000" w14:paraId="000008E3">
      <w:pPr>
        <w:spacing w:after="80" w:before="80" w:lineRule="auto"/>
        <w:ind w:firstLine="360"/>
        <w:jc w:val="center"/>
        <w:rPr>
          <w:rFonts w:ascii="Georgia" w:cs="Georgia" w:eastAsia="Georgia" w:hAnsi="Georgia"/>
        </w:rPr>
      </w:pPr>
      <w:r w:rsidDel="00000000" w:rsidR="00000000" w:rsidRPr="00000000">
        <w:rPr>
          <w:rFonts w:ascii="Georgia" w:cs="Georgia" w:eastAsia="Georgia" w:hAnsi="Georgia"/>
          <w:rtl w:val="0"/>
        </w:rPr>
        <w:t xml:space="preserve">Maryland, USA</w:t>
      </w:r>
    </w:p>
    <w:p w:rsidR="00000000" w:rsidDel="00000000" w:rsidP="00000000" w:rsidRDefault="00000000" w:rsidRPr="00000000" w14:paraId="000008E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8E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Please accept my heartiest congratulations on the occasion of the Philippine Supreme Court's 100th Anniversary. </w:t>
      </w:r>
    </w:p>
    <w:p w:rsidR="00000000" w:rsidDel="00000000" w:rsidP="00000000" w:rsidRDefault="00000000" w:rsidRPr="00000000" w14:paraId="000008E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know I bring the Einstein Institute's concurring best wishes, shared by all men and women of goodwill and caring, that your distinguished Court will independently prosper and rule for many centuries ahead as the protector and guarantor of the rule of law. </w:t>
      </w:r>
    </w:p>
    <w:p w:rsidR="00000000" w:rsidDel="00000000" w:rsidP="00000000" w:rsidRDefault="00000000" w:rsidRPr="00000000" w14:paraId="000008E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Acknowledgment of the role of the Philippine Judicial Academy is also appropriate. As the affairs of nations, laws and economies intermingle to become ever more complex, the continuous education of judges gains in importance. It falls upon the courts' education arms to provide the foundation for judging the 21st century's cases. Only an educated, up-to-date judiciary can retain public confidence and enhance their judicial systems' independent status. In the United States, our Judicial Branch leaders deeply appreciate the Philippine Supreme Court's commitment to the highest quality education and program. </w:t>
      </w:r>
    </w:p>
    <w:p w:rsidR="00000000" w:rsidDel="00000000" w:rsidP="00000000" w:rsidRDefault="00000000" w:rsidRPr="00000000" w14:paraId="000008E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Your decision to memorialize the Supreme Court's centenary anniversary with a Lecture Series is commendable. It is also imaginative. </w:t>
      </w:r>
    </w:p>
    <w:p w:rsidR="00000000" w:rsidDel="00000000" w:rsidP="00000000" w:rsidRDefault="00000000" w:rsidRPr="00000000" w14:paraId="000008E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Albert Einstein is reported to have said in a scientific context that "knowledge is important, but imagination is more so." Knowledge, and its academic celebration in the legal context, builds and reinforces institutional memory, imaginatively preparing us all for the future while at the same time observing and honoring your court system's institutional history.</w:t>
      </w:r>
    </w:p>
    <w:p w:rsidR="00000000" w:rsidDel="00000000" w:rsidP="00000000" w:rsidRDefault="00000000" w:rsidRPr="00000000" w14:paraId="000008E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lecture series is also a bold commemoration of past values presented in such a way to foreshadow the future. It permits an American lawyer who manages a non-governmental judicial science education agency to raise with you the challenges that high courts and trial courts around the world face in the near future. The principal theme I would like to discuss with you tonight is this:</w:t>
      </w:r>
    </w:p>
    <w:p w:rsidR="00000000" w:rsidDel="00000000" w:rsidP="00000000" w:rsidRDefault="00000000" w:rsidRPr="00000000" w14:paraId="000008E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Imposed upon our global society by the unprecedented rise, expansion and pervasiveness of biological technologies we should anticipate, analyze and deliberate cases and controversies for which historically we have not only no precedent, but no analogy.</w:t>
      </w:r>
    </w:p>
    <w:p w:rsidR="00000000" w:rsidDel="00000000" w:rsidP="00000000" w:rsidRDefault="00000000" w:rsidRPr="00000000" w14:paraId="000008E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Let's explore together a few scenarios connecting life technologies and the rule of law.</w:t>
      </w:r>
    </w:p>
    <w:p w:rsidR="00000000" w:rsidDel="00000000" w:rsidP="00000000" w:rsidRDefault="00000000" w:rsidRPr="00000000" w14:paraId="000008ED">
      <w:pPr>
        <w:spacing w:after="80" w:before="80" w:lineRule="auto"/>
        <w:ind w:firstLine="360"/>
        <w:jc w:val="both"/>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The Biology of Violent Conduct</w:t>
      </w:r>
      <w:r w:rsidDel="00000000" w:rsidR="00000000" w:rsidRPr="00000000">
        <w:rPr>
          <w:rFonts w:ascii="Georgia" w:cs="Georgia" w:eastAsia="Georgia" w:hAnsi="Georgia"/>
          <w:i w:val="1"/>
          <w:iCs w:val="1"/>
          <w:rtl w:val="0"/>
        </w:rPr>
        <w:t xml:space="preserve"> </w:t>
      </w:r>
    </w:p>
    <w:p w:rsidR="00000000" w:rsidDel="00000000" w:rsidP="00000000" w:rsidRDefault="00000000" w:rsidRPr="00000000" w14:paraId="000008E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Our scientific adventures in human genetics, fortified by the use of computer science, may well report in the next few years, for example, significant limitations to human abilities to exercise free will. If scientifically valid studies from Iceland, Sardinia and Estonia, among a growing number of indigenous genetic databases, concur in finding the genetic levers and limiting gradients for conduct, particularly violent conduct or addictive disorders, our global legal institutions may well be required to revisit longsettled principles of jurisprudence.</w:t>
      </w:r>
    </w:p>
    <w:p w:rsidR="00000000" w:rsidDel="00000000" w:rsidP="00000000" w:rsidRDefault="00000000" w:rsidRPr="00000000" w14:paraId="000008E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Among those principles is the foundation concept of individual responsibility for harmful actions freely taken. Many prominent scientists believe that national databases capable of analyzing thousands of genes simultaneously will soon disclose the chemistry of free will. And many expect to find significant variations in the degrees of freedom that chemistry confers upon individuals. In the United States, we have sometimes bantered that criminal and civil cases alike will be geneticized, and provide new claims in matters of criminal conduct and civil liability. "My genes made me do it" seems to be the underlying metaphor.</w:t>
      </w:r>
    </w:p>
    <w:p w:rsidR="00000000" w:rsidDel="00000000" w:rsidP="00000000" w:rsidRDefault="00000000" w:rsidRPr="00000000" w14:paraId="000008F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 knowledgeably and imaginatively national and international jurisprudence will harness such science remains to be seen. Some cases may be less direct, however. "My genes made it impossible for me to prevent myself from doing it" may be a more sophisticated, more scientifically respectable claim in criminal justice proceedings. </w:t>
      </w:r>
    </w:p>
    <w:p w:rsidR="00000000" w:rsidDel="00000000" w:rsidP="00000000" w:rsidRDefault="00000000" w:rsidRPr="00000000" w14:paraId="000008F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United States, we have experienced one famous case that may be a harbinger of the future. See </w:t>
      </w:r>
      <w:r w:rsidDel="00000000" w:rsidR="00000000" w:rsidRPr="00000000">
        <w:rPr>
          <w:rFonts w:ascii="Georgia" w:cs="Georgia" w:eastAsia="Georgia" w:hAnsi="Georgia"/>
          <w:i w:val="1"/>
          <w:iCs w:val="1"/>
          <w:rtl w:val="0"/>
        </w:rPr>
        <w:t xml:space="preserve">Mobley v. State</w:t>
      </w:r>
      <w:r w:rsidDel="00000000" w:rsidR="00000000" w:rsidRPr="00000000">
        <w:rPr>
          <w:rFonts w:ascii="Georgia" w:cs="Georgia" w:eastAsia="Georgia" w:hAnsi="Georgia"/>
          <w:rtl w:val="0"/>
        </w:rPr>
        <w:t xml:space="preserve"> 455 S.E.2d61(ga.) cert</w:t>
      </w:r>
      <w:r w:rsidDel="00000000" w:rsidR="00000000" w:rsidRPr="00000000">
        <w:rPr>
          <w:rFonts w:ascii="Georgia" w:cs="Georgia" w:eastAsia="Georgia" w:hAnsi="Georgia"/>
          <w:i w:val="1"/>
          <w:iCs w:val="1"/>
          <w:rtl w:val="0"/>
        </w:rPr>
        <w:t xml:space="preserve"> denied</w:t>
      </w:r>
      <w:r w:rsidDel="00000000" w:rsidR="00000000" w:rsidRPr="00000000">
        <w:rPr>
          <w:rFonts w:ascii="Georgia" w:cs="Georgia" w:eastAsia="Georgia" w:hAnsi="Georgia"/>
          <w:rtl w:val="0"/>
        </w:rPr>
        <w:t xml:space="preserve"> 516 U.S. 942 (1955). In Mobley, the chemistry of disabled non-violent behavior caused by a genetic mutation was raised in defense of a murder suspect. Let's look at the facts and then review the science.</w:t>
      </w:r>
    </w:p>
    <w:p w:rsidR="00000000" w:rsidDel="00000000" w:rsidP="00000000" w:rsidRDefault="00000000" w:rsidRPr="00000000" w14:paraId="000008F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Defendant Mobley was accused by the State of shooting to death a pizza parlor manager and of armed robbery. The murder was particularly grizzly. Observed by other employees, the manager was forced to a kneeling position following the robbery and shot, execution style, in the back of the head. Mobley was apprehended in a police chase following the suspect's escape from the crime scene by automobile. The gun used in the murder was thrown away during the chase, but later found. Ballistics tests indicated that the recovered weapon had been used in previous robberies, although none of the previous discharges resulted in death.</w:t>
      </w:r>
    </w:p>
    <w:p w:rsidR="00000000" w:rsidDel="00000000" w:rsidP="00000000" w:rsidRDefault="00000000" w:rsidRPr="00000000" w14:paraId="000008F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trial, defendant Mobley's attorney attempted to introduce scientific evidence reported by Dr. Brunner and associates derived from a large family of Dutch felons apparently predisposed to intergenerational acts of violence. Mobley, his counsel argued, suffered from the absence of an essential brain chemical; that loss rendered Mobley incapable of controlling his murderous rages and murderous conduct. In short, Mobley was unable to exercise reason and control over his impulses and should not have been held responsible legally. Let's look at the scientific background. </w:t>
      </w:r>
    </w:p>
    <w:p w:rsidR="00000000" w:rsidDel="00000000" w:rsidP="00000000" w:rsidRDefault="00000000" w:rsidRPr="00000000" w14:paraId="000008F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Brunner, a well-regarded scientist, noticed that many forms of violent, anti-social behavior ran in a large family he studied in the Netherlands. Dutch authorities recorded the family's violent, criminal history among five generations of males. Using a combination of laboratory tests, Brunner determined that the family exhibited in common a deprivation of an important neurotransmitter, Monomine Oxidase A. </w:t>
      </w:r>
    </w:p>
    <w:p w:rsidR="00000000" w:rsidDel="00000000" w:rsidP="00000000" w:rsidRDefault="00000000" w:rsidRPr="00000000" w14:paraId="000008F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Earlier, but relatively recently, studies had demonstrated that that Monomine Oxidase A is an essential protein for the breakdown of serotonin, a primary neurotransmitter whose extended presence in brain synapses can cause hyperactivity, excessive irritability, combative attitude, and may be associated with aggressive, anti-social behavior. One minor change in the gene responsible for Monomine Oxidase A shut off supply of the chemical. As a result serotonin remained in its most powerful form in the brain to excite brain activity for abnormally long time periods and with abnormal behavioral results. </w:t>
      </w:r>
    </w:p>
    <w:p w:rsidR="00000000" w:rsidDel="00000000" w:rsidP="00000000" w:rsidRDefault="00000000" w:rsidRPr="00000000" w14:paraId="000008F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Defendant Mobley's counsel petitioned the judge presiding in the murder trial for genetic tests to determine that Mobley indeed exhibited the genetic mutation that deprived him of Monomine Oxidase A. The petition was denied, accompanied by the judge's reason that such DNAbased genetic tests (in the early 1990s) were too expensive for the State to bear. The defendant's father, a millionaire businessman, volunteered to pay for the tests, and counsel renewed the petition. It was again denied, based on the judges assessment that such tests were too experimental, unproven and unreliable to be used in justice proceedings. </w:t>
      </w:r>
    </w:p>
    <w:p w:rsidR="00000000" w:rsidDel="00000000" w:rsidP="00000000" w:rsidRDefault="00000000" w:rsidRPr="00000000" w14:paraId="000008F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matter moved to trial. The defendant was convicted of murder. He was sentenced to death after the chemically mediated loss of free will argument failed to convince the court that he warranted a lesser sentence. </w:t>
      </w:r>
    </w:p>
    <w:p w:rsidR="00000000" w:rsidDel="00000000" w:rsidP="00000000" w:rsidRDefault="00000000" w:rsidRPr="00000000" w14:paraId="000008F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 post-conviction remedy motion, habeas corpus, Mobley moved for a new trial based on his contention that he had been ineffectively represented by his counsel at his first trial. Failure to obtain and introduce the genetic tests lay at the foundation of Mobley's motion for a new trial. The motion was denied and the matter was appealed to the Georgia Supreme Court. The court ruled that Mobley's counsel had represented him effectively in requesting genetic and other tests, and that the trial judge properly denied the petition based on the then known validity of gene testing technology. The court opined as well that the MOA theory might well not apply to Mobley at all, since the original Dutch family studied evidenced inherited mental retardation as well as violent tendencies. The court noted that Mobley had been tested and found to possess normal intelligence. An appeal to the U.S. Supreme Court failed to grant a hearing. Mobley is currently incarcerated on death row in Georgia.</w:t>
      </w:r>
    </w:p>
    <w:p w:rsidR="00000000" w:rsidDel="00000000" w:rsidP="00000000" w:rsidRDefault="00000000" w:rsidRPr="00000000" w14:paraId="000008F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Mobley case is but the tip of the iceberg of new legal arguments that will be based in neuro and behavior genetics. As large databases replicate and combine scientific studies and monitor genetic tests administered in large numbers, gene mutation profiles will emerge. Those profiles hold great hope of identifying genes that predispose people for risk of mental diseases. High among the national genome database projects currently underway, for example, is the search for genes that cause or contribute to the scourge of schizophrenia. The hope is to find candidate genes through tests, and then to perfect the gene therapies that can restore people to full mental vitality. But such medical findings may also disclose the biological basis for personal violent cond If so, violence causation may gain a new paradigm, that is, as a biomedical, rather than a social condition.</w:t>
      </w:r>
    </w:p>
    <w:p w:rsidR="00000000" w:rsidDel="00000000" w:rsidP="00000000" w:rsidRDefault="00000000" w:rsidRPr="00000000" w14:paraId="000008F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tests alone, courts may well insist that the capacity to form a reasoned action will continue to be the legal standard, but that insistence could relent if new technologies provide cures to inherited violence. Then the courts could be confronted with not only conduct-mitigating biomedical defenses. The demand to treat violence with gene therapies likely would follow. Here the administration of justice could face a simple problem and several complex ones.</w:t>
      </w:r>
    </w:p>
    <w:p w:rsidR="00000000" w:rsidDel="00000000" w:rsidP="00000000" w:rsidRDefault="00000000" w:rsidRPr="00000000" w14:paraId="000008F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reliable gene therapies applied to individuals could "cure" violent conduct, or addictions, or tendencies to embezzle property, for example, courts would be faced merely with the question of sentencing offenders to treatment. Genetic treatments presumably would be enduring and non-obvious. Once the mutations were "repaired," permanent rehabilitation could be expected. In most law-abiding societies, courts would only worry about side effects. Gene therapies might trigger other medical conditions, and a presiding judge would find herself weighing the therapeutic value against side effect's health risks. (Neurotransmitter chemical treatments would be far less reliable as a treatment alternative; courts routinely confront defendants and probationers who have abandoned their medications.)</w:t>
      </w:r>
    </w:p>
    <w:p w:rsidR="00000000" w:rsidDel="00000000" w:rsidP="00000000" w:rsidRDefault="00000000" w:rsidRPr="00000000" w14:paraId="000008F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Two kinds of complex problems confront courts from slightly different technologies. The first could be a demand to modify inherited behavioral traits permanently. That is, in addition to treating the individual with genetic technologies, policies could be advocated to prevent the unwanted conduct in future generations. There is every scientific basis to accomplish germ-line gene therapies, although the technologies have not yet moved from laboratory to the clinic. Here body cells are not the treatment target; sex cells are. How should a Constitutional court rule in the face of public demands, say through legislation, to modify the germ line?</w:t>
      </w:r>
    </w:p>
    <w:p w:rsidR="00000000" w:rsidDel="00000000" w:rsidP="00000000" w:rsidRDefault="00000000" w:rsidRPr="00000000" w14:paraId="000008F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second problem concerns the biomedical prediction of violent criminal behavior. Let's assume that computergenerated profiles of thousands of genes indicate the likelihood that a particular family or individual is predisposed to violence. Should they be treated preventively d      for a statistical similarity to dangerousness? How would a court develop laws so as to balance society's predicted benefit against protected personal rights? If behavioral profiles are statistically questionable, should courts endorse universal genetic screening for offensive genetic components? The technologies will soon exist to measure thousands of genes at one time, at birth, for example. Should such screening results be routinely made available to law enforcement? Will a demand surface for biomedical courts?</w:t>
      </w:r>
    </w:p>
    <w:p w:rsidR="00000000" w:rsidDel="00000000" w:rsidP="00000000" w:rsidRDefault="00000000" w:rsidRPr="00000000" w14:paraId="000008F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All such inquiries will provide jurisprudential headaches aplenty by this decade's end. They illustrate the coming clash between life technologies and the law. It is difficult to conceive of a scenario in which independent courts of any nation will be spared a role in adjudicating these high-impact decisions. In fact, some may directly be aimed at judges, the professional core of effective dispute resolution systems. </w:t>
      </w:r>
    </w:p>
    <w:p w:rsidR="00000000" w:rsidDel="00000000" w:rsidP="00000000" w:rsidRDefault="00000000" w:rsidRPr="00000000" w14:paraId="000008FF">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Genetic Testing of Judges for Dementing Illnesses </w:t>
      </w:r>
    </w:p>
    <w:p w:rsidR="00000000" w:rsidDel="00000000" w:rsidP="00000000" w:rsidRDefault="00000000" w:rsidRPr="00000000" w14:paraId="0000090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Judges are public officers, and the public often demands to know their officer's health histories. Judges mediate and adjudicate heated conflicts, and their own deportment is constantly subject to scrutiny. Such observations can be used to justify pre-appointment and pre-election as well as reappointment and re-election genetic tests applied to judges. </w:t>
      </w:r>
    </w:p>
    <w:p w:rsidR="00000000" w:rsidDel="00000000" w:rsidP="00000000" w:rsidRDefault="00000000" w:rsidRPr="00000000" w14:paraId="0000090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main question that judicial screening commissions and the public clamor to know is whether a candidate is likely to experience a serious dementing condition during service on the Bench. Alzheimer's disease and stroke are the disabling dementias most commonly feared. Both can generate emotional turmoil in opposition to expected judicial temperament. Both rob their victims of memory and language. So if it were possible to estimate a judicial candidate's risk for such conditions, why would it not be in the public interest to predictively diagnose such conditions by simple genetic tests before onset? It is far easier to deny admission to juridical robes than to remove a sworn judicial officer based on disability allegations.</w:t>
      </w:r>
    </w:p>
    <w:p w:rsidR="00000000" w:rsidDel="00000000" w:rsidP="00000000" w:rsidRDefault="00000000" w:rsidRPr="00000000" w14:paraId="0000090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present, prediction of dementing illnesses is a flat enterprise. Even though four genes have been found to be linked to Alzheimer's disease, for example, they are predictive only half the time. And 50% of persons actually afflicted with Alzheimer's disease test negatively for the f genetic markers currently available. There are obviously unseen genetic and environmental causes, promoters, and enhancers at work. It is possible that a developmental cascade of 30 genes will be found to play a role. Those pathways will be found by the end of this decade. The court's challenge now is to understand the state and direction of the science, to assess emerging gene technologies, and to determine how these forces should be channeled into legal domains supportive of dispute resolution institutions. </w:t>
      </w:r>
    </w:p>
    <w:p w:rsidR="00000000" w:rsidDel="00000000" w:rsidP="00000000" w:rsidRDefault="00000000" w:rsidRPr="00000000" w14:paraId="00000903">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 Science and Technology Primer</w:t>
      </w:r>
    </w:p>
    <w:p w:rsidR="00000000" w:rsidDel="00000000" w:rsidP="00000000" w:rsidRDefault="00000000" w:rsidRPr="00000000" w14:paraId="0000090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your leave, it might be helpful to take a short break from the judicial policy issues engendered by life technologies. Let us explore a brief overview of the scientific basis for human biotechnology. It is not mystical and is well within the reach of the average person, even lawyers, as I can attest. Science's amazing feature is that the code of life extends across all of nature, and the same basics underpinning human life are relied upon by all animals, plants, and bacteria.</w:t>
      </w:r>
    </w:p>
    <w:p w:rsidR="00000000" w:rsidDel="00000000" w:rsidP="00000000" w:rsidRDefault="00000000" w:rsidRPr="00000000" w14:paraId="0000090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Following this primer, I shall outline case scenarios prominently poised to surface in national and international dispute resolution forums. And then I will confide to you a few capacity-enhancing steps I believe court systems - unable to escape the fray in light of legislative fears about genomic policymaking - need to take in this extraordinary age of genetic engineering.</w:t>
      </w:r>
    </w:p>
    <w:p w:rsidR="00000000" w:rsidDel="00000000" w:rsidP="00000000" w:rsidRDefault="00000000" w:rsidRPr="00000000" w14:paraId="0000090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Life technologies underpinning ideas are simple. </w:t>
      </w:r>
    </w:p>
    <w:p w:rsidR="00000000" w:rsidDel="00000000" w:rsidP="00000000" w:rsidRDefault="00000000" w:rsidRPr="00000000" w14:paraId="0000090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All life is embodied in and expressed by cells. These are small biochemical factories that build up and break down wed   proteins, the molecules of life. They are numerous; we may each have a trillion cells in our bodies. As we sit in the majesty of this hall of justice, we are elegantly configured masses of our   cells performing different tasks to bring us our humanity.</w:t>
      </w:r>
    </w:p>
    <w:p w:rsidR="00000000" w:rsidDel="00000000" w:rsidP="00000000" w:rsidRDefault="00000000" w:rsidRPr="00000000" w14:paraId="0000090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In each cell are all the biological machines - called organelles - to survive, grow, reproduce, communicate and supervise the production of proteins. In (Your Favorite Cell's) YFC's center is an organelle called the Nucleus and within each nucleus are the 46 shipping packages of inheritance, the chromosomes, along which are strung all our genes, about 100,000 of them. The Human Genome. Project has almost completed identification of all our genes</w:t>
      </w:r>
    </w:p>
    <w:p w:rsidR="00000000" w:rsidDel="00000000" w:rsidP="00000000" w:rsidRDefault="00000000" w:rsidRPr="00000000" w14:paraId="0000090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What do all these genes do?</w:t>
      </w:r>
    </w:p>
    <w:p w:rsidR="00000000" w:rsidDel="00000000" w:rsidP="00000000" w:rsidRDefault="00000000" w:rsidRPr="00000000" w14:paraId="0000090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They simply instruct organelles in the cell, outside of the nucleus, to make proteins. The basic idea is that one gene sends an instruction to the cell's protein assembly machine, the Ribosome, to assemble a protein from amino acids. Remember the gene that instructs the production of MOA? It is a single protein that works on serotonin breakdown and removal from the brain's firing structures. It takes one gen to instruct the right cells to make that protein.</w:t>
      </w:r>
    </w:p>
    <w:p w:rsidR="00000000" w:rsidDel="00000000" w:rsidP="00000000" w:rsidRDefault="00000000" w:rsidRPr="00000000" w14:paraId="0000090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Finally, life technologies are significantly based upon the fact that cells can be engineered in numerous ways using microscopic instruments. Whole animals can be cloned. There is no technological reason why humans cannot be cloned as easily as sheep, cows, mice or pigs.</w:t>
      </w:r>
    </w:p>
    <w:p w:rsidR="00000000" w:rsidDel="00000000" w:rsidP="00000000" w:rsidRDefault="00000000" w:rsidRPr="00000000" w14:paraId="0000090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Judges' Science Tools for Case Management </w:t>
      </w:r>
    </w:p>
    <w:p w:rsidR="00000000" w:rsidDel="00000000" w:rsidP="00000000" w:rsidRDefault="00000000" w:rsidRPr="00000000" w14:paraId="0000090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of a Wide Range of Case Scenarios </w:t>
      </w:r>
    </w:p>
    <w:p w:rsidR="00000000" w:rsidDel="00000000" w:rsidP="00000000" w:rsidRDefault="00000000" w:rsidRPr="00000000" w14:paraId="0000090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would like to congratulate you for your successful mastery of these life science and technology basics. They are the foundation of evidence that will soon be presented to courts everywhere on our small planet.</w:t>
      </w:r>
    </w:p>
    <w:p w:rsidR="00000000" w:rsidDel="00000000" w:rsidP="00000000" w:rsidRDefault="00000000" w:rsidRPr="00000000" w14:paraId="0000090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Our courts need the tools with which to manage such evidence in cases of all kinds. The Philippine Courts, I am told, currently consider biotechnology issues. Before long. biotechnology evidence will be marshaled not only for controversies concerning medical, environmental and agricultural disputes, but in indirect proofs of civil liability and criminal intent and decedents' estates and personal competency as well. </w:t>
      </w:r>
    </w:p>
    <w:p w:rsidR="00000000" w:rsidDel="00000000" w:rsidP="00000000" w:rsidRDefault="00000000" w:rsidRPr="00000000" w14:paraId="0000091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EINSHAC, we have compiled a working list of case scenarios. For many of these cases we have written fact patterns giving rise to trial or policy adjudication, state of the science, state of law, and issues facing judges. These considerations compromise the foundation of judicial handbooks that we will begin to publish this year. We do not recommend or even propose outcomes. Decision is the Judiciary's province. Our quest is to develop clearly the landscape of considerations that might be considered as judges reach their decisions. The following case scenarios list is presented for your consideration. It suggests the important, changing role that bioscience and biotechnology evidence and issues will play in many courts before this decade ends.</w:t>
      </w:r>
    </w:p>
    <w:p w:rsidR="00000000" w:rsidDel="00000000" w:rsidP="00000000" w:rsidRDefault="00000000" w:rsidRPr="00000000" w14:paraId="0000091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Common current scenarios for introducing the results of genetic tests in courts of law:</w:t>
      </w:r>
    </w:p>
    <w:p w:rsidR="00000000" w:rsidDel="00000000" w:rsidP="00000000" w:rsidRDefault="00000000" w:rsidRPr="00000000" w14:paraId="0000091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In aid of criminal law enforcement and justice administration; </w:t>
      </w:r>
    </w:p>
    <w:p w:rsidR="00000000" w:rsidDel="00000000" w:rsidP="00000000" w:rsidRDefault="00000000" w:rsidRPr="00000000" w14:paraId="0000091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In aid of treatable syndrome diagnostics; </w:t>
      </w:r>
    </w:p>
    <w:p w:rsidR="00000000" w:rsidDel="00000000" w:rsidP="00000000" w:rsidRDefault="00000000" w:rsidRPr="00000000" w14:paraId="0000091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In aid of predictive diagnostics in the absence of treatment or cure; </w:t>
      </w:r>
    </w:p>
    <w:p w:rsidR="00000000" w:rsidDel="00000000" w:rsidP="00000000" w:rsidRDefault="00000000" w:rsidRPr="00000000" w14:paraId="0000091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In aid of estimates of predisposition to heritable disease;</w:t>
      </w:r>
    </w:p>
    <w:p w:rsidR="00000000" w:rsidDel="00000000" w:rsidP="00000000" w:rsidRDefault="00000000" w:rsidRPr="00000000" w14:paraId="0000091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 In aid of estimates of susceptibility to environmentally induced disease;</w:t>
      </w:r>
    </w:p>
    <w:p w:rsidR="00000000" w:rsidDel="00000000" w:rsidP="00000000" w:rsidRDefault="00000000" w:rsidRPr="00000000" w14:paraId="0000091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 In aid of customized drug treatment gone wrong; </w:t>
      </w:r>
    </w:p>
    <w:p w:rsidR="00000000" w:rsidDel="00000000" w:rsidP="00000000" w:rsidRDefault="00000000" w:rsidRPr="00000000" w14:paraId="0000091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 To prove disability; </w:t>
      </w:r>
    </w:p>
    <w:p w:rsidR="00000000" w:rsidDel="00000000" w:rsidP="00000000" w:rsidRDefault="00000000" w:rsidRPr="00000000" w14:paraId="0000091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H.To prove medical benefits eligibility;</w:t>
      </w:r>
    </w:p>
    <w:p w:rsidR="00000000" w:rsidDel="00000000" w:rsidP="00000000" w:rsidRDefault="00000000" w:rsidRPr="00000000" w14:paraId="0000091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To qualify for employment and training;</w:t>
      </w:r>
    </w:p>
    <w:p w:rsidR="00000000" w:rsidDel="00000000" w:rsidP="00000000" w:rsidRDefault="00000000" w:rsidRPr="00000000" w14:paraId="0000091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  To prove credit worthiness;</w:t>
      </w:r>
    </w:p>
    <w:p w:rsidR="00000000" w:rsidDel="00000000" w:rsidP="00000000" w:rsidRDefault="00000000" w:rsidRPr="00000000" w14:paraId="0000091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K. To substantiate claims of mental condition;</w:t>
      </w:r>
    </w:p>
    <w:p w:rsidR="00000000" w:rsidDel="00000000" w:rsidP="00000000" w:rsidRDefault="00000000" w:rsidRPr="00000000" w14:paraId="0000091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 To clear obstacles to research, development and commercialization. </w:t>
      </w:r>
    </w:p>
    <w:p w:rsidR="00000000" w:rsidDel="00000000" w:rsidP="00000000" w:rsidRDefault="00000000" w:rsidRPr="00000000" w14:paraId="0000091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Emerging scenarios for court proceedings in genetic test related issues - the patchwork quilt of conceptions related to genetic information:</w:t>
      </w:r>
    </w:p>
    <w:p w:rsidR="00000000" w:rsidDel="00000000" w:rsidP="00000000" w:rsidRDefault="00000000" w:rsidRPr="00000000" w14:paraId="0000091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Ownership of genes; </w:t>
      </w:r>
    </w:p>
    <w:p w:rsidR="00000000" w:rsidDel="00000000" w:rsidP="00000000" w:rsidRDefault="00000000" w:rsidRPr="00000000" w14:paraId="0000092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Ownership of information derived from gene tests; </w:t>
      </w:r>
    </w:p>
    <w:p w:rsidR="00000000" w:rsidDel="00000000" w:rsidP="00000000" w:rsidRDefault="00000000" w:rsidRPr="00000000" w14:paraId="0000092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Entitlement to rights to access of procedures for fully informed consent;</w:t>
      </w:r>
    </w:p>
    <w:p w:rsidR="00000000" w:rsidDel="00000000" w:rsidP="00000000" w:rsidRDefault="00000000" w:rsidRPr="00000000" w14:paraId="0000092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Ownership of engineered genomes; </w:t>
      </w:r>
    </w:p>
    <w:p w:rsidR="00000000" w:rsidDel="00000000" w:rsidP="00000000" w:rsidRDefault="00000000" w:rsidRPr="00000000" w14:paraId="0000092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 Ownership of novel life forms and chimeric forms;</w:t>
      </w:r>
    </w:p>
    <w:p w:rsidR="00000000" w:rsidDel="00000000" w:rsidP="00000000" w:rsidRDefault="00000000" w:rsidRPr="00000000" w14:paraId="0000092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 Discrimination against bad genes and undesirable proteins;</w:t>
      </w:r>
    </w:p>
    <w:p w:rsidR="00000000" w:rsidDel="00000000" w:rsidP="00000000" w:rsidRDefault="00000000" w:rsidRPr="00000000" w14:paraId="0000092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 Genetic information privacy issues;</w:t>
      </w:r>
    </w:p>
    <w:p w:rsidR="00000000" w:rsidDel="00000000" w:rsidP="00000000" w:rsidRDefault="00000000" w:rsidRPr="00000000" w14:paraId="0000092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 Common legacy issues, including indigenous genome property rights.</w:t>
      </w:r>
    </w:p>
    <w:p w:rsidR="00000000" w:rsidDel="00000000" w:rsidP="00000000" w:rsidRDefault="00000000" w:rsidRPr="00000000" w14:paraId="0000092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Foreseeable scenarios related to somato-line and germ line gene therapy:</w:t>
      </w:r>
    </w:p>
    <w:p w:rsidR="00000000" w:rsidDel="00000000" w:rsidP="00000000" w:rsidRDefault="00000000" w:rsidRPr="00000000" w14:paraId="0000092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Liability for pre-implantation gene engineering or sorting due to faulty tests; </w:t>
      </w:r>
    </w:p>
    <w:p w:rsidR="00000000" w:rsidDel="00000000" w:rsidP="00000000" w:rsidRDefault="00000000" w:rsidRPr="00000000" w14:paraId="0000092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Faulty gene therapy procedures; </w:t>
      </w:r>
    </w:p>
    <w:p w:rsidR="00000000" w:rsidDel="00000000" w:rsidP="00000000" w:rsidRDefault="00000000" w:rsidRPr="00000000" w14:paraId="0000092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Public health issues regarding infection and transfection;</w:t>
      </w:r>
    </w:p>
    <w:p w:rsidR="00000000" w:rsidDel="00000000" w:rsidP="00000000" w:rsidRDefault="00000000" w:rsidRPr="00000000" w14:paraId="0000092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Wrongful death;</w:t>
      </w:r>
    </w:p>
    <w:p w:rsidR="00000000" w:rsidDel="00000000" w:rsidP="00000000" w:rsidRDefault="00000000" w:rsidRPr="00000000" w14:paraId="0000092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 Wrongful birth;</w:t>
      </w:r>
    </w:p>
    <w:p w:rsidR="00000000" w:rsidDel="00000000" w:rsidP="00000000" w:rsidRDefault="00000000" w:rsidRPr="00000000" w14:paraId="0000092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  Adverse evolution;</w:t>
      </w:r>
    </w:p>
    <w:p w:rsidR="00000000" w:rsidDel="00000000" w:rsidP="00000000" w:rsidRDefault="00000000" w:rsidRPr="00000000" w14:paraId="0000092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 Invidious genetic discrimination;</w:t>
      </w:r>
    </w:p>
    <w:p w:rsidR="00000000" w:rsidDel="00000000" w:rsidP="00000000" w:rsidRDefault="00000000" w:rsidRPr="00000000" w14:paraId="0000092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 Proxy genetic status actions; </w:t>
      </w:r>
    </w:p>
    <w:p w:rsidR="00000000" w:rsidDel="00000000" w:rsidP="00000000" w:rsidRDefault="00000000" w:rsidRPr="00000000" w14:paraId="0000093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Enhancement contract breaches;</w:t>
      </w:r>
    </w:p>
    <w:p w:rsidR="00000000" w:rsidDel="00000000" w:rsidP="00000000" w:rsidRDefault="00000000" w:rsidRPr="00000000" w14:paraId="0000093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 Access to molecular medicine and molecular surgery; </w:t>
      </w:r>
    </w:p>
    <w:p w:rsidR="00000000" w:rsidDel="00000000" w:rsidP="00000000" w:rsidRDefault="00000000" w:rsidRPr="00000000" w14:paraId="0000093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K. Use of gene-altering technologies in warfare and terrorism.</w:t>
      </w:r>
    </w:p>
    <w:p w:rsidR="00000000" w:rsidDel="00000000" w:rsidP="00000000" w:rsidRDefault="00000000" w:rsidRPr="00000000" w14:paraId="0000093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Genetic scenarios for technologies involving non-human genomes:</w:t>
      </w:r>
    </w:p>
    <w:p w:rsidR="00000000" w:rsidDel="00000000" w:rsidP="00000000" w:rsidRDefault="00000000" w:rsidRPr="00000000" w14:paraId="0000093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Bioremediation cases;</w:t>
      </w:r>
    </w:p>
    <w:p w:rsidR="00000000" w:rsidDel="00000000" w:rsidP="00000000" w:rsidRDefault="00000000" w:rsidRPr="00000000" w14:paraId="0000093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Pollution liability signature cases;</w:t>
      </w:r>
    </w:p>
    <w:p w:rsidR="00000000" w:rsidDel="00000000" w:rsidP="00000000" w:rsidRDefault="00000000" w:rsidRPr="00000000" w14:paraId="0000093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Other environmental cases, including conservation</w:t>
      </w:r>
    </w:p>
    <w:p w:rsidR="00000000" w:rsidDel="00000000" w:rsidP="00000000" w:rsidRDefault="00000000" w:rsidRPr="00000000" w14:paraId="0000093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D.Human food safety cases, including allergenic claims; </w:t>
      </w:r>
    </w:p>
    <w:p w:rsidR="00000000" w:rsidDel="00000000" w:rsidP="00000000" w:rsidRDefault="00000000" w:rsidRPr="00000000" w14:paraId="0000093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 Agricultural product claims including contamination and genetic drift claims.</w:t>
      </w:r>
    </w:p>
    <w:p w:rsidR="00000000" w:rsidDel="00000000" w:rsidP="00000000" w:rsidRDefault="00000000" w:rsidRPr="00000000" w14:paraId="0000093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Non-Medical Scenarios Employing Genetic Testing and Other Biotechnology:</w:t>
      </w:r>
    </w:p>
    <w:p w:rsidR="00000000" w:rsidDel="00000000" w:rsidP="00000000" w:rsidRDefault="00000000" w:rsidRPr="00000000" w14:paraId="0000093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Qualification for home mortgages and other loans; </w:t>
      </w:r>
    </w:p>
    <w:p w:rsidR="00000000" w:rsidDel="00000000" w:rsidP="00000000" w:rsidRDefault="00000000" w:rsidRPr="00000000" w14:paraId="0000093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Eligibility for life insurance policies; </w:t>
      </w:r>
    </w:p>
    <w:p w:rsidR="00000000" w:rsidDel="00000000" w:rsidP="00000000" w:rsidRDefault="00000000" w:rsidRPr="00000000" w14:paraId="0000093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Eligibility or fee-schedules for health insurance policies;</w:t>
      </w:r>
    </w:p>
    <w:p w:rsidR="00000000" w:rsidDel="00000000" w:rsidP="00000000" w:rsidRDefault="00000000" w:rsidRPr="00000000" w14:paraId="0000093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Eligibility for educational admission, promotion and occupational certification; </w:t>
      </w:r>
    </w:p>
    <w:p w:rsidR="00000000" w:rsidDel="00000000" w:rsidP="00000000" w:rsidRDefault="00000000" w:rsidRPr="00000000" w14:paraId="0000093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 Privacy and disclosure limitations of genetic tests for diseases, predispositions and susceptibilities, including the role of and safeguards for genetic databases.</w:t>
      </w:r>
    </w:p>
    <w:p w:rsidR="00000000" w:rsidDel="00000000" w:rsidP="00000000" w:rsidRDefault="00000000" w:rsidRPr="00000000" w14:paraId="0000093F">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Eugenics Shadow for Case Scenarios</w:t>
      </w:r>
    </w:p>
    <w:p w:rsidR="00000000" w:rsidDel="00000000" w:rsidP="00000000" w:rsidRDefault="00000000" w:rsidRPr="00000000" w14:paraId="0000094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Mention should be made of eugenics, the last century's discredited social doctrine based on false biological information manufactured for the justification of discrimination and individual and population group harms. I need not catalogue eugenics world-wide, dreary history. It will suffice to note that as we enter the age of the New Biology, all case scenarios are shadowed by the fact that gene technologies provide a new basis for favoring some heritages and eschewing others. Courts must be especially sensitive to elevating our conception of human rights above the formulas that will be advanced by some to deprive people of their humanity based on genetic arguments. While life technologies can be expected to improve the quality of life, the rule of law must trump all enterprises and place in proper context that each human person has equal rights under law.</w:t>
      </w:r>
    </w:p>
    <w:p w:rsidR="00000000" w:rsidDel="00000000" w:rsidP="00000000" w:rsidRDefault="00000000" w:rsidRPr="00000000" w14:paraId="00000941">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International Perspective </w:t>
      </w:r>
    </w:p>
    <w:p w:rsidR="00000000" w:rsidDel="00000000" w:rsidP="00000000" w:rsidRDefault="00000000" w:rsidRPr="00000000" w14:paraId="00000942">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for Life Technology Disputes</w:t>
      </w:r>
    </w:p>
    <w:p w:rsidR="00000000" w:rsidDel="00000000" w:rsidP="00000000" w:rsidRDefault="00000000" w:rsidRPr="00000000" w14:paraId="0000094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Biotechnology offers the best hope in human history for cost-effective health care, remediation of degraded and dangerous natural environments, and a sufficient and nutritious food supply for ten billion who will inhabit this planet by the quarter-century mark. </w:t>
      </w:r>
    </w:p>
    <w:p w:rsidR="00000000" w:rsidDel="00000000" w:rsidP="00000000" w:rsidRDefault="00000000" w:rsidRPr="00000000" w14:paraId="0000094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molecular medicine, we will soon inherit treatments for human illnesses once thought entirely impossible. They include cancers, diseases of combined genetic and environmental causation. From veterinary biotechnology, we may be able to assure biological diversity of the world's species and the conservation of endangered species. From microbial biotechnology, we soon could harness the means to use engineered bacteria for environmental restoration. From agricultural biotechnology, we can expect nutrition supplements and vaccines to be built into health-promoting foods. The economies of many nations are now directed to biotechnology as a hope for future trade, wealth and security. From these hopeful perspectives, there is no better time to be alive and there never has been a better time for children's advent into the world.</w:t>
      </w:r>
    </w:p>
    <w:p w:rsidR="00000000" w:rsidDel="00000000" w:rsidP="00000000" w:rsidRDefault="00000000" w:rsidRPr="00000000" w14:paraId="0000094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the same time, these life technologies spawn disputes that place courts front and center in the resolutions that will enhance their benefits and contain their risks. Courts could anticipate them in the course of conferencing and judicial education activities without diverting too much time or effort from the normally daunting responsibilities of case processing and management.</w:t>
      </w:r>
    </w:p>
    <w:p w:rsidR="00000000" w:rsidDel="00000000" w:rsidP="00000000" w:rsidRDefault="00000000" w:rsidRPr="00000000" w14:paraId="0000094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Three life technology issues arise all over the world. They provide a strong reason for courts to develop a global community of discourse. The first is human experimentation. The second is the nature and status of biological property. The third is the release of genetically modified organisms into the environment.</w:t>
      </w:r>
    </w:p>
    <w:p w:rsidR="00000000" w:rsidDel="00000000" w:rsidP="00000000" w:rsidRDefault="00000000" w:rsidRPr="00000000" w14:paraId="0000094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b w:val="1"/>
          <w:bCs w:val="1"/>
          <w:rtl w:val="0"/>
        </w:rPr>
        <w:t xml:space="preserve">Human experimentation. </w:t>
      </w:r>
      <w:r w:rsidDel="00000000" w:rsidR="00000000" w:rsidRPr="00000000">
        <w:rPr>
          <w:rFonts w:ascii="Georgia" w:cs="Georgia" w:eastAsia="Georgia" w:hAnsi="Georgia"/>
          <w:rtl w:val="0"/>
        </w:rPr>
        <w:t xml:space="preserve">Courts will hear cases of direct and indirect human experimentation. Direct human experimentation is conducted through clinical trials based upon people. While laboratory and animal studies guide technology development, the only certain way to assess biological tests and therapies intended for humans is to test them on humans. Gene therapy to repair Monomine Oxidase A deficiency, for example, can only be proved safe and efficacious in human clinical trials. But who conducts these trials, and with what ethical safeguards is of paramount importance. Courts will soon get cases in large alleging breach of human subject protections or breach of human rights conventions in the absence of explicit human subject protections. Unless courts understand the scientific and technological basis for these trials, conditions exist for important errors and harms.</w:t>
      </w:r>
    </w:p>
    <w:p w:rsidR="00000000" w:rsidDel="00000000" w:rsidP="00000000" w:rsidRDefault="00000000" w:rsidRPr="00000000" w14:paraId="0000094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Many nations have laws, regulations and standards governing human clinical trials. Judges must understand the legal causes and biomedical causation in disputes alleged to violate national standards. This matter holds international implications because much human experimentation will be conducted by international teams, especially transnational corporations seeking new drugs, vaccines, and medical technologies. Because the world's legal domain is so varied as to the nature of human subject policies and remedies, it. will be important for judges to know the span of legal doctrines, and what their colleagues in other nations apply as law in such cases.</w:t>
      </w:r>
    </w:p>
    <w:p w:rsidR="00000000" w:rsidDel="00000000" w:rsidP="00000000" w:rsidRDefault="00000000" w:rsidRPr="00000000" w14:paraId="0000094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b w:val="1"/>
          <w:bCs w:val="1"/>
          <w:rtl w:val="0"/>
        </w:rPr>
        <w:t xml:space="preserve">Indirect experimentation</w:t>
      </w:r>
      <w:r w:rsidDel="00000000" w:rsidR="00000000" w:rsidRPr="00000000">
        <w:rPr>
          <w:rFonts w:ascii="Georgia" w:cs="Georgia" w:eastAsia="Georgia" w:hAnsi="Georgia"/>
          <w:rtl w:val="0"/>
        </w:rPr>
        <w:t xml:space="preserve"> is conducted by monitoring the effects upon human populations of life technologies directed initially at environmental remediation and agricultural products. Our interdependent, interactive world assures multiple impacts from intervention intended for one purpose but resulting in several outcomes. Cleaning a waterway from bacteria seeping from agricultural livestock, for example, may result in some unanticipated consequences for humans using it. Fashioning remedies in such complex, indirect cases will be common tasks in law courts as engineered biology is used to promote life. Judges will be asked to rule on evidence generated by new scientific techniques, such as meta-analyses and risk analyses. Public confidence in rulings will depend in large part upon the judiciary's confidence in managing such evidence. </w:t>
      </w:r>
    </w:p>
    <w:p w:rsidR="00000000" w:rsidDel="00000000" w:rsidP="00000000" w:rsidRDefault="00000000" w:rsidRPr="00000000" w14:paraId="0000094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b w:val="1"/>
          <w:bCs w:val="1"/>
          <w:rtl w:val="0"/>
        </w:rPr>
        <w:t xml:space="preserve">The nature and status of biological property </w:t>
      </w:r>
      <w:r w:rsidDel="00000000" w:rsidR="00000000" w:rsidRPr="00000000">
        <w:rPr>
          <w:rFonts w:ascii="Georgia" w:cs="Georgia" w:eastAsia="Georgia" w:hAnsi="Georgia"/>
          <w:rtl w:val="0"/>
        </w:rPr>
        <w:t xml:space="preserve">is a matter for international treaty, but some nations or constituencies feel left out of considerations. They will take their cases to court. They will plead for equity and argue to invalidate treaty provisions. To deal with such claims, judges will need to know the various schemes of intellectual property protection.</w:t>
      </w:r>
    </w:p>
    <w:p w:rsidR="00000000" w:rsidDel="00000000" w:rsidP="00000000" w:rsidRDefault="00000000" w:rsidRPr="00000000" w14:paraId="0000094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Finally, food and agricultural disputes can be expected to expand. Changes in the nature of food deeply affect cultural perspectives. Control over food is one of human kind's most dearly protected privileges. We can expect legal attacks upon new technologies that threaten to control. Judges, again, will fortify confidence in the rule of law when their decisions and the opinions supporting those decisions disclose an understanding of the biological elements brought to the Bench as essential ingredients of their disputes. </w:t>
      </w:r>
    </w:p>
    <w:p w:rsidR="00000000" w:rsidDel="00000000" w:rsidP="00000000" w:rsidRDefault="00000000" w:rsidRPr="00000000" w14:paraId="0000094C">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Prospects for Effective Adjudication </w:t>
      </w:r>
    </w:p>
    <w:p w:rsidR="00000000" w:rsidDel="00000000" w:rsidP="00000000" w:rsidRDefault="00000000" w:rsidRPr="00000000" w14:paraId="0000094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of Life Technology Disputes</w:t>
      </w:r>
    </w:p>
    <w:p w:rsidR="00000000" w:rsidDel="00000000" w:rsidP="00000000" w:rsidRDefault="00000000" w:rsidRPr="00000000" w14:paraId="0000094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Never in prior human history have we had the ability to plan and engineer our biological future. Life technologies now place that future squarely in our hands. That power used for human good could produce unlimited benefits - cure of disease, remediation of handicaps, supplies of vital replacement organs, extended life spans among them. Never in human history have we had the opportunity to squander our biological resources and distort life technologies for unlawful purposes.</w:t>
      </w:r>
    </w:p>
    <w:p w:rsidR="00000000" w:rsidDel="00000000" w:rsidP="00000000" w:rsidRDefault="00000000" w:rsidRPr="00000000" w14:paraId="0000094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Judicial capacity can be built to apply the rule of law to the optimistic prospects and dispute scenarios promised by life's new technologies. But judicial branches can no longer expect national borders to confine disputes or decisions. Judicial capacity can best be enhanced by establishing and maintaining a community of discourse, an interacting judicial core from every nation boasting an independent judicial system.</w:t>
      </w:r>
    </w:p>
    <w:p w:rsidR="00000000" w:rsidDel="00000000" w:rsidP="00000000" w:rsidRDefault="00000000" w:rsidRPr="00000000" w14:paraId="0000095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effectively apply and enforce the law under these new, volatile, promising and fear-generating conditions, courts will benefit from collegial consultation and exchange. Effective adjudication never depended so much upon shared jurists' perspectives. Respectful differences in those perspectives can be bridged by the enrichment provided by shared judicial experiences. EINSHAC's International Program will continue in 2001 with a working conversation in Hawaii for Common Law and Pacific Rim courts, in the Hague, and in Rome. We hope that the wonderful knowledge and legacy of the Philippine Supreme Court and its constituent forums can be shared with the world's judiciary. </w:t>
      </w:r>
    </w:p>
    <w:p w:rsidR="00000000" w:rsidDel="00000000" w:rsidP="00000000" w:rsidRDefault="00000000" w:rsidRPr="00000000" w14:paraId="0000095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EINSHAC and its judicial and legal leadership look forward to the Philippine Supreme Court's legacy for the next hundred years, a legacy that will include leadership in harnessing burgeoning life technologies to the rule of law.</w:t>
      </w:r>
    </w:p>
    <w:p w:rsidR="00000000" w:rsidDel="00000000" w:rsidP="00000000" w:rsidRDefault="00000000" w:rsidRPr="00000000" w14:paraId="0000095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br w:type="textWrapping"/>
        <w:t xml:space="preserve">NOTE:</w:t>
      </w:r>
    </w:p>
    <w:p w:rsidR="00000000" w:rsidDel="00000000" w:rsidP="00000000" w:rsidRDefault="00000000" w:rsidRPr="00000000" w14:paraId="0000095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comments, ideas and opinions herein presented are solely those of the author. They do not necessarily represent the opinions or policies of the Directors of the Einstein Institute for Science, Health &amp; the Courts (EINSHAC). The Author's work in preparation of the Philippine Supreme Court Centenary Lecture was supported in part by the Office of Biological and Environmental Research, U.S. Department of Energy, and the National Institute of Environmental Health Sciences, NIH, U.S. Department of Health and Human Services. The comments, ideas and opinions herein presented do not necessarily represent the opinions or          policies of the U.S. Department of Energy or of the National Institute of Environmental Health Sciences.                     </w:t>
      </w:r>
    </w:p>
    <w:p w:rsidR="00000000" w:rsidDel="00000000" w:rsidP="00000000" w:rsidRDefault="00000000" w:rsidRPr="00000000" w14:paraId="00000954">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955">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Appendix B</w:t>
      </w:r>
    </w:p>
    <w:p w:rsidR="00000000" w:rsidDel="00000000" w:rsidP="00000000" w:rsidRDefault="00000000" w:rsidRPr="00000000" w14:paraId="00000956">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957">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GMO &amp; Food Products: Current &amp; Emerging Issues </w:t>
      </w:r>
    </w:p>
    <w:p w:rsidR="00000000" w:rsidDel="00000000" w:rsidP="00000000" w:rsidRDefault="00000000" w:rsidRPr="00000000" w14:paraId="00000958">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95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Hon. Leonardo A. Quisumbing </w:t>
      </w:r>
    </w:p>
    <w:p w:rsidR="00000000" w:rsidDel="00000000" w:rsidP="00000000" w:rsidRDefault="00000000" w:rsidRPr="00000000" w14:paraId="0000095A">
      <w:pPr>
        <w:spacing w:after="80" w:before="80" w:lineRule="auto"/>
        <w:ind w:firstLine="360"/>
        <w:jc w:val="center"/>
        <w:rPr>
          <w:rFonts w:ascii="Georgia" w:cs="Georgia" w:eastAsia="Georgia" w:hAnsi="Georgia"/>
        </w:rPr>
      </w:pPr>
      <w:r w:rsidDel="00000000" w:rsidR="00000000" w:rsidRPr="00000000">
        <w:rPr>
          <w:rFonts w:ascii="Georgia" w:cs="Georgia" w:eastAsia="Georgia" w:hAnsi="Georgia"/>
          <w:rtl w:val="0"/>
        </w:rPr>
        <w:t xml:space="preserve">Associate Justice, Supreme Court</w:t>
      </w:r>
    </w:p>
    <w:p w:rsidR="00000000" w:rsidDel="00000000" w:rsidP="00000000" w:rsidRDefault="00000000" w:rsidRPr="00000000" w14:paraId="0000095B">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95C">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w:t>
      </w:r>
    </w:p>
    <w:p w:rsidR="00000000" w:rsidDel="00000000" w:rsidP="00000000" w:rsidRDefault="00000000" w:rsidRPr="00000000" w14:paraId="0000095D">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Risks and the Promise</w:t>
      </w:r>
    </w:p>
    <w:p w:rsidR="00000000" w:rsidDel="00000000" w:rsidP="00000000" w:rsidRDefault="00000000" w:rsidRPr="00000000" w14:paraId="0000095E">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Lies Ahead in Asia?</w:t>
      </w:r>
    </w:p>
    <w:p w:rsidR="00000000" w:rsidDel="00000000" w:rsidP="00000000" w:rsidRDefault="00000000" w:rsidRPr="00000000" w14:paraId="0000095F">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96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Biotechnology is one field where the law appears to lag behind science. Yet modern biotechnology is now a booming multi-billion dollar industry worldwide. Food biotechnology, in particular, holds the promise of abundance. But it is mired in controversy. Much of it concerns genetically modified organisms and the dangers they pose, when released to the environment or ingested as art of food products for people or feeds for livestock.</w:t>
      </w:r>
    </w:p>
    <w:p w:rsidR="00000000" w:rsidDel="00000000" w:rsidP="00000000" w:rsidRDefault="00000000" w:rsidRPr="00000000" w14:paraId="0000096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Bishop Jesus Varela, an adviser of Biotechnology Foundation, recently underscored the essence of the debate about GMO and food products:</w:t>
      </w:r>
    </w:p>
    <w:p w:rsidR="00000000" w:rsidDel="00000000" w:rsidP="00000000" w:rsidRDefault="00000000" w:rsidRPr="00000000" w14:paraId="0000096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"Society has a moral responsibility to feed the world's burgeoning population. The solution is not population control, but rather food production . . . food biotechnology promises us this is possible though there are risks . . . </w:t>
      </w:r>
    </w:p>
    <w:p w:rsidR="00000000" w:rsidDel="00000000" w:rsidP="00000000" w:rsidRDefault="00000000" w:rsidRPr="00000000" w14:paraId="0000096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"Whether GMO can and will deliver its promise to alleviate world hunger remains to be seen. It has enormous potential. But the risks have to be addressed." (Phil. Daily Inquirer, "Ex-bishop urges caution on GMOs," 12/08/03, p.14, c.6. See also his paper at the Conference on the "Ethics of GMO: Its Application to the Philippines.")</w:t>
      </w:r>
    </w:p>
    <w:p w:rsidR="00000000" w:rsidDel="00000000" w:rsidP="00000000" w:rsidRDefault="00000000" w:rsidRPr="00000000" w14:paraId="0000096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Last month, Bishop Dinualdo Gutierrez of South Cotabato touched on a current feature of the controversy: ongoing street protests. Streamers in churches and cathedral in Mindanao denounced products containing GMO. This appeared to be part of the struggle against transgenic crops and foods entering the country. The religious sector in Koronadal City launched a campaign to boycott certain staples, particularly Bt corn. A parish priest there, Fr. Bo Parreño, averred the boycott aims "to secure the health of humans from the alleged hazardous effects of genetically altered crops." An advocacy officer of the diocesan justice and peace desk, Gloria Sabit, added that the local church was urging parishioners "to boycott the products containing GMOs because they have not been proven safe to human health and the environment." (Today,'"Boycott of GMO food launched," 22/07/03, p. 3, c.2).</w:t>
      </w:r>
    </w:p>
    <w:p w:rsidR="00000000" w:rsidDel="00000000" w:rsidP="00000000" w:rsidRDefault="00000000" w:rsidRPr="00000000" w14:paraId="0000096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What is happening in Mindanao is not isolated. Violent demos, mass rallies, and hunger strikes have also been staged in Metro Manila, Northern Luzon, and the Visayas, against Bt corn and other GMO crops.</w:t>
      </w:r>
    </w:p>
    <w:p w:rsidR="00000000" w:rsidDel="00000000" w:rsidP="00000000" w:rsidRDefault="00000000" w:rsidRPr="00000000" w14:paraId="0000096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response of the government to the boycott demanding a moratorium on biotech crops such as Bt corn partakes of a forensic challenge to anti-biotech forces. Secretary Luis "Chito" Lorenzo, Jr., has stated that a moratorium would mean "reversing more than five years of scientific studies by the government and the private sector." The government, he stressed, would consider a moratorium on Bt corn planting in the country only after there is a showing by "overwhelming" scientific evidence that the crop poses health and environmental dangers. This response flies in the face of the assertion of some scientists, including Dr. Chito Medina of U.P., Los Baños, that Bt corn and other genetically altered crops were not yet "scientifically proven to be safe for consumption." The forensic battle of the two "Chitos" is reflected in media debates involving not only activist laymen but highly trained scientists and technocrats, such as a hunger strike leader, Engr. Ben Bersola. It is safe to say that the GMO controversy is not limited to scientific fora and journals abroad. It has now intruded into public decision-making here as well.</w:t>
      </w:r>
    </w:p>
    <w:p w:rsidR="00000000" w:rsidDel="00000000" w:rsidP="00000000" w:rsidRDefault="00000000" w:rsidRPr="00000000" w14:paraId="0000096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Yes, GMO is now in Asia. Independent of foreign aid, China has built up its biotechnology capacity. It has been noted that China has done better than most developing countries to promote use of GM crops. (UNU/Intech I:2:2002). The worry in the developing world, according to Kiran Mazumdar-Shaw, chairwoman of India Biocon company, "is this: Why has Europe banned it? It must be for " Yet, she believes that India must enhance a reason. biotechnology to overcome widespread poverty, malnutrition, hunger, and disease. (IHT, "From Indian taboo, biotech is born," 8/19/03, p. 11, c.2).</w:t>
      </w:r>
    </w:p>
    <w:p w:rsidR="00000000" w:rsidDel="00000000" w:rsidP="00000000" w:rsidRDefault="00000000" w:rsidRPr="00000000" w14:paraId="0000096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the outset, we must acknowledge the historical contributions of two monks, Mendel and Malthus, to the present debate. GM coincidentally are the initials of Gregor Mendel, 1822-84, the recognized father of the science of modern genetics. It was this Moravian monk who cultivated different kinds of peas and recorded the effect of their crosspollination on hereditary traits. The other clergyman, Thomas Malthus, 1766-1834, is remembered for a theory named after him. His essay, </w:t>
      </w:r>
      <w:r w:rsidDel="00000000" w:rsidR="00000000" w:rsidRPr="00000000">
        <w:rPr>
          <w:rFonts w:ascii="Georgia" w:cs="Georgia" w:eastAsia="Georgia" w:hAnsi="Georgia"/>
          <w:i w:val="1"/>
          <w:iCs w:val="1"/>
          <w:rtl w:val="0"/>
        </w:rPr>
        <w:t xml:space="preserve">On the Principle of Population</w:t>
      </w:r>
      <w:r w:rsidDel="00000000" w:rsidR="00000000" w:rsidRPr="00000000">
        <w:rPr>
          <w:rFonts w:ascii="Georgia" w:cs="Georgia" w:eastAsia="Georgia" w:hAnsi="Georgia"/>
          <w:rtl w:val="0"/>
        </w:rPr>
        <w:t xml:space="preserve">, posited a crowded planet where food supply is outstripped by population growth, so that starvation and death result. At the time, 1798, earth’s population was about 800 million only. Now, the same number, if not more, go to bed hungry every night. The world population now exceeds 6 billion, but acreage of arable land actually diminished for various reasons like war, urbanization, climate change, and desertification. It is said that in some southern African countries, e.g. Zambia, Zimbabwe and Mozambique, some 15 million people face starvation yearly because of drought and flood. In northern Asia, a vast expanse of mainland China is being overrun by dust and sandstorm, destroying pastures and croplands, obviously without regard to ideology.</w:t>
      </w:r>
    </w:p>
    <w:p w:rsidR="00000000" w:rsidDel="00000000" w:rsidP="00000000" w:rsidRDefault="00000000" w:rsidRPr="00000000" w14:paraId="0000096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Expanding population and dwindling resources, sparking local wars and widespread violence, are not a novelty in our midst. That is why those in government including the judiciary must take heed of what lies ahead. Let me just call attention to one forecast:</w:t>
      </w:r>
    </w:p>
    <w:p w:rsidR="00000000" w:rsidDel="00000000" w:rsidP="00000000" w:rsidRDefault="00000000" w:rsidRPr="00000000" w14:paraId="0000096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5050 or so, the world population could start to level off at about 9 billion. Most of the increase in population will be in the developing w o r l d . . . All the signs point to a future in which the world's poor will not be able to afford enough food to live on and in which the distribution system in undeveloped countries will not improve sufficiently to distribute [food] that is available." (Peter Pringle, Food Inc., p. 20.) </w:t>
      </w:r>
    </w:p>
    <w:p w:rsidR="00000000" w:rsidDel="00000000" w:rsidP="00000000" w:rsidRDefault="00000000" w:rsidRPr="00000000" w14:paraId="0000096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Forewarned is forearmed. Could recombinant DNA technology or bio-engineering (gene splicing or genetic modification) of staple crops and food products come to the rescue? If so, at what risks, and what price? </w:t>
      </w:r>
    </w:p>
    <w:p w:rsidR="00000000" w:rsidDel="00000000" w:rsidP="00000000" w:rsidRDefault="00000000" w:rsidRPr="00000000" w14:paraId="0000096C">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II.</w:t>
      </w:r>
    </w:p>
    <w:p w:rsidR="00000000" w:rsidDel="00000000" w:rsidP="00000000" w:rsidRDefault="00000000" w:rsidRPr="00000000" w14:paraId="0000096D">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Patent on a Life Form: Microbes Win in America?</w:t>
      </w:r>
    </w:p>
    <w:p w:rsidR="00000000" w:rsidDel="00000000" w:rsidP="00000000" w:rsidRDefault="00000000" w:rsidRPr="00000000" w14:paraId="0000096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a round-table conference with judges of the Court of Appeals for the Federal Circuit and patent attorneys in Washington, D.C., this spring, we had a chance to discuss whether a living creature or life form could be the subject of a valid patent. Attention was called to the American case of Diamond v. Chakrabarty, 447 US 303 (1980).</w:t>
      </w:r>
    </w:p>
    <w:p w:rsidR="00000000" w:rsidDel="00000000" w:rsidP="00000000" w:rsidRDefault="00000000" w:rsidRPr="00000000" w14:paraId="0000096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appears that in 1972, Dr. Ananda Chakrabarty, a GE microbiologist, applied for a U.S. patent on "human-made, genetically engineered bacterium" capable of breaking down multiple components of crude oil, a capability not possessed by ordinary bacteria. The patent examiner denied his application on the ground that "micro-organisms are products of nature" and "living things were not patentable." The Patent Board of Appeals upheld the examiner's decision. But the Court of Customs and Patent Appeals reversed the Board. So Commissioner Diamond went on certiorari before the U.S. Supreme Court.</w:t>
      </w:r>
    </w:p>
    <w:p w:rsidR="00000000" w:rsidDel="00000000" w:rsidP="00000000" w:rsidRDefault="00000000" w:rsidRPr="00000000" w14:paraId="0000097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 split decision, 5 to 4, the U.S. Supreme Court in 1980 held that Chakrabarty's bacterium is patentable. The majority reasoned that Congress meant the patent law to be of wide scope, so as to cover anything under the sun made by man's ingenuity. The fact that the applicant's microorganism is alive is without legal significance for purposes of the patent law, said the majority, citing In re Bergy, 563 F2d 1031. What is decisive is the fact that the applicant's microbe bore markedly different characteristics from any found in nature, with the potential for significant utility. The relevant distinction is not between living and inanimate things but between manmade inventions and products of nature. Chakrabarty's claims were upheld; his bacterium passed the triple tests of utility, novelty, and non-obviousness upon which patentability of an invention depends. </w:t>
      </w:r>
    </w:p>
    <w:p w:rsidR="00000000" w:rsidDel="00000000" w:rsidP="00000000" w:rsidRDefault="00000000" w:rsidRPr="00000000" w14:paraId="0000097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development, according to the minority view, went against the 1970 law known as the Plant Variety Protection Act, which specifically excluded bacteria. The dissenters argued that only the U.S. Congress, not the Supreme Court, could broaden the reach of patent laws. In 1930, it was recalled, the Plant Patent Act covered only species (whether fruits, nuts or flowers) that are asexually propagated. Breeders' monopoly control over staple crops was rejected, particularly over potatoes. The 1970 statute on plant variety protection gave only patent-like protection to food crops that sexually reproduced (eg. corn, wheat and rice). The 1980 decision, from the minority point of view, looked novel indeed. This radical development was further bolstered soon by actions taken by the patent office itself. It granted a series of patents to another microbiologist (Kenneth Hibberd) on a new line of corn, covering the process of creating the new variety as well as the product - namely the DNA (deoxyribonucleic acid) sequence, genes, cells, tissue culture, seed, specific parts of the plant, and the entire plant itself.</w:t>
      </w:r>
    </w:p>
    <w:p w:rsidR="00000000" w:rsidDel="00000000" w:rsidP="00000000" w:rsidRDefault="00000000" w:rsidRPr="00000000" w14:paraId="0000097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Dr. Chakrabarty was pleasantly surprised by his victory in court. All he did, according to him, was to make what amounted to a soup of different strains of bacteria hoping they would interact. What he got was a new life form, with a patent to his credit, assigned to GE. At Wall Street, the risk takers were jubilant: stock prices of biotech firms shot up dramatically.</w:t>
      </w:r>
    </w:p>
    <w:p w:rsidR="00000000" w:rsidDel="00000000" w:rsidP="00000000" w:rsidRDefault="00000000" w:rsidRPr="00000000" w14:paraId="0000097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Thereafter, it is said the patent office started granting patents on "products of nature," or functional equivalents. Products of skill rather than invention received patents. Apparently the American biotech industry was in a race against time to assure its pre-eminence globally. Even university researchers, under the Bayh-Dole Act of 1980, could take patents on federally funded projects. Later, colleges and individual academic researchers entered into deals with corporations engaged in biotechnology and related sciences. Companies were created just to buy other companies possessing patent rights. </w:t>
      </w:r>
    </w:p>
    <w:p w:rsidR="00000000" w:rsidDel="00000000" w:rsidP="00000000" w:rsidRDefault="00000000" w:rsidRPr="00000000" w14:paraId="0000097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result? Fear of US monopolies or oligopolies in the biotech industry, agribusiness and research. Anxious Europeans responded with regulations that apparently built a grand trade barrier against American ingenuity.</w:t>
      </w:r>
    </w:p>
    <w:p w:rsidR="00000000" w:rsidDel="00000000" w:rsidP="00000000" w:rsidRDefault="00000000" w:rsidRPr="00000000" w14:paraId="00000975">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III.</w:t>
      </w:r>
    </w:p>
    <w:p w:rsidR="00000000" w:rsidDel="00000000" w:rsidP="00000000" w:rsidRDefault="00000000" w:rsidRPr="00000000" w14:paraId="00000976">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Labelling and Traceability: </w:t>
      </w:r>
    </w:p>
    <w:p w:rsidR="00000000" w:rsidDel="00000000" w:rsidP="00000000" w:rsidRDefault="00000000" w:rsidRPr="00000000" w14:paraId="00000977">
      <w:pPr>
        <w:spacing w:after="80" w:before="80" w:lineRule="auto"/>
        <w:ind w:firstLine="360"/>
        <w:jc w:val="center"/>
        <w:rPr>
          <w:rFonts w:ascii="Georgia" w:cs="Georgia" w:eastAsia="Georgia" w:hAnsi="Georgia"/>
        </w:rPr>
      </w:pPr>
      <w:r w:rsidDel="00000000" w:rsidR="00000000" w:rsidRPr="00000000">
        <w:rPr>
          <w:rFonts w:ascii="Georgia" w:cs="Georgia" w:eastAsia="Georgia" w:hAnsi="Georgia"/>
          <w:b w:val="1"/>
          <w:bCs w:val="1"/>
          <w:rtl w:val="0"/>
        </w:rPr>
        <w:t xml:space="preserve">A "Frankenfood" in Europe?</w:t>
      </w:r>
      <w:r w:rsidDel="00000000" w:rsidR="00000000" w:rsidRPr="00000000">
        <w:rPr>
          <w:rFonts w:ascii="Georgia" w:cs="Georgia" w:eastAsia="Georgia" w:hAnsi="Georgia"/>
          <w:rtl w:val="0"/>
        </w:rPr>
        <w:t xml:space="preserve"> </w:t>
      </w:r>
    </w:p>
    <w:p w:rsidR="00000000" w:rsidDel="00000000" w:rsidP="00000000" w:rsidRDefault="00000000" w:rsidRPr="00000000" w14:paraId="0000097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Genetically modified organisms (GMO) may be defined as organisms in which the genetic material (DNA) has been altered in a way that does not occur naturally by mating or natural recombination. The technology of alteration is known as genetic engineering, recombinant DNA technology, or modern biotechnology. This technology allows selected individual genes to be transferred from one organism into another, as well as between non-related species. (See Brussels, Memo 02/160-Rev., 01/07/03.)</w:t>
      </w:r>
    </w:p>
    <w:p w:rsidR="00000000" w:rsidDel="00000000" w:rsidP="00000000" w:rsidRDefault="00000000" w:rsidRPr="00000000" w14:paraId="0000097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Considering the complexity of GMO debates, care must be taken to make a distinction between scientific questions requiring analysis and ideological questions raised for nonscientific reasons. But pardon me if sometimes I get carried away and forget the distinction.</w:t>
      </w:r>
    </w:p>
    <w:p w:rsidR="00000000" w:rsidDel="00000000" w:rsidP="00000000" w:rsidRDefault="00000000" w:rsidRPr="00000000" w14:paraId="0000097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1998, the EU closed its doors to GM crops. The GM controversy devastated the US farm-products from Europe, for instance, halving the sale of soya pro engineered herbicide-resistant soybeans. Recent scare stories like the "mad cow disease," also shook public GMO food products.</w:t>
      </w:r>
    </w:p>
    <w:p w:rsidR="00000000" w:rsidDel="00000000" w:rsidP="00000000" w:rsidRDefault="00000000" w:rsidRPr="00000000" w14:paraId="0000097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Antibiotech forces fall into 3 groups: rejectionists, reformists and moderates. For safety and environmental as well as religious and ideological reasons, rejectionists believe plant biotechnology is wrong and dangerous. Reformists dislike new and alien foods for humans as well as feeds for livestock. They believe scientists, business and government mishandled the problem of GMO products. The moderate organic group of growers and consumers wanted immediate labeling of GMO products. GM crops must be isolated, to reduce cross-pollination. Tracers must be significantly used to prevent genetic pollution. </w:t>
      </w:r>
    </w:p>
    <w:p w:rsidR="00000000" w:rsidDel="00000000" w:rsidP="00000000" w:rsidRDefault="00000000" w:rsidRPr="00000000" w14:paraId="0000097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1996, the first GM product - a paste of tom bought fish gene - appeared in Britain. The Britons bought it enthusiastically as it was cheaper than usual. But by Christmas 1998, sales of that tomato sauce paste reportedly dropped to almost zero. Large European market chains had joined forces to eliminate GM ingredients from made it clear, product brands. Reason: US companies had made it clear, rather proudly, that if Europeans wanted American soybeans their only choice would be the GM variety. Another reason: Prince Charles of England joined the fray and encouraged protests. The public became fearful and refused to buy GM food. NGOs like Greenpeace succeeded in halting the use or import of biotech crops. "Frankenfood" became a by-word to denigrate GMO and food products as monstrous and dangerous.</w:t>
      </w:r>
    </w:p>
    <w:p w:rsidR="00000000" w:rsidDel="00000000" w:rsidP="00000000" w:rsidRDefault="00000000" w:rsidRPr="00000000" w14:paraId="0000097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practice, the EC thru Directive 2001/18/EC continues in place a step-by-step process of approval on a case by case assessment of the risks to human health and the environment before any GMO or product consisting of or containing GMO, such as maize and tomatoes, or GMM (microorganisms) can be released to the environment or placed in the market. Directive 90/219/EEC, as amended, regulates the continued use of GMM for research and industrial purposes. Regulation (EC) 258 on Novel Food and Novel Food ingredients sets out rules for authorization and labeling of novel foods/ food products containing, consisting or produced from GMO. There are rules for genetically modified seeds and forestry reproductive material as well as medical and veterinary products. Since 1997, labeling is mandatory to indicate presence of GMO as such in a product. There are proposals now for new regulations on traceability and labeling of GMO and GMO products, including foods and feeds.</w:t>
      </w:r>
    </w:p>
    <w:p w:rsidR="00000000" w:rsidDel="00000000" w:rsidP="00000000" w:rsidRDefault="00000000" w:rsidRPr="00000000" w14:paraId="0000097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Noteworthy is the EC proposal on the regulations of exchange of GMOs with countries outside EU. This proposal appears to be in line with the UN agreement to establish by common rules for transboundary movements of GMOs in order to ensure globally the protection of human health and biodiversity (the UNEP Cartagena Protocol). GMOs for export have to be identified. Notification to those concerned must be made regarding exported GMOs intended for deliberate release into the environment, and even their accidental release. Information must also be provided to international partners of EC concerning Community legislation, decisions and practices on GMOs.</w:t>
      </w:r>
    </w:p>
    <w:p w:rsidR="00000000" w:rsidDel="00000000" w:rsidP="00000000" w:rsidRDefault="00000000" w:rsidRPr="00000000" w14:paraId="0000097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Needless to emphasize, the Europeans have been widely chided for over-regulation as well as for undermining globalization and free trade. Like rallyists before the Seattle WTO meeting, they seem to say loudly "NO, NO to GMO!"</w:t>
      </w:r>
    </w:p>
    <w:p w:rsidR="00000000" w:rsidDel="00000000" w:rsidP="00000000" w:rsidRDefault="00000000" w:rsidRPr="00000000" w14:paraId="00000980">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IV. </w:t>
      </w:r>
    </w:p>
    <w:p w:rsidR="00000000" w:rsidDel="00000000" w:rsidP="00000000" w:rsidRDefault="00000000" w:rsidRPr="00000000" w14:paraId="00000981">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Randy Rape Seed Case: </w:t>
      </w:r>
    </w:p>
    <w:p w:rsidR="00000000" w:rsidDel="00000000" w:rsidP="00000000" w:rsidRDefault="00000000" w:rsidRPr="00000000" w14:paraId="00000982">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 Gandhi in Canada? </w:t>
      </w:r>
    </w:p>
    <w:p w:rsidR="00000000" w:rsidDel="00000000" w:rsidP="00000000" w:rsidRDefault="00000000" w:rsidRPr="00000000" w14:paraId="0000098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Several cases are now on record among the classics of the court battles between opposing forces in biotech/GMO warfare. These include subjects like Bt toxin in transgenic potato; Star Link in taco shells; RiceTec and basmati rice; Delta-Pin eland and cotton; Bt pollen and monarch butterflies. But my favorite court saga is that of a Canadia prairie farmer and the so-called Round-up Ready Canola, also known as the randy rape seed.</w:t>
      </w:r>
    </w:p>
    <w:p w:rsidR="00000000" w:rsidDel="00000000" w:rsidP="00000000" w:rsidRDefault="00000000" w:rsidRPr="00000000" w14:paraId="0000098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Past retirement age, Percy Schmeiser was one of hundreds of farmers in Canada as well as the USA sued by the Monsanto company for illegally using its proprietary seeds. Allegedly, Percy planted in his 1400-acre family farm those seeds without Monsanto's prior consent and without him signing a technical use agreement with Monsanto. At that time, some 20,000 farmers had signed up so that 40% of canola grown in Canada used Monsanto's seeds. Known popularly as Round-up Ready Canola, they contain an alien gene which made them resistant to a herbicide called Roundup, another product of Monsanto company. Monsanto's seed police found that Percy had used its proprietary seeds in 90% of his farm area.</w:t>
      </w:r>
    </w:p>
    <w:p w:rsidR="00000000" w:rsidDel="00000000" w:rsidP="00000000" w:rsidRDefault="00000000" w:rsidRPr="00000000" w14:paraId="0000098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his defense, Percy contended that he was a victim of Monsanto's new technology which invaded his farm. He claimed the genetically modified seeds of Monsanto were blown by wind and carried by bees from Monsanto's contract farms to his own. Seed trucks of Monsanto trespassed into his land, and Monsanto's seeds fell from those trucks to his land. When the GM seeds sprouted and grew they contaminated his organic rape seeds, his plants and his harvest, he added.</w:t>
      </w:r>
    </w:p>
    <w:p w:rsidR="00000000" w:rsidDel="00000000" w:rsidP="00000000" w:rsidRDefault="00000000" w:rsidRPr="00000000" w14:paraId="0000098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Percy counter-sued, demanding $4.2 million from Monsanto for defamation, as well as for genetic pollution. According to him, Monsanto's canola plants had spread pollen all over the countryside. They cross-pollinated with conventional plants like his own. Organic farms like Percy's stood to lose their organic certificate, because of contamination by Monsanto's GM seed. These certificates take years to acquire and are prized possession. Once contaminated by GMOs, Percy's produce could no longer n   be sold as "GM-free." While the case was pending in court, Percy traveled to several countries with a message against GMO and Monsanto. India gave him a Gandhi award, and he was considered a folk hero.</w:t>
      </w:r>
    </w:p>
    <w:p w:rsidR="00000000" w:rsidDel="00000000" w:rsidP="00000000" w:rsidRDefault="00000000" w:rsidRPr="00000000" w14:paraId="0000098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federal court, however, found in favor of Monsanto. It did not matter, said the judge, where in this case the rape seeds actually came from and how they got to be in Percy's farm. The source of the seeds is not decisive in the issue of liability for illegal use of proprietary seeds. Percy ought to know or have known that planting those seeds and growing the genetically modified canola plants without prior leave or license given by Monsanto is an infringement of the company's patent. Hence, Percy is liable to pay royalty as well as damages to the company. (Percy has elevated his case to the Canada Supreme Court, whose decision is now awaited.)</w:t>
      </w:r>
    </w:p>
    <w:p w:rsidR="00000000" w:rsidDel="00000000" w:rsidP="00000000" w:rsidRDefault="00000000" w:rsidRPr="00000000" w14:paraId="00000988">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V.</w:t>
      </w:r>
    </w:p>
    <w:p w:rsidR="00000000" w:rsidDel="00000000" w:rsidP="00000000" w:rsidRDefault="00000000" w:rsidRPr="00000000" w14:paraId="00000989">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Of Transgenic Mice and Men:</w:t>
      </w:r>
    </w:p>
    <w:p w:rsidR="00000000" w:rsidDel="00000000" w:rsidP="00000000" w:rsidRDefault="00000000" w:rsidRPr="00000000" w14:paraId="0000098A">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Life Beyond Harvard's Creation? </w:t>
      </w:r>
    </w:p>
    <w:p w:rsidR="00000000" w:rsidDel="00000000" w:rsidP="00000000" w:rsidRDefault="00000000" w:rsidRPr="00000000" w14:paraId="0000098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last controversial case I would like to bring to the attention of our judges is that of the </w:t>
      </w:r>
      <w:r w:rsidDel="00000000" w:rsidR="00000000" w:rsidRPr="00000000">
        <w:rPr>
          <w:rFonts w:ascii="Georgia" w:cs="Georgia" w:eastAsia="Georgia" w:hAnsi="Georgia"/>
          <w:i w:val="1"/>
          <w:iCs w:val="1"/>
          <w:rtl w:val="0"/>
        </w:rPr>
        <w:t xml:space="preserve">oncomouse</w:t>
      </w:r>
      <w:r w:rsidDel="00000000" w:rsidR="00000000" w:rsidRPr="00000000">
        <w:rPr>
          <w:rFonts w:ascii="Georgia" w:cs="Georgia" w:eastAsia="Georgia" w:hAnsi="Georgia"/>
          <w:rtl w:val="0"/>
        </w:rPr>
        <w:t xml:space="preserve">, also known as the Harvard mouse case decided recently by the Canadian Supreme Court. (See </w:t>
      </w:r>
      <w:r w:rsidDel="00000000" w:rsidR="00000000" w:rsidRPr="00000000">
        <w:rPr>
          <w:rFonts w:ascii="Georgia" w:cs="Georgia" w:eastAsia="Georgia" w:hAnsi="Georgia"/>
          <w:i w:val="1"/>
          <w:iCs w:val="1"/>
          <w:rtl w:val="0"/>
        </w:rPr>
        <w:t xml:space="preserve">Canada Com. of Patents v. Harvard College</w:t>
      </w:r>
      <w:r w:rsidDel="00000000" w:rsidR="00000000" w:rsidRPr="00000000">
        <w:rPr>
          <w:rFonts w:ascii="Georgia" w:cs="Georgia" w:eastAsia="Georgia" w:hAnsi="Georgia"/>
          <w:rtl w:val="0"/>
        </w:rPr>
        <w:t xml:space="preserve">, 2002-12-05, SCC at http://www.canlii.org/ca/cas/scc/2002/ 2002cc76.html). Debated by that tribunal was the patentability of higher life forms. Could transgenic mammals like mice and even humans be patented? </w:t>
      </w:r>
    </w:p>
    <w:p w:rsidR="00000000" w:rsidDel="00000000" w:rsidP="00000000" w:rsidRDefault="00000000" w:rsidRPr="00000000" w14:paraId="0000098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Previously the USA, Japan, and many European countries have granted a patent on Harvard's mouse, which is used as a platform for the study of cancer cells. But the Canadian Supreme Court in a split decision, 5 to 4, sustained the decision of the Commissioner of Patents which denied Harvard's application to patent the oncomouse in Canada. The majority of the Court reasoned that the words "composition of matter" in the Canadian Patent Act do not the word "manufacture" in the context of said Act as commonly understood denotes a non-living mechanistic product or process, not a higher life form. (By way of distinction, Chakrabarty's patent in the USA involves a single cell microbe, a lower life form.) </w:t>
      </w:r>
    </w:p>
    <w:p w:rsidR="00000000" w:rsidDel="00000000" w:rsidP="00000000" w:rsidRDefault="00000000" w:rsidRPr="00000000" w14:paraId="0000098D">
      <w:pPr>
        <w:spacing w:after="80" w:before="80"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Four justices, including C.J. McLachlin, dissented. </w:t>
      </w:r>
    </w:p>
    <w:p w:rsidR="00000000" w:rsidDel="00000000" w:rsidP="00000000" w:rsidRDefault="00000000" w:rsidRPr="00000000" w14:paraId="0000098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their view, the </w:t>
      </w:r>
      <w:r w:rsidDel="00000000" w:rsidR="00000000" w:rsidRPr="00000000">
        <w:rPr>
          <w:rFonts w:ascii="Georgia" w:cs="Georgia" w:eastAsia="Georgia" w:hAnsi="Georgia"/>
          <w:i w:val="1"/>
          <w:iCs w:val="1"/>
          <w:rtl w:val="0"/>
        </w:rPr>
        <w:t xml:space="preserve">oncomouse</w:t>
      </w:r>
      <w:r w:rsidDel="00000000" w:rsidR="00000000" w:rsidRPr="00000000">
        <w:rPr>
          <w:rFonts w:ascii="Georgia" w:cs="Georgia" w:eastAsia="Georgia" w:hAnsi="Georgia"/>
          <w:rtl w:val="0"/>
        </w:rPr>
        <w:t xml:space="preserve"> is a patentable product or subject matter. "The extraordinary scientific achievement of altering every single cell in the body of an animal which does not in this altered form exist in nature, by human modification of the genetic material of which it is composed is an inventive 'composition of matter' within the meaning of s. 2. of the Patent Act."</w:t>
      </w:r>
    </w:p>
    <w:p w:rsidR="00000000" w:rsidDel="00000000" w:rsidP="00000000" w:rsidRDefault="00000000" w:rsidRPr="00000000" w14:paraId="0000098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may be noted, for emphasis, that only the claim for the product -oncomouse - was rejected by the Patent Examiner, the Patent Commissioner, and the Supreme Court's ruling. The claims for the process by which the oncomouse was produced won a patent from the Patent Office. This distinction concerning process and product is significant in patent claims.</w:t>
      </w:r>
    </w:p>
    <w:p w:rsidR="00000000" w:rsidDel="00000000" w:rsidP="00000000" w:rsidRDefault="00000000" w:rsidRPr="00000000" w14:paraId="0000099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New Zealand has patented another mouse, one injected with HIV genes. Certainly more news will be heard about mice, if not men, as transgenic mammals. Can we say that genetic modification of life forms continues to advance or desecrate our idea of life itself?</w:t>
      </w:r>
    </w:p>
    <w:p w:rsidR="00000000" w:rsidDel="00000000" w:rsidP="00000000" w:rsidRDefault="00000000" w:rsidRPr="00000000" w14:paraId="00000991">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992">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Appendix C</w:t>
      </w:r>
    </w:p>
    <w:p w:rsidR="00000000" w:rsidDel="00000000" w:rsidP="00000000" w:rsidRDefault="00000000" w:rsidRPr="00000000" w14:paraId="00000993">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994">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DNA as Evidence</w:t>
      </w:r>
    </w:p>
    <w:p w:rsidR="00000000" w:rsidDel="00000000" w:rsidP="00000000" w:rsidRDefault="00000000" w:rsidRPr="00000000" w14:paraId="00000995">
      <w:pPr>
        <w:spacing w:after="80" w:before="80"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996">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Prof. Pacifico A. Agabin </w:t>
      </w:r>
    </w:p>
    <w:p w:rsidR="00000000" w:rsidDel="00000000" w:rsidP="00000000" w:rsidRDefault="00000000" w:rsidRPr="00000000" w14:paraId="00000997">
      <w:pPr>
        <w:spacing w:after="80" w:before="80" w:lineRule="auto"/>
        <w:ind w:firstLine="360"/>
        <w:jc w:val="center"/>
        <w:rPr>
          <w:rFonts w:ascii="Georgia" w:cs="Georgia" w:eastAsia="Georgia" w:hAnsi="Georgia"/>
        </w:rPr>
      </w:pPr>
      <w:r w:rsidDel="00000000" w:rsidR="00000000" w:rsidRPr="00000000">
        <w:rPr>
          <w:rFonts w:ascii="Georgia" w:cs="Georgia" w:eastAsia="Georgia" w:hAnsi="Georgia"/>
          <w:rtl w:val="0"/>
        </w:rPr>
        <w:t xml:space="preserve">UP College of Law</w:t>
      </w:r>
    </w:p>
    <w:p w:rsidR="00000000" w:rsidDel="00000000" w:rsidP="00000000" w:rsidRDefault="00000000" w:rsidRPr="00000000" w14:paraId="00000998">
      <w:pPr>
        <w:spacing w:after="80" w:before="80"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999">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 Introduction </w:t>
      </w:r>
    </w:p>
    <w:p w:rsidR="00000000" w:rsidDel="00000000" w:rsidP="00000000" w:rsidRDefault="00000000" w:rsidRPr="00000000" w14:paraId="0000099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One of the death convicts who has been scheduled for execution is Gerrico Vallejo y Samartino (G.R. No. 144656, May 9,2002). Gerrico is accused of raping and then strangling to death a nine-year old neighbor. The Regional Trial Court of Cavite City, on the strength of circumstantial evidence, convicted him and sentenced him to death. The death sentence was affirmed by the Supreme Court in a per curiam decision last May 9, 2002. One of the links in circumstantial evidence against Gerrico was a DNA analysis conducted by the NBI chemical laboratory. Vaginal swabs taken from the body of the victim showed that the DNA profile matched that of Gerrico's DNA profile. The NBI chemist, testifying for the prosecution, informed the trial court that her findings were definite and conclusive insofar as it showed a positive match between the DNA obtained from the victim's body and that of the accused. The court took this at face value, and the Supreme Court confirmed the conclusion.</w:t>
      </w:r>
    </w:p>
    <w:p w:rsidR="00000000" w:rsidDel="00000000" w:rsidP="00000000" w:rsidRDefault="00000000" w:rsidRPr="00000000" w14:paraId="0000099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this ruling, it is now settled that DNA profiles are admissible as evidence in judicial proceedings. Before this ruling, our courts have been reluctant to resort to DNA profiling as a means of crime investigation because of the novelty of the technology, the lack of laboratory facilities, the degradation of specimen in the hands of our inexperienced investigators, and the unawareness of the members of the judiciary of recent breakthroughs in biotechnology. These factors should not really stand in the affect the weight, rather than the admissibility, of evidence. As for lack of laboratory facilities, our government agencies should do some explaining to the public, since the National Bureau was reported to have bought a DNA testing equipment in early 1996, which prompted the NBI director to announce that "with the DNA machine, test results could be obtained in a matter of minutes" (Daily Inquirer, January 14, 1996, p.1). </w:t>
      </w:r>
    </w:p>
    <w:p w:rsidR="00000000" w:rsidDel="00000000" w:rsidP="00000000" w:rsidRDefault="00000000" w:rsidRPr="00000000" w14:paraId="0000099C">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II. DNA Analysis: Testing Principles</w:t>
      </w:r>
    </w:p>
    <w:p w:rsidR="00000000" w:rsidDel="00000000" w:rsidP="00000000" w:rsidRDefault="00000000" w:rsidRPr="00000000" w14:paraId="0000099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developed countries, DNA has become a magic word because it started a revolution in the natural sciences. In biochemistry, a new method of cutting and splicing recombinant DNA into new beneficial combinations gave rise to genetic engineering. This method is now being commercially exploited, and is touted as the wave of the future. In biotechnology, technicians can alter existing organisms to perform certain tasks. DNA technology has given hope to cancer patients by founding cancer microbiology and neurobiology, which are new frontiers in medical science. In genetics, the key to human cloning is splitting of the human cell and its DNA. </w:t>
      </w:r>
    </w:p>
    <w:p w:rsidR="00000000" w:rsidDel="00000000" w:rsidP="00000000" w:rsidRDefault="00000000" w:rsidRPr="00000000" w14:paraId="0000099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DNA or deoxyribonucleic acid refers to the chain of molecules found in every cell of the body except in red blood cells. These are rolled up into minute bodies called "chromosomes," which transmit hereditary characteristics among individuals. It is these characteristics which make us unique as individuals. Our bodies contain about 10 trillion cells, and each cell contains 46 chromosomes, arranged in pairs of 22 plus two sex chromosomes (See discussion in People v. Wesley, 533 NYS2d 643, at 645). DNA is the molecule that carries the body's genetic information which is contained in every cell. The genetic information in the DNA can be compared to the listing and information contained in one bulky edition of the PLDT directory.</w:t>
      </w:r>
    </w:p>
    <w:p w:rsidR="00000000" w:rsidDel="00000000" w:rsidP="00000000" w:rsidRDefault="00000000" w:rsidRPr="00000000" w14:paraId="0000099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basic principle in DNA analysis is that no two individuals have identical DNA, except identical twins, which are few and far between. DNA does not vary from one cell to another; in other words, DNA found in the hair follicles is identical to that found in the semen, the blood tissues, and other parts of the body (U.S. Office of Technology Assessment. Genetic Witness: Forensic Uses of DNA Tests. OTA-BNA-438. U.S. Congress, 1990, p.3).</w:t>
      </w:r>
    </w:p>
    <w:p w:rsidR="00000000" w:rsidDel="00000000" w:rsidP="00000000" w:rsidRDefault="00000000" w:rsidRPr="00000000" w14:paraId="000009A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DNA as a chemical structure contains four bases called nucleotides, and are referred to by their initial letters: A adenine, G for guanine, C for cytosine, and T for thymine ("Comment: Beyond People v. Castro: A New Standard of Admissibility for DNA Fingerprinting," 7.J Contemp. Law &amp; Policy (1991), p. 269). It is easy to remember these nucleotides by recalling the title of the recent movie, GATTACA, which portrays the identification of individuals by their DNA profiles. The manner in which these chemical bases appear in a person's DNA determines his physical traits and characteristics. The DNA structure resembles a twisted ladder, or a double helix (somewhat similar to the Shell logo, with the rungs of the ladder composed to bond between the chemical bases of A, T, C, and G. Each rung contains two bases: A-T, T-A, C-G or G-C, held together by hydrogen bonds. No other combination is possible because only the A-T and C-G combinations are chemically attracted to each other (People v. Wesley, supra, id. at 646). Each rung on the DNA ladder is known as "base sequence" or "base pair." There are about three billion base pairs in a molecule of DNA; in other words, the genetic code in each cell of the human body contains three billion bits of information (People v. Wesley, ibid). The order in which the base pairs appear in the ladder to determine the characteristics of a person (People v. Castro, 545 NYS2d 985 [1989] at 988). </w:t>
      </w:r>
    </w:p>
    <w:p w:rsidR="00000000" w:rsidDel="00000000" w:rsidP="00000000" w:rsidRDefault="00000000" w:rsidRPr="00000000" w14:paraId="000009A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base pairs are called "genes," which are the basic units of inheritance composed of a segment of DNA and carrying the coded information associated with a specific function. Each gene contains a certain number of base pairs arranged in a certain order. The genetic code lies in the order of the base pairs in the DNA molecule, and this order is passed on from generation to generation. While most base pairs of humans are similar, there are sections in the DNA ladder which are variable, and these sections are called "polymorphic." These take different forms for different individuals.</w:t>
      </w:r>
    </w:p>
    <w:p w:rsidR="00000000" w:rsidDel="00000000" w:rsidP="00000000" w:rsidRDefault="00000000" w:rsidRPr="00000000" w14:paraId="000009A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these variable portions of the DNA, called "polymorphic sites" or "loci," which are significant for purposes of analysis. It is these loci that are responsible for an individual's differing characteristics, and these provide the basis for DNA analysis or typing. These allow individuals to be recognized through their DNA profiles or typing. (People v. Castro, ibid.). There are three million loci variations in different areas of the DNA. Obviously, if a person's DNA profile examines all the three million sites of variation, then that person's DNA could be individualized Since this cannot be done, the alternative approach is to discriminate between various persons' DNA by getting their patterns, and this is done by examining their polymorphic sites (People v. Castro, ibid.). Once the polymorphic sites are located and isolated after sampling, the unique pattern of a person's DNA is observed.</w:t>
      </w:r>
    </w:p>
    <w:p w:rsidR="00000000" w:rsidDel="00000000" w:rsidP="00000000" w:rsidRDefault="00000000" w:rsidRPr="00000000" w14:paraId="000009A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Locating the polymorphic sites or loci or variations has been analogized by one author to looking for a needle in a haystack (See Thompson and Ford, "DNA Typing: Acceptance and Weight of the New Genetic Identification Tests," 75 Va. L. Rev. 45 [1989]). Of the three billion bits of information, there are three million sites that vary from person to person. Even three million sites is impossible to examine in a lifetime, so the scientists have to content themselves with getting the pattern of a person's DNA polymorphism. This is like getting a snapshot of the profile of an individual, and not of his whole body. Most of the time, the DNA profile taken from crime scenes come out as a blurred snapshot which is difficult to discern.</w:t>
      </w:r>
    </w:p>
    <w:p w:rsidR="00000000" w:rsidDel="00000000" w:rsidP="00000000" w:rsidRDefault="00000000" w:rsidRPr="00000000" w14:paraId="000009A4">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III. Procedures for DNA Analysis </w:t>
      </w:r>
    </w:p>
    <w:p w:rsidR="00000000" w:rsidDel="00000000" w:rsidP="00000000" w:rsidRDefault="00000000" w:rsidRPr="00000000" w14:paraId="000009A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are two basic procedures for DNA analysis: (1) restriction fragment length polymorphism (RFLP) and (2) polymerase chain reaction (PCR), and its variation short tandem repeat (STR), and even a combination of the two, called amplified restriction fragment length polymorphism (AmpFLP). </w:t>
      </w:r>
    </w:p>
    <w:p w:rsidR="00000000" w:rsidDel="00000000" w:rsidP="00000000" w:rsidRDefault="00000000" w:rsidRPr="00000000" w14:paraId="000009A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first method consists of (a) identifying the fragments containing the polymorphic sites using a genetic probe; and (b) measuring the length of the fragments. Following the earlier analogy of looking for a needle haystack, this process would be like spreading the haystack and using a magnet to find the needle (Thompson and Ford, supra). The magnet to be used here would be what is called a “genetic probe” which is specially constructed DNA consisting of small pieces, with the sequence of base pairs made complementary to the sequence it is designed to lock on in the DNA under analysis. The technician chops the DNA samples extracted from cells taken from a suspect, from the victim, and from the evidence. Cutting is done by an enzyme, which is a protein which chemically cuts a DNA molecule at a specific site. After sorting the DNA pieces by size on a gel, this is washed with a solution containing four types of tiny DNA segments, called probes ("DNA Fingerprints in Court Cases," Science News, April 29, 1992). When comparing two DNA patterns, the technician simply looks at where the fragments of DNA carrying the complementary code for a specific base sequence (or "probe") landed on the two patterns. This is seen through a process starting with what is called "electrophoresis," where the lengths of DNA fragments are measured by seeing how far they move through a slab of gelatinous material under the pull of an electric charge. Shorter fragments with low molecular weight move farther down the slab of gel than longer fragments with high molecular weight (Kaye, "The Relevance of 'Matching DNA: Is the Window Half Open or Half Shut?" 85 J. of Crim. Law and Criminology 676 [1995] at 679). Fragments of about the same size will stop at more or less the same point, coalescing to form a spot or a band. By measuring the location of the bands, it is possible to determine the approximate lengths of the fragments (Kaye, ibid.).        </w:t>
      </w:r>
    </w:p>
    <w:p w:rsidR="00000000" w:rsidDel="00000000" w:rsidP="00000000" w:rsidRDefault="00000000" w:rsidRPr="00000000" w14:paraId="000009A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electrophoresis, a permanent "copy" is made of the DNA fragments in the gel through what is called "Southern" blotting (named after the scientist who discovered the process). This is done by placing a sheet of nylon membrane in contact with the gel, and a Southern transfer is used to transfer the DNA fragments from the gel to the membrane. In this process, the DNA molecules composed of double strands are treated with a chemical which causes the double strands to separate into single strands, like a zipper being opened (Thompson and Ford, id. at 71). The next step is "hybridization,'" which is like passing the magnet over the DNA strands to locate the key polymorphic segments. The genetic probe will lock onto the polymorphic segments, but will not lock onto the other fragments which are not polymorphic in the sample. The probes have been tagged with "markets" so that, after they lock onto the polymorphic segments, their positions on the membrane, or blot, can be determined. After they are located on the probe, the polymorphic segments can be seen through a photographic process called "autoradiography." This is done by placing the blot on an X-ray film, and the energy from the tagged probe exposes the film, producing a pattern of bands, like a supermarket bar code which is known as the DNA print or profile (Thompson and Ford, id. at 73-74). </w:t>
      </w:r>
    </w:p>
    <w:p w:rsidR="00000000" w:rsidDel="00000000" w:rsidP="00000000" w:rsidRDefault="00000000" w:rsidRPr="00000000" w14:paraId="000009A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other method of analyzing DNA samples is the "polymerase chain reaction" technique, or PCR. This is also known as "molecular photocopying" because in this method the DNA copies itself many times. This method does not analyze the DNA segments directly; rather, it determines whether DNA polymorphic segments exist in a given sample or not. These are called "alleles," or pairs of genes that determine the expression of some particular characteristic. It is these alleles that are copied millions of times, which is why the PCR method is analogized to the photocopying machine. Thus, if the RFLP technique is like using a magnet to find the location of a needle in a haystack, PCR is like using a metal detector to determine whether a particular kind of needle is present, then copying it many times.</w:t>
      </w:r>
    </w:p>
    <w:p w:rsidR="00000000" w:rsidDel="00000000" w:rsidP="00000000" w:rsidRDefault="00000000" w:rsidRPr="00000000" w14:paraId="000009A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method is used where only minute specimens are found. The reaction enables a single strand of DNA to double immediately, and the process can be repeated several times. After the amplification, the DNA is analyzed by applying it into a membrane using a spotting, or a "dot-blot" apparatus. This consists of a pattern of small holes through which multiple DNA samples are sucked into the membrane using a vacuum, then a radioactive probe is added. If the being sought by the probe is present, the probe will lock onto it, making the spot radioactive. As a result, when the membrane is placed in an X-ray film, a dark dot will appear on the film (Thompson and Ford, supra, id. at 78). While this process is less definitive than the RFLP method, it can yield results faster. </w:t>
      </w:r>
    </w:p>
    <w:p w:rsidR="00000000" w:rsidDel="00000000" w:rsidP="00000000" w:rsidRDefault="00000000" w:rsidRPr="00000000" w14:paraId="000009A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Some laboratories in the United States use PCR testing to look for one particular gene, the DQ alpha gene. This gene is a protein which is part of the immune system. It is polymorphic, and there are six detectable alleles in the DQ alpha system. Each person has two alleles, one from each parent, so each person's DQ alpha test would yield two numbers, alike or different. The six combinations of alleles result in 21 possible genotypes, each of which appears in varying proportions within the population (People v. Lee, 537 NW2d 233, 250). </w:t>
      </w:r>
    </w:p>
    <w:p w:rsidR="00000000" w:rsidDel="00000000" w:rsidP="00000000" w:rsidRDefault="00000000" w:rsidRPr="00000000" w14:paraId="000009A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discovery led to a specific form of PCR, which is called "DQa typing." This kind of analysis is similar to tissue typing on a genetic level. Tissue typing is used to determine which array of antigens is present in any given tissue. For instance, if someone receives an organ from a donor of a different type, it is likely that the recipient will reject the transplanted organ. It is important that the tissue type of both donor and recipient be determined before any organ transplant is made. In paternity investigations, tissue typing is resorted to determine the similarity of antigens. </w:t>
      </w:r>
    </w:p>
    <w:p w:rsidR="00000000" w:rsidDel="00000000" w:rsidP="00000000" w:rsidRDefault="00000000" w:rsidRPr="00000000" w14:paraId="000009A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DQ alpha test kit, a "dot" of each probe correlating to the DNA sequence of each allele under investigation is attached to a nylon membrane at a distinct location. The probe captures complementary amplified DNA, but it will not lock onto any non-complementary DNA sequences. In the DQ alpha test kit and other test systems, the detection system is composed of three molecules; one is a primer and the other two are enzyme conjugates which are added only e during the final steps of the procedure. The primer has a strong affinity and is highly specific to the enzyme conjugate. Thus, if the DNA in the sample and its attached primer is bound to the probe, the enzyme conjugate reacts with a soluble colorless compound to produce an insoluble blue product. The allelic composition of the sample DNA is indicated by the presence of blue spots on the nylon membrane. In addition to the test spots used to identify the discrete alleles, there is a control spot which will turn blue if the DQa genes have been amplified. The intensity of each test dot is compared with that of the control spot: if the control dot is absent, the test is considered unreadable. (McKnight. "The Polymerase Chain Reaction: The Second Generation of DNA Analysis Methods Takes the Stand," 9 Santa Clara Computer &amp; High Tech. L.J. 287 [1993], at p. 306.)</w:t>
      </w:r>
    </w:p>
    <w:p w:rsidR="00000000" w:rsidDel="00000000" w:rsidP="00000000" w:rsidRDefault="00000000" w:rsidRPr="00000000" w14:paraId="000009A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test kit, patented as AmpilType DQa, amplifies a specific portion of the human genome which is known to code for particular structures on white blood cells called "leukocytes," and which is used to type the person being studied. The test kit concentrates on the leukocytes antigen system. The human leukocyte antigen system (HLA) is composed of proteins ("antigens") which are coded for by a large number of genetic loci present in a specific chromosome. The HLA proteins are divided into two distinct groups, and in the second class there are three families of proteins - DP, DQ, and DR. Each of these classes of proteins is composed of two subunits, "a" and "B," which are separately encoded in the DNA of each gene cluster. It is the DQa which is amplified by the AmpilType test system, with DQA 1, 2, 3 and 4 as the major alleles, which in turn have their own subtypes. While these subtypes differ from each other by one or few nucleotides, they will all bind with the probe of the major type. Following PCR amplification of the evidence samples, the D a types are compared. If the DQa genotype of the suspect is different from that of the evidence sample the suspect is excluded and cannot be the source of the evidence. On the other hand, if the suspect and the evidence have the same genotype, then the suspect is "included" as a possible source of the evidence sample (MacKnight, supra at 310). The probability that another unrelated individual would also match the evidence is equal to the frequency of that genotype in the relevant population (MacKnight, ibid.). ue fi    Thus, in this test, the first step is to identify all of the possible alleles which could be present at the locus of interest, then the DNA sequences of these alleles must be determined, and lastly, relevant population groups must be studied to determine the frequencies of each allele and genotype for various ethnic groups.</w:t>
      </w:r>
    </w:p>
    <w:p w:rsidR="00000000" w:rsidDel="00000000" w:rsidP="00000000" w:rsidRDefault="00000000" w:rsidRPr="00000000" w14:paraId="000009A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combination method of amplified restriction fragment length polymorphism (AmpFLP) is a recently developed test system in which a DNA sample too small for conventional RFLP analysis is first amplified and then tested by the RFLP method.</w:t>
      </w:r>
    </w:p>
    <w:p w:rsidR="00000000" w:rsidDel="00000000" w:rsidP="00000000" w:rsidRDefault="00000000" w:rsidRPr="00000000" w14:paraId="000009AF">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IV. Genetics, Statistics, and Lies </w:t>
      </w:r>
    </w:p>
    <w:p w:rsidR="00000000" w:rsidDel="00000000" w:rsidP="00000000" w:rsidRDefault="00000000" w:rsidRPr="00000000" w14:paraId="000009B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both the RFLP and the PCR test methods, population genetics must be studied to determine the statistical probabilities that a certain person within a particular racial group will have a particular DNA profile or, in the case of PCR DQa testing, that he will have a particular combination of HLA DQa alleles. If DNA evidence is the main evidence to convict a defendant, the probability of a random match of DNA patterns or alleles between the evidence and the suspect is crucial. "Probability" here would refer to the likelihood of a series of independent events which is the product of their frequencies of coincidences. Thus, the probability is low when all the frequencies of its happening are low. For instance, in rolling dice, the probability of rolling a "one" eight times in a row with one die is (1/6)8 = .000000595 or one in 1.6 million.</w:t>
      </w:r>
    </w:p>
    <w:p w:rsidR="00000000" w:rsidDel="00000000" w:rsidP="00000000" w:rsidRDefault="00000000" w:rsidRPr="00000000" w14:paraId="000009B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problem of statistical probability has given rise to some confusion in determining the meaning of "probability" of a random match. This is illustrated by two fallacies that are common in criminal cases: the "prosecutor's fallacy" and the "defendant's fallacy."</w:t>
      </w:r>
    </w:p>
    <w:p w:rsidR="00000000" w:rsidDel="00000000" w:rsidP="00000000" w:rsidRDefault="00000000" w:rsidRPr="00000000" w14:paraId="000009B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"prosecutor's fallacy" is to confuse the two conditional probabilities. That is to say that the probability of a match is also the probability that the DNA taken from the scene of the crime came from a person other than the suspect. For example, suppose that there is a likelihood of 1,000 that the DNA sample from the crime scene and that taken from the suspect match; this means that the match is 1,000 times as probable if the evidence and the suspect samples that share the same profile are from the same person as it is if the samples are from different persons. It does not say that the odds that the suspect contributed to the DNA evidence are 1,000 to one (National Research Council, id. at pp. 5-8). In other words, it does not say that if the two samples match, then they are 1,000 times as likely to have come from the same person as from different persons. </w:t>
      </w:r>
    </w:p>
    <w:p w:rsidR="00000000" w:rsidDel="00000000" w:rsidP="00000000" w:rsidRDefault="00000000" w:rsidRPr="00000000" w14:paraId="000009B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the "defendant's fallacy" is to say that in a given population, anyone with the same DNA profile as the DNA crime scene sample is as likely to have left the sample as evidence. This would be correct reasoning if the suspect was discovered only through a DNA database with no other corroborative evidence. It would be false reasoning if the suspect was identified by evidence other than the DNA sample. Thus, if 100 persons in a given area have the same DNA profile as the evidence sample, it would be fallacious to conclude that the probability that the DNA sample at the scene of the crime came from the suspect is only 0.01 (National Research Council, id. at pp. 5-8). This reasoning, while logical, completely overlooks the other evidence pointing to the accused, as in the case of Gerrico Vallejo, who was convicted by circumstantial evidence.</w:t>
      </w:r>
    </w:p>
    <w:p w:rsidR="00000000" w:rsidDel="00000000" w:rsidP="00000000" w:rsidRDefault="00000000" w:rsidRPr="00000000" w14:paraId="000009B4">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Constitutional and Legal Issues </w:t>
      </w:r>
    </w:p>
    <w:p w:rsidR="00000000" w:rsidDel="00000000" w:rsidP="00000000" w:rsidRDefault="00000000" w:rsidRPr="00000000" w14:paraId="000009B5">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V.   Admissibility of DNA Analysis as Evidence</w:t>
      </w:r>
    </w:p>
    <w:p w:rsidR="00000000" w:rsidDel="00000000" w:rsidP="00000000" w:rsidRDefault="00000000" w:rsidRPr="00000000" w14:paraId="000009B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stated earlier in this paper, the case of Gerrico Vallejo opened the way for the admission of DNA analysis as evidence in criminal cases. Before this, a number of civil cases in our trial courts have admitted DNA profiles as evidence in paternity cases but this issue of admissibility had not reached the Supreme Court. In criminal cases, as the Court describes it, when a crime is committed, material is collected from the scene of the crime or from the victim's body for the suspect's DNA. This is the evidence sample. The evidence sample is then matched with the reference sample taken from the suspect and the victim. The purpose of DNA testing is to ascertain whether an association exists between the evidence sample and the reference sample. The samples collected are subjected to various chemical processes to establish their profile (People v. Vallejo, supra). The Supreme Court then stated:</w:t>
      </w:r>
    </w:p>
    <w:p w:rsidR="00000000" w:rsidDel="00000000" w:rsidP="00000000" w:rsidRDefault="00000000" w:rsidRPr="00000000" w14:paraId="000009B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assessing the probative value of DNA evidence, therefore, courts should consider, among</w:t>
      </w:r>
    </w:p>
    <w:p w:rsidR="00000000" w:rsidDel="00000000" w:rsidP="00000000" w:rsidRDefault="00000000" w:rsidRPr="00000000" w14:paraId="000009B8">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other things, the following data: how the samples were collected, how they were handled, the possibility of contamination of the samples, the procedure followed in analyzing the samples, whether the proper standards were followed in conducting the tests, and the qualification of the analyst who conducted the tests.'" (People v. Gerrico Vallejo, G.R. No. 144656, May 9, 2002).</w:t>
      </w:r>
    </w:p>
    <w:p w:rsidR="00000000" w:rsidDel="00000000" w:rsidP="00000000" w:rsidRDefault="00000000" w:rsidRPr="00000000" w14:paraId="000009B9">
      <w:pPr>
        <w:spacing w:after="80" w:before="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    It must be noted from the pronouncement of the high court in this case that the issue of admissibility has not been delved into. In the U.S., the courts use the standard "Frye" test with a three-prong analysis in evaluating admissibility of DNA analysis:</w:t>
      </w:r>
    </w:p>
    <w:p w:rsidR="00000000" w:rsidDel="00000000" w:rsidP="00000000" w:rsidRDefault="00000000" w:rsidRPr="00000000" w14:paraId="000009B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Is there a theory, generally accepted in the scientific community, which supports the conclusion that DNA testing can produce reliable results?</w:t>
      </w:r>
    </w:p>
    <w:p w:rsidR="00000000" w:rsidDel="00000000" w:rsidP="00000000" w:rsidRDefault="00000000" w:rsidRPr="00000000" w14:paraId="000009B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Are these techniques and experiments that currently exist capable of producing reliable results in DNA identification and which are generally acceptable in the scientific community?</w:t>
      </w:r>
    </w:p>
    <w:p w:rsidR="00000000" w:rsidDel="00000000" w:rsidP="00000000" w:rsidRDefault="00000000" w:rsidRPr="00000000" w14:paraId="000009B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Did the testing laboratory perform the accepted scientific techniques in analyzing the forensic samples in this particular case? (People v. Castro, 545 NYS2d 985).</w:t>
      </w:r>
    </w:p>
    <w:p w:rsidR="00000000" w:rsidDel="00000000" w:rsidP="00000000" w:rsidRDefault="00000000" w:rsidRPr="00000000" w14:paraId="000009B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second standard , which is the one followed in the Philippines because it is prescribed in our Rules of Court, the relevancy test. This is more liberal than the "Frye test Here, as in the federal courts of the United States, evidence is admissible when it is relevant to the issue and is not excluded by the rules (Rule 128, Sec. 2). Under this test, evidence is relevant when it has such a relation to the fact in issue as to induce belief in its existence or non-existence 128, Sec. 2). In the United States federal rules, evidence is relevant when it has a tendency to make the existence of any fact that is of consequence to the determination of the without evidence (Rule 401, Federal Rules of Evidence). Evidence, to be relevant, "need not conclusively prove the ultimate fact in issue, but only have any tendency to make determination of the point in issue more probable or less probable than it would be without the evidence," declared the US Supreme Court in New Jersey v. T.L.O. (469 US 325, at 345).</w:t>
      </w:r>
    </w:p>
    <w:p w:rsidR="00000000" w:rsidDel="00000000" w:rsidP="00000000" w:rsidRDefault="00000000" w:rsidRPr="00000000" w14:paraId="000009B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US Supreme Court, in Daubert v. Merrell Dow Pharmaceuticals (113 Ct. 2786 [1993]) expressly abrogated the Frye standard insofar as federal courts are concerned, stating that the federal rules of evidence have superseded Frye. Under the federal rule, scientific evidence need not meet the test of general acceptance to be admissible. But "in order to qualify as scientific knowledge, an inference or assertion must be derived by scientific method. Proposed testimony must be supported by appropriate validation, i.e. 'good grounds' based on what is known" (Daubert case, id. at 2795). This derives from the Federal Rules of Evidence that, "if scientific, technical or other specialized knowledge will assist the trier of fact to understand the evidence or to determine a fact in issue, a witness qualified as an expert by knowledge, skill, experience, training, or education may is testify thereto in the form of an opinion or otherwise" (Fed. ."          Rules of Evidence, Rule 702). This rule requires that scientific evidence "assist the trier of fact," and the Daubert ruling holds that this "requires a valid scientific connection to the pertinent inquiry as a precondition to admissibility." </w:t>
      </w:r>
    </w:p>
    <w:p w:rsidR="00000000" w:rsidDel="00000000" w:rsidP="00000000" w:rsidRDefault="00000000" w:rsidRPr="00000000" w14:paraId="000009B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the said rule quoted above still requires that scientific evidence be valid, aside from being relevant. Admissibility would depend on a number of factors as (1) whether the theory or technique can be or has been tested; (2) whether the theory or technique has been subjected to peer review and publication; (3) the known rate of error; (4) the existence and maintenance of standards controlling the techniques operation; and 5) whether the theory or technique is generally accepted in the scientific community (Daubert, id. at 2797-98). Relevancy, according to this case ruling, requires that "the proffered connection between the test result to be presented and the particular disputed factual issues in the case" can be shown (ibid.).</w:t>
      </w:r>
    </w:p>
    <w:p w:rsidR="00000000" w:rsidDel="00000000" w:rsidP="00000000" w:rsidRDefault="00000000" w:rsidRPr="00000000" w14:paraId="000009C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seems to be very little distinction between this holding and the Frye standard in their application. Anyway, even the Daubert standards are not applicable in the Philippines, for our rules of evidence do not require such strict standards and preconditions. Our rule o n expert witnesses is phrased differently from that of the Federal Rules of Evidence. Under our rule, "The opinion of a witness on a matter requiring special knowledge, skill, experience, or training which he is shown to possess may be received in evidence" (Rule 130, Sec. 49). </w:t>
      </w:r>
    </w:p>
    <w:p w:rsidR="00000000" w:rsidDel="00000000" w:rsidP="00000000" w:rsidRDefault="00000000" w:rsidRPr="00000000" w14:paraId="000009C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this Rule, it can be seen that the issue of admissibility of DNA as evidence is not much of a legal hurdle. This is especially true where DNA profiles are presented merely as corroborative evidence and not the sole body of evidence against an accused. This is exemplified in the case of Gerrico Vallejo, where a string of circumstantial evidence caught him in the death trap. In this case, the Supreme Court noted that the young victim, on the day of the rape, went to a witness' house where the accused was residing; then the accused and the victim together went back to the latter's house to get a book, after which they proceeded to the accused's residence; from there the victim went to another witness' house to watch television and thereafter, the accused followed and whispered something to the victim, and the two of them went towards a structure in the river bank; later, a couple saw the accused coming out of the said structure with his clothes wet, and the fishing boat which the accused used for dynamite fishing as docked by the seashore; late in the afternoon, the victim's body was found tied to an aroma tree at the part of the river near the structure; the clothes of the accused were bloodstained and the clothes of the victim were also stained with human blood type "A" (the accused has type "O" blood); and the vaginal swabs taken from the victim's body contained her DNA profile as well as that of the accused. In short, the DNA profiles in t case would be admissible evidence as these are relevant to identify the perpetrator of the crime. Such evidence would be relevant with or without statistical support. In fact, in this case, there were no population statistics presented by the prosecution to back up the accused's DNA profile. Under our Rules, even collateral matters are allowed when they tend to any reasonable degree to establish the probability or improbability of the fact in issue (Rule 128, Sec. 4). With such liberal rules of evidence, there should not be any doubt as to the admissibility of DNA profiles in our courts, even without the support of population genetic statistics. </w:t>
      </w:r>
    </w:p>
    <w:p w:rsidR="00000000" w:rsidDel="00000000" w:rsidP="00000000" w:rsidRDefault="00000000" w:rsidRPr="00000000" w14:paraId="000009C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in a prosecution for </w:t>
      </w:r>
      <w:r w:rsidDel="00000000" w:rsidR="00000000" w:rsidRPr="00000000">
        <w:rPr>
          <w:rFonts w:ascii="Georgia" w:cs="Georgia" w:eastAsia="Georgia" w:hAnsi="Georgia"/>
          <w:i w:val="1"/>
          <w:iCs w:val="1"/>
          <w:rtl w:val="0"/>
        </w:rPr>
        <w:t xml:space="preserve">abusos deshonestos</w:t>
      </w:r>
      <w:r w:rsidDel="00000000" w:rsidR="00000000" w:rsidRPr="00000000">
        <w:rPr>
          <w:rFonts w:ascii="Georgia" w:cs="Georgia" w:eastAsia="Georgia" w:hAnsi="Georgia"/>
          <w:rtl w:val="0"/>
        </w:rPr>
        <w:t xml:space="preserve">, our Supreme Court held that it was not error for the trial court to convict the defendant on the basis of a finding of the Bureau of Science that the substance taken from the sex organ of the defendant showed that he was suffering from gonorrhea, like the complaining witness who was infected with the disease as a result of the crime (U.S. v. Tan Teng, 23 Phil. 145 [1912]). This shows that even a mere finding from the government bureau which shows a match between the disease of the defendant and that of the complaining witness can be considered relevant evidence under our rules, as it tended to show the probability of the defendant's physical contact with the complaining witness. </w:t>
      </w:r>
    </w:p>
    <w:p w:rsidR="00000000" w:rsidDel="00000000" w:rsidP="00000000" w:rsidRDefault="00000000" w:rsidRPr="00000000" w14:paraId="000009C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Even in the United States under the Frye test, some courts have admitted DNA match profiles without the statistical back-up. The Pennsylvania Supreme Court held that "the factual evidence of the physical testing of the DNA samples and the matching alleles, even without the statistical conclusions, tended to make the appellant's presence more likely than it would have been without the evidence, and was therefore relevant" (Commonwealth v. Crews, 640 A2d 395 [1994).</w:t>
      </w:r>
    </w:p>
    <w:p w:rsidR="00000000" w:rsidDel="00000000" w:rsidP="00000000" w:rsidRDefault="00000000" w:rsidRPr="00000000" w14:paraId="000009C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Our rules of evidence are all based on probabilities. "The most that can be reached is a high probability that the fact in question is true," says Wharton, for "it is impossible even to expound the principles and method of induction, as applied to natural phenomena, in a sound manner, without resting them upon the theory of probability" (Wharton, Criminal Evidence, cited in Francisco, id. at 48). "We have, therefore, to content ourselves with partial knowledge - knowledge mingled with ignorance producing doubt. Even scientific conclusions cannot be demonstrated except so far as they. deal with abstractions" (ibid.). </w:t>
      </w:r>
    </w:p>
    <w:p w:rsidR="00000000" w:rsidDel="00000000" w:rsidP="00000000" w:rsidRDefault="00000000" w:rsidRPr="00000000" w14:paraId="000009C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"Probabilities have been with us for years, and a statement of a probability is, by its nature, a statement of partial knowledge, so it is paradoxical to imply that in principle we cannot calculate the probability of an event without further empirical knowledge" (MacKnight, "The Polymerase Chain Reaction (PCR): The Second Generation of DNA Analysis Method Takes the Stand," Santa Clara Computer &amp; High Tech. L.J. 287 [1993] at 328). </w:t>
      </w:r>
    </w:p>
    <w:p w:rsidR="00000000" w:rsidDel="00000000" w:rsidP="00000000" w:rsidRDefault="00000000" w:rsidRPr="00000000" w14:paraId="000009C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Of course, the loose relevancy in our rules does not augur well for the protection of the rights of the accused. Scientific evidence tends to mystify even the hard-boiled judges who are ignorant of DNA technology. The scientific jargon may overwhelm them into admitting DNA evidence and give these full credence, unless the accused hires his own expert to challenge the findings. If the defense counsel fails to challenge the weight of such evidence because of ignorance of the procedures for validation, cross-checking and re-testing, or if he fails to challenge the premises of expert witness, the accused would remain at the mercy of the prosecution expert. The relevancy standard in evidence implicitly relies on the effectiveness of the adversarial system and on the right of cross-examination to protect the rights of the accused. Failure of the defense counsel to question the findings of the prosecution expert will place the accused at the short end of due process. The defense counsel in a situation like this should at least have an idea about laboratory testing and sampling procedures, population genetics, reliability of statistics, and laboratory error rates. The accused should have the logistics to hire his own expert so that he can be placed on an even keel with the prosecution.</w:t>
      </w:r>
    </w:p>
    <w:p w:rsidR="00000000" w:rsidDel="00000000" w:rsidP="00000000" w:rsidRDefault="00000000" w:rsidRPr="00000000" w14:paraId="000009C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for expert opinion on DNA profiles, our rules of evidence admit such opinion as long as the witness proves that he is an expert in a given field. And he can do this by proving that he has knowledge, skill, experience, training, or education in any given field (Rule 130, Sec. 43). Of course, the difficult problem is that the presentation of DNA evidence requires different forms of expertise. The presenter may have to present a laboratory technician, a molecular biologist, a population statistician, and a geneticist. This is because the laboratory technician may not be qualified to testify on molecular biology, the biologist may not be able to testify on statistical probabilities on the frequency of a random match, and the statistician may not be qualified to testify on population genetics. Thus, in Powell v. State (598 SW2d 829[1994]), the defendant challenged the expertise of the molecular biologist to testify on the probabilities of matching DNA patterns because he was not qualified as a population geneticist. (See also Swanson v. State, 823 SW2d 812[1992]). In State v. Lewis, (654 So2d 761 [1995]), the trial court denied expert status to a lab technician who presented herself as an expert in molecular biology; the appellate court reversed because she belonged to invitational professional organizations, received several academic awards, had written 14 articles on DNA analysis, and had been assistant stem   director of a laboratory for more than one year.</w:t>
      </w:r>
    </w:p>
    <w:p w:rsidR="00000000" w:rsidDel="00000000" w:rsidP="00000000" w:rsidRDefault="00000000" w:rsidRPr="00000000" w14:paraId="000009C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other problem here is that there are only a few experts in the pertinent fields. Experts in statistics, genetics, biology, organic and inorganic chemistry, computers, laboratory testing and protocols, on human hair and sperm, blood and bloodstains, etc. would be needed in this kind of inquiry. They are rare birds, especially here in the Philippines. They therefore do not come cheap, and engaging their services would add to the high cost of DNA profiling and testing, which has been estimated to cost at least P30,000 at pre-devaluation rates. A poor defendant may not have access to such experts. This raises constitutional issues of due process and violation of the rights of the accused. He may not get a fair trial fi he cannot engage the services of such an expert witness, since most defendants in heinous crimes like rape and murder are generally poor, they would not have the resources to pay for their own experts or to import them from abroad. This would result in a one-sided contest in our criminal justice system. </w:t>
      </w:r>
    </w:p>
    <w:p w:rsidR="00000000" w:rsidDel="00000000" w:rsidP="00000000" w:rsidRDefault="00000000" w:rsidRPr="00000000" w14:paraId="000009C9">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VI. Population Genetics as a Factor in Admissibility</w:t>
      </w:r>
    </w:p>
    <w:p w:rsidR="00000000" w:rsidDel="00000000" w:rsidP="00000000" w:rsidRDefault="00000000" w:rsidRPr="00000000" w14:paraId="000009C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each person's DNA is indeed unique, it is impossible for any laboratory to examine all three million loci that vary from one person to another. The DNA profile that comes out of an RFLP test is just a pattern or profile of a person's DNA, which profile may coincidentally match with that of another person. Thus, to say that the two profiles match without providing a valid estimate of the frequency with which such matches might happen by chance does not really mean very much especially if there is no other evidence to identify the suspect. It would be of very little help to judge unless it is backed up by population genetics.</w:t>
      </w:r>
    </w:p>
    <w:p w:rsidR="00000000" w:rsidDel="00000000" w:rsidP="00000000" w:rsidRDefault="00000000" w:rsidRPr="00000000" w14:paraId="000009C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Population genetics is important for determining the weight of evidence under the Frye test, or even under the relevancy test where the primary proof of the guilt of the suspect is the DNA profile match. This is because of the constitutional presumption of innocence and the high threshold of evidence that must be met by the prosecution. If we take a situation where a match has been found between a DNA sample from the crime scene and that taken from the suspect. Assuming that there is no laboratory error, there are only two possibilities: (1) that the suspect was at the scene of the crime, or (2) that the sample taken from the crime scene came from somebody else who has the same DNA profile as the suspect. In a case like this, the court will then need to know the frequency of the profile among the population. This gives meaning to the result as it shows the likelihood that &amp; likelihood that an unrelated person in the reference population would, by chance, have a matching profile. If the frequency of a coincidental match among the population is rare, then the probability that the DNA taken from the crime scene came from the suspect would be high. However, if the DNA profile in question is quite common in the population, then the DNA sample could have come from somebody else with the same profile as that of the suspect. This, at least, is the theory. In forensic science, however, there are a number of factors that affect the frequency of matches in a reference population.</w:t>
      </w:r>
    </w:p>
    <w:p w:rsidR="00000000" w:rsidDel="00000000" w:rsidP="00000000" w:rsidRDefault="00000000" w:rsidRPr="00000000" w14:paraId="000009C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determine the frequency of such a DNA profile, it has to be compared with a reference database. That data base is the population DNA profile, which is an estimate made by using the frequencies of individual alleles (or genes) of a population group or subgroup consisting of a big number of individuals belonging to that group. The database usually consists of samples drawn from blood banks with separate databases for major racial and ethnic groups. Analysts then can combine the estimated frequencies of individual alleles to determine the overall frequency of the DNA profile (Thompson, 84 J. Crim. L. and Crim., at 61). The National Research Council of the United States is of the opinion that "it would not be scientifically justifiable to speak of a match as proof of identity in the absence of underlying data that permit some reasonable estimate of how rare the matching characteristics are" (Id. at pp. 6-23). Many courts in the United States using the Frye standard adhere to this point of view, and have excluded evidence of DNA testing that have not been accompanied by a scientifically acceptable profile frequency. In State v. Canter (524 NW2d 763 [1994]), the Nebraska court held that "the calculation of statistical probability is an essential part of the process used in determining the significance of a DNA match. We hold that evidence of a DNA match will not be admissible if it has not been accompanied by statistical probability evidence that has not been calculated from a generally acceptable method" (Ld. at 782-3).</w:t>
      </w:r>
    </w:p>
    <w:p w:rsidR="00000000" w:rsidDel="00000000" w:rsidP="00000000" w:rsidRDefault="00000000" w:rsidRPr="00000000" w14:paraId="000009C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has been found that there is a significant variability among population subgroups in the frequency of matching alleles. Critics suggest that among major groups in the US, such as Caucasians, Blacks, and Hispanics, the frequency of alleles may differ among various ethnic groups. An expert, W. Thompson, draws two important implications from these: (1) the samples used by forensic laboratories may be unrepresentative of the population in particular locales, or (2) the assumption that the frequency of alleles is statistically independent would be invalid (Thompson, supra id. at 62). </w:t>
      </w:r>
    </w:p>
    <w:p w:rsidR="00000000" w:rsidDel="00000000" w:rsidP="00000000" w:rsidRDefault="00000000" w:rsidRPr="00000000" w14:paraId="000009C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US case of People v. Miles (577 NE2d 477 [1991]), the administration  of DNA evidence, declared the court, involves two types of evidence: (1) evidence of a match between the samples, and (2) statistical evidence of a random match. In this case, an Afro-American was charged with rape. As there was a match found by the laboratory between the DNA samples found in the victim's body and that obtained from the defendant, the court ordered the study of the statistical probabilities of a random sample, where the suspect's DNA "is compared to information in Cellmark's Afro-American database to determine the probability of an Afro-American other than the defendant leaving the semen stain on the bedsheet." The database for Afro-Americans at Cellmark consisted of blood samples taken from 200-300 Afro-Americans in Detroit, Michigan. The Cellmark expert later testified that the probability was one in 300,000.</w:t>
      </w:r>
    </w:p>
    <w:p w:rsidR="00000000" w:rsidDel="00000000" w:rsidP="00000000" w:rsidRDefault="00000000" w:rsidRPr="00000000" w14:paraId="000009C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Some courts have concluded that the procedures for making DNA prints under RFLP are generally accepted and they have admitted these in evidence. In the case of People v. Wesley (533 NYS2d 643 [1988]), the handling of the sample and the procedures used for testing, as well as the statistical basis of the match of DNA profiles under the Frye test were challenged by the defendant. When the technician found a match between the DNA samples, the defendant argued that (1) the laboratory procedures, methodology, and quality control were inadequate, and (2) the statistical analysis used to determine whether the two samples match were inadequate. The trial judge concluded that the techniques and procedures used were reliable, and it adopted the following guidelines for taking blood samples; (1) probable cause to believe that the suspect has committed the crime; (2) a clear indication that the relevant material evidence will be found; and (3) the method used to secure it is safe and cally   reliable. On the reliability of population genetics to determine the power of identity of the probes used in the DNA print identification test, it was noted that DNA from 900 unrelated individuals subdivided into three ethnic groups was obtained and successively hybridized to each DNA probe. The allele (or gene) frequency distribution was determined for each group for each locus of the DNA. Utilizing the mathematics of chance and probability with respect to the three ethnic groups separately, the individual power of identity (allele frequency) for each of the four loci or probes used by the testing laboratory in its print identification test were multiplied to arrive at a mean combined power of identity for the four probes for American blacks of one in 1.4 billion and Caucasoids of one in 840 million. The validity of this multiplication procedure presupposes that each fact observed and entered into the calculation is random and independent of the others. The court concluded that at this hearing, the prosecution should be permitted to assert a power of identity limited to a mean power of one in 140 million for American blacks and one in 84 million for Caucasoids.</w:t>
      </w:r>
    </w:p>
    <w:p w:rsidR="00000000" w:rsidDel="00000000" w:rsidP="00000000" w:rsidRDefault="00000000" w:rsidRPr="00000000" w14:paraId="000009D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some US courts, especially those under the relevancy standard, do not exclude evidence of a match in the absence of statistical back-up. In Commonwealth v. Crews (640 A2d 395 [1994]) it was held that even without statistical conclusions, evidence of a DNA match tended to make the accused's presence more likely than it would have been without evidence, and was therefore admissible as evidence. In Rivera v. State (340 P2d 933 [1992]), and in St v. Schwartz (447 NW2d 422 [1989]), the court allowed forensic experts to testify that two DNA patterns matched and the judge barred experts from presenting statistics to quantify the rarity of matching DNA patterns or the likelihood of a coincidental match. </w:t>
      </w:r>
    </w:p>
    <w:p w:rsidR="00000000" w:rsidDel="00000000" w:rsidP="00000000" w:rsidRDefault="00000000" w:rsidRPr="00000000" w14:paraId="000009D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quantitative estimates of profile frequency in a given population would be important, the hard fact is that, as the US National Research Council has discovered, "there is no bright-line standard in law or in science that can pick out exactly how small the probability of the existence of a given profile in more than one member of a population must be before assertions of uniqueness (of a DNA profile) are justified" (Id. at 6-25).</w:t>
      </w:r>
    </w:p>
    <w:p w:rsidR="00000000" w:rsidDel="00000000" w:rsidP="00000000" w:rsidRDefault="00000000" w:rsidRPr="00000000" w14:paraId="000009D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Philippines, evidence of DNA match will have to be admitted not only out of necessity (since we have not yet put up the needed data base) but also out of liberality of o rules on evidence. Of course, by so admitting, judges should realize that such a "match" does not really provide a unique identification of the perpetrator of a crime. Further, the j should be on guard against human error in the laboratory, which may produce a false positive to incriminate an innocent person. According to Thompson:</w:t>
      </w:r>
    </w:p>
    <w:p w:rsidR="00000000" w:rsidDel="00000000" w:rsidP="00000000" w:rsidRDefault="00000000" w:rsidRPr="00000000" w14:paraId="000009D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probability of a false positive has received profiles, although having an accurate estimate of the probability of a false positive may be more important than having an accurate estimate of the frequency of matching profiles, because the rate of a false positive is likely to be much greater than the rate of coincidental matches. Without an accurate estimate of the false positive, one cannot evaluate the probative value of DNA evidence." (Thompson, supra, id. at 91). </w:t>
      </w:r>
    </w:p>
    <w:p w:rsidR="00000000" w:rsidDel="00000000" w:rsidP="00000000" w:rsidRDefault="00000000" w:rsidRPr="00000000" w14:paraId="000009D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US National Research Council calls for laboratory error rates to be determined based on proficiency testing and disclosed to triers of facts. Accurate estimates of error rates require proficiency tests that are externally administered, blind, and based on samples that are truly representative of case materials (National Research Council, "The Evaluation of Forensic DNA Evidence," p. 22 [1996]). </w:t>
      </w:r>
    </w:p>
    <w:p w:rsidR="00000000" w:rsidDel="00000000" w:rsidP="00000000" w:rsidRDefault="00000000" w:rsidRPr="00000000" w14:paraId="000009D5">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VII. Weight of DNA Evidence</w:t>
      </w:r>
    </w:p>
    <w:p w:rsidR="00000000" w:rsidDel="00000000" w:rsidP="00000000" w:rsidRDefault="00000000" w:rsidRPr="00000000" w14:paraId="000009D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Assuming that DNA evidence is admissible, it does not mean that the trial court will give it credence wholesale. The fact that the testimony on DNA came from an expert does not render it immune from attack as to its scientific basis or from the quality of the testimony. In the United States, the cases decided by trial courts show that DNA evidence, even when admitted, were questioned or excluded because of poor handling or contamination of the sample, or because     of errors in following laboratory procedures or in analysis in matching, or in the interpretation of the statistical methods for matching, or in insuring the accuracy and the quantitative   interpretation of genetic typing. </w:t>
      </w:r>
    </w:p>
    <w:p w:rsidR="00000000" w:rsidDel="00000000" w:rsidP="00000000" w:rsidRDefault="00000000" w:rsidRPr="00000000" w14:paraId="000009D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 the basic issue in the use of DNA evidence is not really the validity of the scientific theory but the reliability and observance of the scientific procedures designed to implement the theory. This revolves on the ability and competence of lawyers and experts to present scientific evidence effectively and the ability of judges to understand and to draw reasonable inferences from this evidence.</w:t>
      </w:r>
    </w:p>
    <w:p w:rsidR="00000000" w:rsidDel="00000000" w:rsidP="00000000" w:rsidRDefault="00000000" w:rsidRPr="00000000" w14:paraId="000009D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are a number of grounds that affect the weight of DNA evidence, especially that obtained from RFLP analysis. Among these are (1) inherent error, (2) testing error, (3) laboratory procedure error, and (4) interpretive error. For example: </w:t>
      </w:r>
    </w:p>
    <w:p w:rsidR="00000000" w:rsidDel="00000000" w:rsidP="00000000" w:rsidRDefault="00000000" w:rsidRPr="00000000" w14:paraId="000009D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sampling, there is always the possibility of substitution or manipulation. For example, in the case again O.J. Simpson, where the prosecution was able to prove that the defendant left a tell-tale trail of blood and blood-smea clothing that stretched from the scene of the killing to the house of Simpson, and it was proven that these matched the blood of the defendant, it was also shown by the defense that the blood samples were brought by the police to the house of the defendant, and then his lawyers capitalized on this by saying that this trail of blood was planted by the police, who earlier obtained samples of the defendant's blood, and later intentionally or accidentally spilled the samples from Simpson on the other blood samples, making the real killer's blood look like Simpson's blood ("How the Jury Saw It," Newsweek, Oct. 16, 1995, p. 20). At the trial of the criminal case, the counsel for Simpson moved to exclude the DNA evidence, not only on scientific and technical grounds, but also on the ground that the blood samples were planted by the biased policemen.</w:t>
      </w:r>
    </w:p>
    <w:p w:rsidR="00000000" w:rsidDel="00000000" w:rsidP="00000000" w:rsidRDefault="00000000" w:rsidRPr="00000000" w14:paraId="000009D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specimen may be contaminated. This is the curse of the PCR method because of its extreme sensitivity. Contamination of the DNA present in a sample will be amplified and may cover the true DNA of interest. There are many potential sources of contaminating DNA in PCR, including those contributed by the victim, by bystanders, and even the technician (MacKnight, supra, id. at 316). There is also concern that previously amplified DNA will contaminate the test DNA sample as it is being processed (MacKnight, ibid.). In samples that are too old or that have been poorly preserved, for example, the long DNA fragments tend to break into shorter fragments. This may be caused by digestion by enzymes, the presence of chemicals which damage DNA, physical breakage due to shearing, and exposure to ultraviolet rays (Marx, "DNA Fingerprinting Takes the Witness Stand," 240 Science 1616 [1988]). Samples may also be diluted with dirt, water, oil, or even other body fluids coming from other sources. These contaminants appear in most forensic samples because they are commonly red   found on floors, carpets, car seats, and furniture. Even small amounts of contaminants may alter the band pattern of DNA in RFLP analysis. It has been observed by scientists that samples contaminated with DNA from another person may produce a double print in which two DNA patterns are superimposed. This is common in rape cases, where semen may be mixed with other body fluids. And spurious DNA from nonhuman sources may produce false bands in the tests. Other contaminants may broaden the bands, or cause the bands to smear, and this is likely to lead to error in interpretation because the technician would be unable to tell of    which part represents the true band in RFLP analysis (Thompson and Ford, supra, id. at 93, fn. 212, 213). Of course, this alteration of band patterns will not falsely incriminate an innocent person because such will not cause two prints to match, but it will also exculpate a guilty suspect in the absence of other convincing evidence.</w:t>
      </w:r>
    </w:p>
    <w:p w:rsidR="00000000" w:rsidDel="00000000" w:rsidP="00000000" w:rsidRDefault="00000000" w:rsidRPr="00000000" w14:paraId="000009D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We should not also discount contamination with other genetic material in the laboratory, like bacteria, plant or animal secretions, etc. </w:t>
      </w:r>
    </w:p>
    <w:p w:rsidR="00000000" w:rsidDel="00000000" w:rsidP="00000000" w:rsidRDefault="00000000" w:rsidRPr="00000000" w14:paraId="000009D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is also the question of reliability of testing procedures in the laboratory. This is especially true in the analysis of samples taken from body fluids which can be mixed with other forms of body fluids. In RFLP analysis, in the phase of the Southern transfer, an error in transferring the DNA prints to the membrane may cause certain bands to disappear, creating a different pattern. The use of different restriction enzymes or different genetic probes to make two prints would also produce different patterns. This will also result in exculpating a guilty defendant. Or if the technician makes an error in placing the wrong sample on the gel, or mixes the samples without realizing it, this will result in a print that will let the guilty suspect go free.</w:t>
      </w:r>
    </w:p>
    <w:p w:rsidR="00000000" w:rsidDel="00000000" w:rsidP="00000000" w:rsidRDefault="00000000" w:rsidRPr="00000000" w14:paraId="000009D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hybridization phase of the RFLP analysis, the genetic probes may lock onto the wrong DNA sequences if the probes have been degraded due to contamination. Errors in labeling the probe with the wrong radioactive marker, or use of a wrong chemical composition, will affect the probe's ability to lock onto the polymorphic sequences (Thompson and Ford, supra, id. at 95). If the probe DNA is cross-contaminated with the DNA samples, this will produce aberrant bands once the DNA locks onto itself. This will cause a false identification even if just a small amount of probe DNA contaminates the samples or any of the reagents used to analyze the samples. All such samples exposed to the probe will have common bands. Thompson and Ford, supra).</w:t>
      </w:r>
    </w:p>
    <w:p w:rsidR="00000000" w:rsidDel="00000000" w:rsidP="00000000" w:rsidRDefault="00000000" w:rsidRPr="00000000" w14:paraId="000009D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PCR, there is the problem of the so-called "allelic drop-out," that is, the preferential or differential amplification of alleles where the procedure greatly favors one of the two alleles present in a heterozygous individual such that the results would lead one to conclude wrongly that the individual was homozygous at the locus examined (MacKnight, supra, id. at 314). This may happen if the temperature of the reaction is substantially below 94 degree C which causes selective denaturation (Ibid.).</w:t>
      </w:r>
    </w:p>
    <w:p w:rsidR="00000000" w:rsidDel="00000000" w:rsidP="00000000" w:rsidRDefault="00000000" w:rsidRPr="00000000" w14:paraId="000009D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defense can also question the quality controls in the laboratory. Each laboratory should have a quality control program to make sure that the quality of the DNA is appropriate to the test; that the enzyme digestion is correct; rent   that there are controls on the quality of fragment separation, the DNA probe, and the data analysis; and that there should be monitored on equipment maintenance throughout the test, and reagent preparation (See People v. Wesley, 533 NYS2d 643, at 665). Results from laboratories that have not undergone blind external proficiency testing are not as reliable as those that have undergone such tests. If results have undergone such testing, the court should assess the finding by looking at the laboratory's false-positive rate of error (Deck, "Prelude to a Miss," 20 V.t L. Rev. 1057 [1996]).</w:t>
      </w:r>
    </w:p>
    <w:p w:rsidR="00000000" w:rsidDel="00000000" w:rsidP="00000000" w:rsidRDefault="00000000" w:rsidRPr="00000000" w14:paraId="000009E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Laboratory controls are more particularly crucial in PCR analysis where carryover contamination is a recurring problem all throughout the testing process. A single PCR reaction produces an enormous number of copies of DNA that can potentially contaminate samples yet to be amplified. Since the number of copies of amplified DNA in a completed PCR reaction is so high, inadvertent transfer of even a minute volume of yet to be amplified sample by splashing or by aerosol may result in the amplification and typing of the contaminating DQa. It is said that PCR is so sensitive that if one vial of blood is opened in proximity to another, the open vial can create an aerosol that can actually contaminate another sample, making the two seem identical (Tyler, "Fundamental Misunderstanding About DNA Contamination: Does It Help or Hurt the Criminal Defendant?" 31 Beverly Hills B.A.J. 15 [1996] 27). It is possible that if a contaminating sample is amplified by PCR to the exclusion of the specimen sample, this can create a false positive which may incriminate an innocent person (Tyler, id. at 29; see also People v. Lee, 537 NW2d 233).</w:t>
      </w:r>
    </w:p>
    <w:p w:rsidR="00000000" w:rsidDel="00000000" w:rsidP="00000000" w:rsidRDefault="00000000" w:rsidRPr="00000000" w14:paraId="000009E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Errors may also come in the interpretation of the results of the test. If this happens, technicians will be substituting their own judgment for that of the trial judge. This subjective judgment of the technicians is crucial. For instance, in RFLP analysis, the bands may come in clear and sharp, but in most cases, they may be fuzzy and hazy. In some instances, there  may be disputes as to whether there is a band or none at all. Laboratory anomalies may produce spurious bands or missing bands. These can degrade the probative value of a match.</w:t>
      </w:r>
    </w:p>
    <w:p w:rsidR="00000000" w:rsidDel="00000000" w:rsidP="00000000" w:rsidRDefault="00000000" w:rsidRPr="00000000" w14:paraId="000009E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PCR, discrepancies can arise in the reading of dot blots. In order for the test to be deemed "readable," the intensity of color at a test dot must be at least as intense as that of the "control dot." If the control dot is more intense than the other dots, then the results need careful analysis.       This is more true in sexual assault cases, where "mixed evidence" samples are tested with "pure" evidence samples collected from the suspect and the victim. Because each person has two alleles, a maximum of two alleles should be identified in the sample. However, if the sample is mixed, it    is likely that three or more alleles will be detected. If two people have the same DQa type, there will be only two alleles identified, even if the samples are mixed. However, they will also be found to have the same types in the pure samples. The results would mean that the suspect can neither be included nor excluded from the pool of potential suspects based on PCR testing (MacKnight, supra, id. at 319). </w:t>
      </w:r>
    </w:p>
    <w:p w:rsidR="00000000" w:rsidDel="00000000" w:rsidP="00000000" w:rsidRDefault="00000000" w:rsidRPr="00000000" w14:paraId="000009E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other method of testing DNA, known as polymerase chain reaction (PCR), there are also a number of grounds to contest the weight of the evidence presented. As in RFLP, there is always the problem of a coincidental match,  and it is more serious under this testing method. A               coincidental match will depend on the number of allele systems for which they match, and whether these systems are independent of each other. There is also the possibility of an erroneous call or wrong declaration by the lab technician. PCR consists of a series of dots which indicate the presence of specific alleles. Some factors can blur the distinction between a positive call and a negative call if the dots are very faint, or the dots may be difficult to distinguish in a dark area, which can occur in an X-ray film. This is caused by sloppy procedures in PCR testing. And if there is contamination of samples, this will cause a dot to appear where it should not, or to disappear where it should appear. If the spurious appearance or disappearance of a dot will cause a match between patterns from two persons, an innocent suspect could be falsely incriminated. But if it hides a match between DNA patterns coming from one person alone, a guilty suspect could be exonerated. Even if just a small amount from the suspect's DNA contaminates the PCR reaction, the result will incriminate the suspect. Other errors are common to both RFLP and PCR analyses, like contamination of probes, adding the wrong probe, or putting e test samples in the wrong slots, etc. (Thompson and Ford, pra, id. at 99). </w:t>
      </w:r>
    </w:p>
    <w:p w:rsidR="00000000" w:rsidDel="00000000" w:rsidP="00000000" w:rsidRDefault="00000000" w:rsidRPr="00000000" w14:paraId="000009E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problems in DNA profiling show how dangerous it is to just base the conviction of a suspect on DNA evidence alone. In People v. Castro (545 NYS2d 985 [1989]), the court excluded evidence because the laboratory hired to conduct the DNA test did not even follow its own procedures. In this case, the defendant was accused of two counts of murder, being alleged that he stabbed to death a woman tenant and her two-year old daughter. A wrist watch owned by the defendant was seized. What appeared to be bloodstains on the watch was noted by the detectives, but the defendant said that the blood was his own. The prosecution, intending to prove that the bloodstains were those of the adult victim and not those of the defendant, sought to introduce evidence of the DNA identification tests. While the panel of prosecution experts proved that there was a match between the samples by using scientifically accepted tests and techniques, the defense, in a piercing attack upon each DNA molecule presented, demonstrated that the testing laboratory failed to conduct the "sex test" to determine whether the sample came from a male or a female. The court said that the sex test as a form of control should be used in forensic cases when the sex of the test DNA's donor is unknown. The court thus ruled that the DNA evidence was inadmissible as a matter of law. </w:t>
      </w:r>
    </w:p>
    <w:p w:rsidR="00000000" w:rsidDel="00000000" w:rsidP="00000000" w:rsidRDefault="00000000" w:rsidRPr="00000000" w14:paraId="000009E5">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IX. Constitutional Issues in Obtaining Evidence</w:t>
      </w:r>
    </w:p>
    <w:p w:rsidR="00000000" w:rsidDel="00000000" w:rsidP="00000000" w:rsidRDefault="00000000" w:rsidRPr="00000000" w14:paraId="000009E6">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 Privilege against self-incrimination </w:t>
      </w:r>
    </w:p>
    <w:p w:rsidR="00000000" w:rsidDel="00000000" w:rsidP="00000000" w:rsidRDefault="00000000" w:rsidRPr="00000000" w14:paraId="000009E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our Constitution, "no person shall be compelled to be a witness against himself" (Art. III, sec. 17). The rationale for this guarantee are (1) public policy and (2) humanity (U.S. v. Navarro, 3 Phil. 143 [1903]). "Of policy, because if the party were required to testify, it would place the witness under the strongest temptation to commit perjury; and of humanity, because it would prevent the extorting of confessions by duress" (id. at 148).</w:t>
      </w:r>
    </w:p>
    <w:p w:rsidR="00000000" w:rsidDel="00000000" w:rsidP="00000000" w:rsidRDefault="00000000" w:rsidRPr="00000000" w14:paraId="000009E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early as 1903, our Supreme Court had already enshrined the privilege by striking down as unconstitutional a provision of the Spanish Penal Code which penalized any person "who illegally detains another and fails to give information concerning his whereabouts, or does not prove that he set him at liberty" (Art. 483. par. 2, Spanish Penal Code). Our Supreme Court, invoking the Philippine Bill of 1902 which carried the privilege, held that "this provision of law has the effect of forcing a defendant to become a witness on his own behalf or to take a much severer punishment" and therefore violated the privilege (People v. Navarro, supra). </w:t>
      </w:r>
    </w:p>
    <w:p w:rsidR="00000000" w:rsidDel="00000000" w:rsidP="00000000" w:rsidRDefault="00000000" w:rsidRPr="00000000" w14:paraId="000009E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issue of violation of the privilege against self-incrimination crops up in the method of obtaining evidence in the form of DNA samples from the person of the suspect. For even if samples are available at the scene of the crime, this is meaningless if it is not compared with samples taken from the body of the suspect. While a blood or serum test may be considered a "search" under the search and seizure clause of our Constitution, the compulsory obtaining of blood samples from the body of a suspect does not violate the privilege against self-incrimination. While our Supreme Court has rigidly adhered to the strict command of the privilege against self-incrimination, it has always ruled that the privilege is applicable only to testimonial evidence. The right is simply a prohibition against legal process to extract from the defendant's lips, against his will, an admission of guilt, held by the Court in U.S. v. Tan Teng (23 Phil. 145 [1912]). This case, which was a prosecution for abusos deshonestos, involved the use of substance taken from the sex organ of the defendant, which showed that he had gonorrhea like that of the complaining girl, who was also infected with the disease. During the trial, the defendant had objected to the admission of the finding of the Bureau of Science that he was suffering from gonorrhea, invoking his privilege against self-incrimination, but the Supreme Court held that the privilege is just a prohibition of the use of physical or moral compulsion to extort communication from the defendant, not an exclusion of evidence taken from his body when it may be material (Id. at 150).</w:t>
      </w:r>
    </w:p>
    <w:p w:rsidR="00000000" w:rsidDel="00000000" w:rsidP="00000000" w:rsidRDefault="00000000" w:rsidRPr="00000000" w14:paraId="000009E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doctrine was followed in later cases. Thus, the Supreme Court held that forcing an accused to discharge morphine from his mouth (U.S. v. Ong Siu Hong, 36 Phil. 735 [1917)), or forcing a woman accused of adultery to submit her body, against her will, for examination by a physician to determine if she is really pregnant (Villaflor v. Summers, Phil. 62 [120]), does not violate the privilege against self-incrimination. The rationale given by the Court for the privilege is self-defeating: it stated that while this case "is a shock to one's sensibilities, we must nevertheless enforce the constitutional provision in accord with the policy and the reason thereof," which is that "the constitutional protect the innocent (id. at 69.) With this kind of reasoning, the exclusionary rule in evidence would be thrown overboard by the Court. This goes against the grain of the constitutional principle that its provisions protect the innocent and the guilty alike. Other cases also hold that coercing the accused to place his left foot over a footprint for purposes of comparison (U.S. v. Zara, 42 Phil. 308 [1902]), requiring a witness to put on a pair of trousers to determine its ownership or conducting a paraffin test on the accused (People v. Contadora, 47 O.G. 6156), or requiring the accused to submit to a footprinting test (U.S. v. Salas, 25 Phil. 337 [1913]) are not violative of the privilege against self-incrimination. The Supreme Court recently had occasion to clarify that the privilege covers only evidence which is "communicative in nature" taken under duress (People v. Olvis, G.R. 71092, Sept. 30, 1987). However, these general doctrines on the privilege against self-incrimination will have to be dovetailed with the law on searches and seizures.</w:t>
      </w:r>
    </w:p>
    <w:p w:rsidR="00000000" w:rsidDel="00000000" w:rsidP="00000000" w:rsidRDefault="00000000" w:rsidRPr="00000000" w14:paraId="000009EB">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B. Right against unlawful searches and seizures </w:t>
      </w:r>
    </w:p>
    <w:p w:rsidR="00000000" w:rsidDel="00000000" w:rsidP="00000000" w:rsidRDefault="00000000" w:rsidRPr="00000000" w14:paraId="000009E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more formidable challenge against the compulsory obtention of DNA samples from a suspect comes from the search and seizure clause of our Constitution. The guarantee provides:</w:t>
      </w:r>
    </w:p>
    <w:p w:rsidR="00000000" w:rsidDel="00000000" w:rsidP="00000000" w:rsidRDefault="00000000" w:rsidRPr="00000000" w14:paraId="000009E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right of the people to be secure in their persons, houses, papers, and effects against unreasonable searches and seizures of whatever nature and for any purpose shall be inviolable, x x x." (Art. I , sec. 2)</w:t>
      </w:r>
    </w:p>
    <w:p w:rsidR="00000000" w:rsidDel="00000000" w:rsidP="00000000" w:rsidRDefault="00000000" w:rsidRPr="00000000" w14:paraId="000009E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 leading case that involved the interplay of these two guarantees against the backdrop of the due process clause, the US Supreme Court ruled that the taking of blood samples through compulsion from the body of a driver who was arrested for drunken driving did not violate any of these guarantees. On the question as to whether the procedure compelled the accused "to be a witness against himself," the Court held that the privilege "offers no protection against compulsion to submit to fingerprinting or photographing, or measurements, to write or speak for identification, to appear in court, to stand, to assume a stance, to walk, or to make a particular gesture x x x. The privilege is a bar against compelling 'communications' or 'testimony,’ but that compulsion which makes a suspect or accused the source of 'real or physical' evidence does not violate it" (Schmerber v. California, 384 US 757 [1966]). The blood test evidence, although an incriminating product of compulsion, was neither petitioner's testimony nor evidence relating to some communicative act or writing by the petitioner, and it was not inadmissible on privilege grounds, the Court concluded.</w:t>
      </w:r>
    </w:p>
    <w:p w:rsidR="00000000" w:rsidDel="00000000" w:rsidP="00000000" w:rsidRDefault="00000000" w:rsidRPr="00000000" w14:paraId="000009E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the U.S. Supreme Court, while adhering to the same doctrine, underlined the basic value behind the privilege, and invalidated a compulsory procedure of yielding physical evidence that is shocking to the sensibilities of civilized society. It held that forcing a defendant to regurgitate capsules he had swallowed by pumping his stomach violates the right against self-incrimination. Rochin v. California (324 U.S. 165 [1952]) was a case where the police officers, having information that Rochin was selling narcotics, went to his residence and entered the premises illegally. They found him partially clothed, sitting on the side of the bed, and saw two capsules lying on the nightstand. When asked, "whose stuff is this?" referring to the two capsules, Rochin reached for the pills and swallowed them. After efforts by the officers to force the suspect to regurgitate the capsules failed, they took him to a hospital where they ordered his stomach to be pumped. A report confirming that the capsules contained morphine was used to convict the defendant. When the case was appealed to the Supreme Court, the latter reversed the decision, holding that "we are compelled to conclude that the proceedings by which this conviction was obtained do more than offend some fastidious squeamishness or private sentimentalism about combating crime too energetically. This is conduct that shocks the conscience. Illegally breaking into the privacy of the petitioner, the struggle to open his mouth and remove what was there, the forcible extraction of his stomach's contents - this course of proceeding by agents of government to obtain evidence is bound to offend even hardened sensibilities. They are methods too close to the rack and the screw to permit constitutional differentiation."</w:t>
      </w:r>
    </w:p>
    <w:p w:rsidR="00000000" w:rsidDel="00000000" w:rsidP="00000000" w:rsidRDefault="00000000" w:rsidRPr="00000000" w14:paraId="000009F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ruling is a watershed for the trend of thought behind the privilege, for it emphasizes that the basic value behind the provision is respect for the individual, not the search for truth as the Philippine Supreme Court had put it. The ultimate value underpinning the rights of the accused is not really the discovery of truth, but the upholding of human dignity, regardless of the guilt of the suspect. With more reason should this ruling be applicable in the Philipp context, because the provision of our Constitution prohibiting unreasonable searches and seizures is cast in stronger terms than that of the US Constitution. While the latter merely proscribes "unreasonable searches and seizures," our Constitution contains the blanket qualifying clause "unreasonable searches and seizures of whatever nature and for any purpose." Thus, while the American constitutional provision has been construed in some instances not to cover certain administrative searches and seizure (e.g., home visitation by caseworkers to insure compliance with state regulations by persons receiving welfare payments (Wyman v. James, 400 US 309 [1971)); inspections to assess compliance with federal health and safety standards under the Occupational Safety and Health Act of 1970 (Marshall v. Barlow's Inc., 436 US [1978]); inspection of stone quarries by federal mine inspectors under the Federal Mine Safety and Health Act of 1977 (Donovan v. Dewey, 452 US 594 [1981]), such administrative searches and ing   seizures may not be allowed under a strict construction of our Bill of Rights.</w:t>
      </w:r>
    </w:p>
    <w:p w:rsidR="00000000" w:rsidDel="00000000" w:rsidP="00000000" w:rsidRDefault="00000000" w:rsidRPr="00000000" w14:paraId="000009F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However, no definitive case has been decided by our Supreme Court interpreting the new qualifying clause to our provision against unreasonable searches and seizures. But it seems clear that "fishing expeditions" for DNA fingerprints would fall under the prohibition. A "fishing expedition" is exemplified in the English case of Regina v. Pitchfork (The Times, London, Jan. 23, 1989).</w:t>
      </w:r>
    </w:p>
    <w:p w:rsidR="00000000" w:rsidDel="00000000" w:rsidP="00000000" w:rsidRDefault="00000000" w:rsidRPr="00000000" w14:paraId="000009F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this case, after the rape and murder of a 15-year old girl in Leicestershire, England in 1983, what the police did was to go to every residence in the nearby villages and ask male residents aged 13 to 34 to perform blood tests so that they could compare these with blood tests on semen recovered fro a vaginal swab of the victim. Three years later, another 15-year old girl suffered the same fate in an adjacent village. The police again embarked on a "voluntary" blood testing among all male residents of three villages, and they made "house calls" on any male who failed to appear for blood testing. A resident named Colin Pitchfork was afraid to give blood because he had a criminal record for "flashing," so he convinced another to give a sample using Pitchfork's name and identity card. He received a clearance based on the negative result. But 5 months later, the substitute talked and the police got wind of it. Pitchfork was arrested and confessed to both murders. </w:t>
      </w:r>
    </w:p>
    <w:p w:rsidR="00000000" w:rsidDel="00000000" w:rsidP="00000000" w:rsidRDefault="00000000" w:rsidRPr="00000000" w14:paraId="000009F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general rule is that the obtention of samples from a suspect like hair follicle, blood, semen, and other fluids, even against his will, does not violate his right against self-incrimination, for the right against self-incrimination covers only communicative evidence. The qualification of the general rule is that in obtaining samples from the suspect, the degree of invasion of privacy and the methods used must not be offensive to the sensibilities of a civilized society; otherwise, it would be considered unconstitutional. This rules out fishing expeditions. Cases decided by the US Supreme Court list some factors to determine "reasonableness" of a search or seizure: the government and the privacy interest should be weighed in the balance to determine the need for an exception to the warrant requirement, discounted by the identified privacy interest.</w:t>
      </w:r>
    </w:p>
    <w:p w:rsidR="00000000" w:rsidDel="00000000" w:rsidP="00000000" w:rsidRDefault="00000000" w:rsidRPr="00000000" w14:paraId="000009F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important to note that if compulsory procedures are used to obtain DNA samples from the body of a suspect, there must be either probable cause or an arrest warrant, as provided in the constitutional provision. This is because obtaining a blood sample, a hair follicle, or semen from a suspect requires a serious intrusion on his personal security and dignity, not to mention his freedom. In one federal case, the US Supreme Court held that, without a warrant or probable cause, the police cannot force a person to go to the police station for fingerprinting as that would be tantamount to arrest (Hayes v. Florida, 470 US 84 [1985]). While the Court declared that it may be constitutional to seize a person on less than probable cause for fingerprinting, the prohibition against unreasonable searches and seizures is triggered if police activity becomes too long in duration. However, it was earlier held by the same Court that where a suspect is found to have blood or skin residue under his fingernails, and the police have probable cause to believe that such evidence is incriminating, the exigency of the circumstances dispenses with the necessity of obtaining a warrant (Cupp. v. Murphy, 412 US 291[1973]). This case involved a defendant who telephoned the police that his wife died of strangulation, after which he voluntarily went to the police station for questioning. Soon after he arrived at the police station, a policeman noticed a dark spot on his finger and, believing that the dark spot might be blood and knowing that evidence of strangulation is often found under the fingernails of the assailant, the police requested the defendant that they be allowed to take a sample of scrapings from his fingernails. At this time, the defendant was not under arrest, although he was detained and there was probable cause to believe that he had committed the murder. The defendant refused the request, but the police, over the defendant's objection, took samples , which turned out to contain traces of skin and blood cells and fabric from the victim's nightgown, admitted in evidence during the trial. On a habeas corpus application to the Supreme Court, the latter held that "considering the existence of probable cause, the very limited intrusion undertaken incident to the station house detention, and the ready destructibility of the evidence, we cannot say that this search violated the Fourth and the 14th Amendments." </w:t>
      </w:r>
    </w:p>
    <w:p w:rsidR="00000000" w:rsidDel="00000000" w:rsidP="00000000" w:rsidRDefault="00000000" w:rsidRPr="00000000" w14:paraId="000009F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Schmerber v. California, supra, where a blood sample was taken by compulsion from the body of the defendant who was arrested for drunken driving, where it was contended that the chemical analysis should have been excluded from the evidence as the product of an unlawful search, the Court noted that delay in obtaining a warrant threatened the destruction of the evidence, that the police officer who arrested him was faced with an emergency, that the test was performed in a reasonable manner by a physician in a hospital according to accepted medical procedures and without risk of infection or pain, and it concluded that there was no violation of the guarantee against unreasonable searches and seizures.</w:t>
      </w:r>
    </w:p>
    <w:p w:rsidR="00000000" w:rsidDel="00000000" w:rsidP="00000000" w:rsidRDefault="00000000" w:rsidRPr="00000000" w14:paraId="000009F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US Supreme Court, however, has lowered the "probable cause" standard laid down in earlier cases to "individual suspicion" (Terry v. Ohio, 392 U.S. 1[1968]) and even lower to the "special needs test" (Skinner v. Railway Labor Executives Association, 489 US 602 [1989]). In the Terry case, the Court held that a "stop and frisk" made by a police officer on suspicion that the suspects were casing a store preparatory to robbery and to search for hidden weapons was a "reasonable search" under the Fourth amendment. This kind of police conduct is less intrusive than an arrest, according to the Court, thus implying that "reasonable cause" can be replaced at times by a balancing test. In that case the Court further said that the policeman must be able to point to specific and articulable acts which, taken together with rational inferences from those facts, reasonably warrant that intrusion. It was pointed out that the government’s interest in crime prevention satisfied the requirement and outweighed the suspect's individual interest. </w:t>
      </w:r>
    </w:p>
    <w:p w:rsidR="00000000" w:rsidDel="00000000" w:rsidP="00000000" w:rsidRDefault="00000000" w:rsidRPr="00000000" w14:paraId="000009F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shifting to a balancing test, the courts can use the less stringent "individualized suspicion" or even dispense with it. It can be seen in later cases that the US Supreme Court did exactly just that. In the Skinner case (supra), the Court stated that "individualized suspicion" is not the constitutional floor below which a search must be deemed unreasonable." In limited circumstances, where the privacy interests implicated by the search are minimal, and where an important governmental interest furthered by the intrusion would be placed in jeopardy by a requirement of individualized suspicion, a search may be reasonable despite the absence of such suspicion," said the Court (Skinner case, supra, id. at 624). Here the Court upheld the constitutionality of a mandatory blood and urine testing of all railroad employees involved in certain accidents. In a companion case (National Treasury Employees Union v. Von Raab, 489 US 656[1989]), the Court likewise validated the mandatory drug testing of all US customs service employees who had applied for positions that required them to carry firearms. In this case the Court dispensed with the probable cause requirement before searching an employee, as it felt that the government's need to conduct suspicionless searches outweighed the privacy interests of the employees. </w:t>
      </w:r>
    </w:p>
    <w:p w:rsidR="00000000" w:rsidDel="00000000" w:rsidP="00000000" w:rsidRDefault="00000000" w:rsidRPr="00000000" w14:paraId="000009F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such pronouncements it is just a short step to suspicionless blood or serum testing for matching DNA evidence. The government's interest in crime investigation will always be held to outweigh the privacy rights of an individual. The rampant cases of rape, murder and paramount governmental interests as against isolated individual rights. This may even involve fishing expeditions and saturation drives usually conducted among residents of slums and squatter areas. In cases where the investigation has begun to focus on a suspect, the standard of "individualized suspicion" comes in handy to justify intrusion on an individual's privacy.</w:t>
      </w:r>
    </w:p>
    <w:p w:rsidR="00000000" w:rsidDel="00000000" w:rsidP="00000000" w:rsidRDefault="00000000" w:rsidRPr="00000000" w14:paraId="000009F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Yet even if the right to privacy is described as “a broad abstract, and ambiguous” concept (Black, dissenting in Griswold v. Connecticut, 381 US 479, at 509 [1965]), it is, nonetheless, a legitimate one (Ibid.). It contains a component consisting of the capacity to maintain aspects of one’s life apart from public awareness. It was Charles Fried, former Solicitor-General of the US, who defined this right as "the control we have over information about ourselves" (Fried, Harv. L. Rev. [1968]). The trend in the jurisprudence of search and seizure, in the US as well as in the Philippines, has shifted the rationale for the protection in the Constitution against unreasonable searches and seizures from property rights to privacy. The search and seizure clause "protects people, not places," declared the US Supreme Court in the leading case of Katz v. US, 389 US 347 [1967]). "What a person knowingly exposes to the public, even in his own home or office, is not subject to Fourth Amendment protection, but what he seeks to preserve as private even in an area accessible to the pub may be constitutionally protected" (Id. at 350351). The constitutional provision protects the privacy and sanctity of the person himself (Bernas, The Constitution, 1987 ed., p. 85)</w:t>
      </w:r>
    </w:p>
    <w:p w:rsidR="00000000" w:rsidDel="00000000" w:rsidP="00000000" w:rsidRDefault="00000000" w:rsidRPr="00000000" w14:paraId="000009F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their seminal work on the right to privacy, Warren and Brandeis noted that "recent inventions and business methods call attention to the need for the protection of the person, and for securing to the individual... the right to be let alone (Warren and Brandeis, "The Right to Privacy," 4 Harv. L. Rev. 190 at 195 [1890]). In the case of Whalen v. R (429 US 589 [1977)), the US Supreme Court recognized the e of the threat to informational privacy: "We are not unaware of the threat to privacy implicit in the accumulation of vast amounts of personal information in the computerized data banks or other misuse of government files . . . much of which is personal in character and potentially embarrassing or harmful if disclosed" (id. at 605). In his concurring opinion Justice Brennan noted that there are limits on both the type of information that the state may gather and the means by which this may be gathered" (id. at 607). </w:t>
      </w:r>
    </w:p>
    <w:p w:rsidR="00000000" w:rsidDel="00000000" w:rsidP="00000000" w:rsidRDefault="00000000" w:rsidRPr="00000000" w14:paraId="000009F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Since a DNA profile is unique to an individual, and since a person's genetic data can be determined directly, the right to informational privacy crops up in the gathering of DNA profiles. DNA profiling may be considered stigmatizing, if samples are taken only from suspects in criminal investigations or from litigants in paternity suits. And the way in which information from DNA is used would have an adverse effect on a person's ability to get employment,  insurance, credit and other valued benefits in our society. would also affect an individual's personal freedom, since disclosure of personal information can have a negative effe on a person's sense of autonomy and human dignity. This is because DNA profiles may include medical and genetic data which the individual may want to withhold from the public, like evidence of disease, genetic disorders, and identification of behavioral and mental characteristics like the genetic bases of schizophrenia, bipolar disorder, or Huntington's disease. Scientists speculate that some probes used in forensic science locate alleles that lie near a disease locus; thus there may be an association between the sample DNA and the disease locus. According to the Office of Technology Assessment of the US Congress, "the possibility exists to test DNA acquired specifically for identification purposes for disease information and to include that information in the database" oe (OTA, id. at 132). If so, DNA information can be used not only for litigation in civil and criminal cases but also for employment, insurance, and security purposes. Thus, informational privacy concerns acquire some urgency, especially because, as time goes on, the number and types of probes for genetic disorders, which indicate mental disorders and aberrations, increase. </w:t>
      </w:r>
    </w:p>
    <w:p w:rsidR="00000000" w:rsidDel="00000000" w:rsidP="00000000" w:rsidRDefault="00000000" w:rsidRPr="00000000" w14:paraId="000009F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Privacy concerns will raise issues on (1) what information should be stored; (2) how it should be stored; (3) who will have access to information. To protect such concerns, a DNA database should include only information that reveals an individual's identity and nothing more. Such information will be similar only to that gathered from fingerprints, or from a tax information number, or from a passport.</w:t>
      </w:r>
    </w:p>
    <w:p w:rsidR="00000000" w:rsidDel="00000000" w:rsidP="00000000" w:rsidRDefault="00000000" w:rsidRPr="00000000" w14:paraId="000009FD">
      <w:pPr>
        <w:spacing w:after="80" w:before="80"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 Due process rights of the accused </w:t>
      </w:r>
    </w:p>
    <w:p w:rsidR="00000000" w:rsidDel="00000000" w:rsidP="00000000" w:rsidRDefault="00000000" w:rsidRPr="00000000" w14:paraId="000009F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are a number of due process concerns that are raised in connection with DNA profiling. On due process, It   our Constitution provides:</w:t>
      </w:r>
    </w:p>
    <w:p w:rsidR="00000000" w:rsidDel="00000000" w:rsidP="00000000" w:rsidRDefault="00000000" w:rsidRPr="00000000" w14:paraId="000009F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all criminal prosecutions, the accused shall be presumed innocent until the contrary is proved, and shall enjoy the right to be heard by himself and counsel, to be informed of the nature and cause of the accusation against him, to have a speedy, impartial and public trial, to meet t witnesses face to face, and to have compulsory process to secure the attendance of witnesses and the production of evidence in his behalf" (Art. IV, sec. 14[2]).</w:t>
      </w:r>
    </w:p>
    <w:p w:rsidR="00000000" w:rsidDel="00000000" w:rsidP="00000000" w:rsidRDefault="00000000" w:rsidRPr="00000000" w14:paraId="00000A0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presumption of innocence is sometimes invoked against the obtention of DNA samples from suspected criminals. It is contended that obtaining DNA samples from a suspect creates a presumption of guilt. The presumption of innocence protects individuals from having to prove their innocence when the state decides to start a criminal investigation. The character of a DNA profile as a unique identifier of suspect in certain crimes, like rape and murder, even when no other physical evidence is available, gives rise to apprehensions of violation of the constitutional presumption. This is especially true of repeat offenders whose DNA profiles have been taken and stored in the investigation of the first offense or when they were already in jail. Some states in the US require convicts to give their DNA samples as a precondition to probation or release.</w:t>
      </w:r>
    </w:p>
    <w:p w:rsidR="00000000" w:rsidDel="00000000" w:rsidP="00000000" w:rsidRDefault="00000000" w:rsidRPr="00000000" w14:paraId="00000A0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One of the more important aspects of procedural due process that crops up in the use of DNA evidence in criminal trials is the right of the accused to prepare for trial (See People v. Valte, 43 Phil. 907; Montanilla v. Arellano, 89 Ph 434). Under this right, the accused, besides being allowed time to prepare for trial, must be given adequate freedom of action to access evidence (Arnault v. Pecson, 87 Phil. 418 [1950]). The use of DNA evidence involves complex technical, scientific, and statistical questions containing voluminous reports, documents, and materials unavailable to the suspect or his counsel. The requirements of due process dictate that he or his counsel should have an opportunity to examine all papers, reports and documents before trial so that these could be given to another expert for an independent review. To withhold any such relevant materials would violate due process. Thus, in US v. Yee (129 FRD 629), the court allowed discovery of matching criteria, environmental studies, population data, and proficiency tests since these are predicate materials essential to the defense which must rebut DNA evidence. The same ruling has been followed in several state cases in the US (see People v. Davis, 601 NYS2d 174 [1993]; State v. Feldman, 604 A2d 242 [1994]). Where a laboratory disclosed its protocol, laboratory notes, autoradiograph, and frequency tables in a discovery proceeding, but refused to supply more specific information on its methodology and database, the court excluded its s findings as evidence, stating that access to the data, methodology, and actual results is crucial for an independent expert review (State v. Schwartz, 447 NW2d 422 [1989]).</w:t>
      </w:r>
    </w:p>
    <w:p w:rsidR="00000000" w:rsidDel="00000000" w:rsidP="00000000" w:rsidRDefault="00000000" w:rsidRPr="00000000" w14:paraId="00000A0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fact, American courts have gone so far as to rule that nse,    not only does the defendant have the right to examine the evidence and test results of the prosecution, but further, that this right includes the right to test or retest the DNA sample in the prosecution's control (US v. Butler, 988 F2d 537 [1993]). Some state courts in the US construe their discovery rules to include mandatory retesting of DNA samples. This right to retest is considered a constitutional right under the due e.g. process clause. (Moore v. State, 748 P2d 732 [1987]). If the sample has been consumed, the prosecution is obliged to preserve as much documentation as possible to allow a full and fair examination of the results by a defendant and his experts (State v. Thomas, 421 SE2d 227 [1992]). Where retesting was refused, the accused must be protected by in affording him to fully cross-examine the prosecution's expert (Frias v. State, 547 NE2d 809; People v. Bell, 253 NW2d 726 [1977]). One authority on evidence proposes that proficiency testing of laboratories by an independent external agency be made a prerequisite to admissibility of DNA evidence (McCormick on Evidence, 4th ed., p. 875). A related issue here is whether or not a defendant's counsel who has acquired control of a DNA test or retest would be required to introduce this as evidence if such results were adverse to this client's cause. This issue has been answered by a state court in the negative, saying that to require the defendant to do so would violate the right to counsel guarantee in the constitution (State v. Melvins, 382 A2d 925 [1978]; Prince v Supreme Court, 10 Cal. Rep. 2d 855 [1992]).</w:t>
      </w:r>
    </w:p>
    <w:p w:rsidR="00000000" w:rsidDel="00000000" w:rsidP="00000000" w:rsidRDefault="00000000" w:rsidRPr="00000000" w14:paraId="00000A0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Another' due process issue is the defendant's right to access expert witnesses. The introduction of DNA evidence calls for the testimony of not just an expert, but of many experts. A laboratory technician is needed to testify on the process, the protocol, and the procedures followed in testing. A molecular biologist must testify on the results of the tes A population geneticist must testify on the estimate of population frequencies and the estimate procedures. In a country like the Philippines where 95% of criminal defendants in capital crimes are lower class individuals, the problem is how they can have access to all these experts. Will the government provide for the assistance of experts to defendants in much the same way that it appoints lawyers to help the indigent accused? If we are to follow the lead of the US Supreme Court, the answer would be yes. In Ake v. Oklahoma (470 US 68 [1985]), the defendant, who was charged with a capital offense, relied on insanity as a defense and sought the assistance of a psychiatrist. The trial court refused to appoint one, but the Supreme Court reversed, holding that the constitutional guarantee of due process required that indigent defendants be provided with funds to retain suitable experts for their defense. </w:t>
      </w:r>
    </w:p>
    <w:p w:rsidR="00000000" w:rsidDel="00000000" w:rsidP="00000000" w:rsidRDefault="00000000" w:rsidRPr="00000000" w14:paraId="00000A0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Some state courts have followed this ruling with regard to DNA evidence. One court has ruled that it is violative of due process not to provide an expert to refute the testimony of a witness on DNA so as to test the samples independently, to question whether the results showed a match or to explain that scientific opinion may be divided (Dubose v. State, 662 So2d 1189 [1995]). The Florida court held that the trial court abused its discretion under a statute by denying a defense to    request even though there was no showing of a specific need for an expert (Cade v. State, 658 So2d 550 [1995]). Another court has proposed criteria as to whether the state should provide a defendant a counter-expert or not, like (1) the importance of the scientific issue, and (2) how much help the expert can give to the resolution of the issue (Husske v. Commonwealth, 448 SEd 331 [1994]). Other state courts, however, have denied the defendant's request for an independent expert, distinguishing the issue in the Ake case g.    cited above with that in the trial court, the state court holding that the Ake case was concerned with the expertise of a very subjective nature, but the DNA results involve precise physical measurements by an independent laboratory, and the defendant had not made any showing of what the e     laboratory might have done inaccurately (Harrison v. State, 644 NE2d 1243 [1995]). This distinction made by the court here seems to rest on a shaky premise. Issues as to whether the laboratory followed its own procedures in testing, whether such procedures are adequate to reduce the risk of error, whether its controls are adequate to insure accuracy of results, what are its standards for declaring errors and for nse   determining the probability of a coincidental match and for finding out the relevant population data, and its standards for record keeping, are all subjective issues which can be threshed out only in an exchange of opinions between experts speaking on the same wave length. As one commentator puts it, the circumstances which have     prompted courts to deny defense requests for experts' services in ordinary cases should not apply to DNA evidence, first, because this evidence is almost always a pivotal issue as it goes directly to the issue of guilt or innocence; second, the only way to show a lack of general consensus in the scientific community is to have a defense expert testify; third, cross-examination is rarely effective with a complex technical subject if the lawyer is unaided by an expert; and fourth, a defense counsel who does not hire an expert would be rendering ineffective assistance of counsel tantamount to deprivation of the right to counsel (Fontg, "Comment: DNA Fingerprinting: A Guide to Admissibility and Use,' 57 Mo. L. Rey. 501 [1992]).</w:t>
      </w:r>
    </w:p>
    <w:p w:rsidR="00000000" w:rsidDel="00000000" w:rsidP="00000000" w:rsidRDefault="00000000" w:rsidRPr="00000000" w14:paraId="00000A05">
      <w:pPr>
        <w:spacing w:after="80" w:before="80"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Summing Up</w:t>
      </w:r>
    </w:p>
    <w:p w:rsidR="00000000" w:rsidDel="00000000" w:rsidP="00000000" w:rsidRDefault="00000000" w:rsidRPr="00000000" w14:paraId="00000A0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DNA is a very powerful tool which can be used in the investigation and detection of crime. As such, it can be used as hard evidence either for the prosecution or for the defendant. And the methods which test and analyze DNA are becoming more sophisticated and sensitive with new developments. These methods involve science, statistics and issues in population genetics which are very complex and technical, and which may even be beyond the ken of judges. Even among scientists, there is considerable disagreement on how a DNA profile should be read and interpreted. And the potential for error in the laboratory is difficult to estimate, especially in a country like ours where our equipment and facilities for testing are obsolete; and experts in biology, genetics, statistics and biochemistry are hard to find even in the urban areas.</w:t>
      </w:r>
    </w:p>
    <w:p w:rsidR="00000000" w:rsidDel="00000000" w:rsidP="00000000" w:rsidRDefault="00000000" w:rsidRPr="00000000" w14:paraId="00000A0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give rise to problems of admissibility and weight of DNA evidence, not to mention basic constitutional issues. The unique method of obtaining DNA from the body of a criminal suspect is fraught with constitutional issues of privacy, self-incrimination, and due process. In the Philippines, DNA evidence will continue to be on trial, both as to admissibility as well as weight, until we develop atru scientific culture not only in our laboratories but also in courts.</w:t>
      </w:r>
    </w:p>
    <w:p w:rsidR="00000000" w:rsidDel="00000000" w:rsidP="00000000" w:rsidRDefault="00000000" w:rsidRPr="00000000" w14:paraId="00000A08">
      <w:pPr>
        <w:spacing w:after="80" w:before="80"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A0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Appendix D</w:t>
      </w:r>
    </w:p>
    <w:p w:rsidR="00000000" w:rsidDel="00000000" w:rsidP="00000000" w:rsidRDefault="00000000" w:rsidRPr="00000000" w14:paraId="00000A0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Being Moral in the Brave, New World:</w:t>
      </w:r>
    </w:p>
    <w:p w:rsidR="00000000" w:rsidDel="00000000" w:rsidP="00000000" w:rsidRDefault="00000000" w:rsidRPr="00000000" w14:paraId="00000A0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Human Cloning, Genetic Engineering, etc. Ethical C o n s i d e r a t i o n s</w:t>
      </w:r>
    </w:p>
    <w:p w:rsidR="00000000" w:rsidDel="00000000" w:rsidP="00000000" w:rsidRDefault="00000000" w:rsidRPr="00000000" w14:paraId="00000A0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Fr. Ranhilio Callangan Aquino Philippine Judicial Academy Supreme Court of the Philippines</w:t>
      </w:r>
    </w:p>
    <w:p w:rsidR="00000000" w:rsidDel="00000000" w:rsidP="00000000" w:rsidRDefault="00000000" w:rsidRPr="00000000" w14:paraId="00000A0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Problem with Embryos! A human embryo is a clump of cells. One can stop with that description, and some prefer to do so. More often than not, however, they will do so as a particular philosophical timate,        stance - as their own response to the ethical problems that manipulating a human embryo engenders.</w:t>
      </w:r>
    </w:p>
    <w:p w:rsidR="00000000" w:rsidDel="00000000" w:rsidP="00000000" w:rsidRDefault="00000000" w:rsidRPr="00000000" w14:paraId="00000A0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Constitution of the Republic does not make things any easier for us in regard to embryos. Article II, Section 12 announces the State's recognition of the "sanctity of family t              life" and its resolve to"protect the life of the mother and the</w:t>
      </w:r>
    </w:p>
    <w:p w:rsidR="00000000" w:rsidDel="00000000" w:rsidP="00000000" w:rsidRDefault="00000000" w:rsidRPr="00000000" w14:paraId="00000A0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life of the unborn from conception." The fundamental law</w:t>
      </w:r>
    </w:p>
    <w:p w:rsidR="00000000" w:rsidDel="00000000" w:rsidP="00000000" w:rsidRDefault="00000000" w:rsidRPr="00000000" w14:paraId="00000A1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Head, Academic Affairs Office and Chair, Department of Jurisprudence and Legal Philosophy; Professorial Lecturer, Faculty of Philosophy, University of Santo Tomas; Professor, College of Law, Cagayan Colleges, Tuguegarao. Paper read at the Philippine ly             Judicial Academy - Conference-Workshop on Bioscience and Biotechnology: Science and our            the Law, Tagaytay, August 27, 2003.</w:t>
      </w:r>
    </w:p>
    <w:p w:rsidR="00000000" w:rsidDel="00000000" w:rsidP="00000000" w:rsidRDefault="00000000" w:rsidRPr="00000000" w14:paraId="00000A1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of the land does not consign the zygote, the blastocyst or t embryo to legal oblivion. It directs its protection by the S describing it quite provocatively as "the life of the unborn The very heading of this session's "case study" already</w:t>
      </w:r>
    </w:p>
    <w:p w:rsidR="00000000" w:rsidDel="00000000" w:rsidP="00000000" w:rsidRDefault="00000000" w:rsidRPr="00000000" w14:paraId="00000A1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porne estay er eic agilening and ate Development,</w:t>
      </w:r>
    </w:p>
    <w:p w:rsidR="00000000" w:rsidDel="00000000" w:rsidP="00000000" w:rsidRDefault="00000000" w:rsidRPr="00000000" w14:paraId="00000A1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many, the items are new, but what raises eyebrows is a novel, even unlikely combination of otherwise familiar terms: "patenting of genes." Can genes be patented? Should they be patentea? Should they even be up for patenting? Huma genes have an almost mythical magnitude for us - their minuteness notwithstanding -          because we have some familiarity with them as the key to human traits, as somehow crucial to and determinative of our beginnings.</w:t>
      </w:r>
    </w:p>
    <w:p w:rsidR="00000000" w:rsidDel="00000000" w:rsidP="00000000" w:rsidRDefault="00000000" w:rsidRPr="00000000" w14:paraId="00000A1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is something reassuring, however, about our reticence and circumspection towards the embryo - and towards the minute and the microscopic - that the recent monumental accomplishment of genetic science, the genome project, links with much of who and what we are. Our humanity does assert itself when poised over zygote, gamete, chromosome, gene or DNA strand. With the awesome capability bio-technology today bestows, we pause and ask ourselves questions that have recurred throughout human history: Can we? May we? It is a comforting thought that our brave, new world continues to be a respectful world!</w:t>
      </w:r>
    </w:p>
    <w:p w:rsidR="00000000" w:rsidDel="00000000" w:rsidP="00000000" w:rsidRDefault="00000000" w:rsidRPr="00000000" w14:paraId="00000A1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Pedro, Maria and the Child They Could Not Have... Informed by their obstetrician that Maria was incapable of conceiving, the young couple was devastated. All the pent up frustration and anxiety took its toll on their marriage. This for me is more than just an introduction to the problem for study. This is where the problem starts! It is certainly right for the couple to want to have a child. In fact it is one or both refuse to have one that there arises a moral problem. But what does longing for a child entitle one to</w:t>
      </w:r>
    </w:p>
    <w:p w:rsidR="00000000" w:rsidDel="00000000" w:rsidP="00000000" w:rsidRDefault="00000000" w:rsidRPr="00000000" w14:paraId="00000A1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      do? tate, "!             While on summer study at the University of Cambrid two weeks ago, I was introduced to a book of John Har the Sir David Alliance Professor of Bioethics at the Univer of Manchester. He is associated with publications bioethics of the University of Oxford, but such is # confidence of Oxbridge in each other's excellence that thi can without misgivings refer to each other's professors al experts. Harris, it seems, is among the first authors to de n       with our concerns quite accommodatingly. He writes:</w:t>
      </w:r>
    </w:p>
    <w:p w:rsidR="00000000" w:rsidDel="00000000" w:rsidP="00000000" w:rsidRDefault="00000000" w:rsidRPr="00000000" w14:paraId="00000A1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"One reason for this (the 'unproblematic' nature of deciding to carry a pregnancy to term) is the great attraction of having children. Without commenting on the rationality or indeed on any other element in the cogency of such a desire, there can be no doubt that having children is almost universally acknowledged to be one of the most worthwhile experiences and important benefits of life. This is perhaps why people do not usually think that there might be any necessity to justify their decision to have children or to explain why they have chosen not to have an abortion.</w:t>
      </w:r>
    </w:p>
    <w:p w:rsidR="00000000" w:rsidDel="00000000" w:rsidP="00000000" w:rsidRDefault="00000000" w:rsidRPr="00000000" w14:paraId="00000A1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Quite obviously Harris believes that wanting to have child is not self-justifying, and that it can be wrong, und certain circumstances, to bring about human life. In fact °i devotes an entire chapter (Chapter 4, "The Wrong d Wrongful Life") to a discussion of the circumstances unde which it is morally reprehensible to bring about human lif I will not get into this discussion except to join him in the position that wanting to have achild - as well as refusing!® have one in circumstances such as conjugal life - stands' when 2 John Harris, Clones, Genes and Immortality: Ethics and the Genetie Revoluti Oxford: Oxford University Press, 1998, p. 69.</w:t>
      </w:r>
    </w:p>
    <w:p w:rsidR="00000000" w:rsidDel="00000000" w:rsidP="00000000" w:rsidRDefault="00000000" w:rsidRPr="00000000" w14:paraId="00000A1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need of moral justification. Another way of putting this is to refuse to find in the desire to have a child the entitlement to one! There is much to commend the position that Catholic ethics takes. "The desire for a child gives no right to have a child. The latter is a person, with the dignity of a</w:t>
      </w:r>
    </w:p>
    <w:p w:rsidR="00000000" w:rsidDel="00000000" w:rsidP="00000000" w:rsidRDefault="00000000" w:rsidRPr="00000000" w14:paraId="00000A1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'subject.' As such, ti cannot be desired as an 'object.'</w:t>
      </w:r>
    </w:p>
    <w:p w:rsidR="00000000" w:rsidDel="00000000" w:rsidP="00000000" w:rsidRDefault="00000000" w:rsidRPr="00000000" w14:paraId="00000A1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fact is that the child is a subject of rights: the child has the right to be conceived only with full respect for its personhood." 3</w:t>
      </w:r>
    </w:p>
    <w:p w:rsidR="00000000" w:rsidDel="00000000" w:rsidP="00000000" w:rsidRDefault="00000000" w:rsidRPr="00000000" w14:paraId="00000A1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t then follows that when the morality of such</w:t>
      </w:r>
    </w:p>
    <w:p w:rsidR="00000000" w:rsidDel="00000000" w:rsidP="00000000" w:rsidRDefault="00000000" w:rsidRPr="00000000" w14:paraId="00000A1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procedures as in vitro fertilization or even human cloning is challenged, nothing is resolved by the argument that such procedures respond to the desire of otherwise childless couples - or individuals - for children. We are told by our hypothetical that Pedro vehemently opposed Maria's plan to avail of cloning technology, and that Maria nevertheless proceeded to have her way. This, for me, is no mere literary embellishment of this piece of</w:t>
      </w:r>
    </w:p>
    <w:p w:rsidR="00000000" w:rsidDel="00000000" w:rsidP="00000000" w:rsidRDefault="00000000" w:rsidRPr="00000000" w14:paraId="00000A1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fiction. It usefully brings home the crucial point that decisions about the conception and birth of new human life are made in the context of conjugal relations between persons. There is in fact a danger that in discussing the technology of in vitro fertilization, cloning, intra-uterine gene therapy, and related issues, we abstract them from the human context in which they commonly — one can justly say "naturally" arise. I strongly submit that one relevant consideration is what has been referred to as "family morality": the special personal obligations an individual has towards his offspring</w:t>
      </w:r>
    </w:p>
    <w:p w:rsidR="00000000" w:rsidDel="00000000" w:rsidP="00000000" w:rsidRDefault="00000000" w:rsidRPr="00000000" w14:paraId="00000A1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Pontifical Council for Pastoral Assistance to Health Care Wor</w:t>
      </w:r>
    </w:p>
    <w:p w:rsidR="00000000" w:rsidDel="00000000" w:rsidP="00000000" w:rsidRDefault="00000000" w:rsidRPr="00000000" w14:paraId="00000A2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Health Care Workers, n. 25, The Vatican, 1994. • Francis Beckwith, "Personal Bodily Rights, Abortion, and Unpl Violinist," International Philosophical Quarterly, XXIII: 1, Issue No. pp. 105-118.</w:t>
      </w:r>
    </w:p>
    <w:p w:rsidR="00000000" w:rsidDel="00000000" w:rsidP="00000000" w:rsidRDefault="00000000" w:rsidRPr="00000000" w14:paraId="00000A2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which he does not have to other persons.* It was as a married woman that Maria desperately wanted to have a child - as desperately, it appears, as Pedro, her husband - but while he had misgivings about cloning and was indeed Vehemently opposed to this mode of intervention, Maria had no</w:t>
      </w:r>
    </w:p>
    <w:p w:rsidR="00000000" w:rsidDel="00000000" w:rsidP="00000000" w:rsidRDefault="00000000" w:rsidRPr="00000000" w14:paraId="00000A2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compunctions whatsoever. She quite clearly disregarded her</w:t>
      </w:r>
    </w:p>
    <w:p w:rsidR="00000000" w:rsidDel="00000000" w:rsidP="00000000" w:rsidRDefault="00000000" w:rsidRPr="00000000" w14:paraId="00000A2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obligation towards her husband and towards her family, and proceeded to act as she had planned. I think we can all agree on the common ethical premise that capacity is per se not a title to permissibility. Between "I can do it" and I" may do it" is that divide known as mor or ethic                                                ality s. To deny this premise, it seems quite clear to me, is to deny any vitality and relevance to the ethical. Agreeing on this is significant, for there are some who will not allow their excitement over the vast possibilities offered by biotechnology to be" tempered by ethical questions. This having been said, we at least         open ourselves to adiscussion of issues that would otherwise be foreclosed were we to make of capacity itself moral title! A s early as 1982, Gerald Rubin and Allan Spradling of the Carnegie Institution in Baltimore successfully introduced into the embryo of a fruit-fly a specific gene they wanted introduced. Using transposon - a segment of DNA that moves around within the chromosomes - they modified the chromosomal structure of the fruit-fly so that the modification would be passed on to subsequent generations. From fruit-fly to human embryo is quite along way, but Dolly - who regrettably had to be put down by her own "creators" - dramatically proved just how short for science a"long way" can be! When we shall have developed the technology for genetically re-engineering the human kers, Charter for embryo, will the emergence of such a technology by itself entitle us to use it? ugging the 125 (March, 1992),              Andrew Varga, The Mani Issues in Bioethics. New York: Paulist Press, 1984, pp. 131-134.</w:t>
      </w:r>
    </w:p>
    <w:p w:rsidR="00000000" w:rsidDel="00000000" w:rsidP="00000000" w:rsidRDefault="00000000" w:rsidRPr="00000000" w14:paraId="00000A2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Maria will presumably argue that she was merely asserting her right, and it might be reasonable to agree that she does have some rights) she can invoke to explain why she rode roughshod over her husband's objections. But this is exactly the point of Louvain philosopher Frans de Wachter:</w:t>
      </w:r>
    </w:p>
    <w:p w:rsidR="00000000" w:rsidDel="00000000" w:rsidP="00000000" w:rsidRDefault="00000000" w:rsidRPr="00000000" w14:paraId="00000A2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[OIne can demonstrate that the respect for human rights offers an inadequate starting point for bioethical problems. First, problem situations in this sector are mostly conflict cases where the language of rights can point indecisively in all</w:t>
      </w:r>
    </w:p>
    <w:p w:rsidR="00000000" w:rsidDel="00000000" w:rsidP="00000000" w:rsidRDefault="00000000" w:rsidRPr="00000000" w14:paraId="00000A2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directions (right to life as opposed to right of self- determination, and so on). Each party can invoke his 'own' human rights, as his partisans advocate. Second, other elements have to be included in the consideration: obviously, there is the common good, the community, but there are also entities that are brought into play by modern techniques and do not coincide with the 'persons' about whom human rights are concerned (the species or the genetic structure, the embryo, the person kept alive vegetatively, the coming generations). Human rights are a decision, an attitude, a relationship, a language, a way of seeing things. They are not a</w:t>
      </w:r>
    </w:p>
    <w:p w:rsidR="00000000" w:rsidDel="00000000" w:rsidP="00000000" w:rsidRDefault="00000000" w:rsidRPr="00000000" w14:paraId="00000A2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solution for miscellaneous problems."6 Even fi we are able to agree that Maria does have a right</w:t>
      </w:r>
    </w:p>
    <w:p w:rsidR="00000000" w:rsidDel="00000000" w:rsidP="00000000" w:rsidRDefault="00000000" w:rsidRPr="00000000" w14:paraId="00000A2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have a child, and that scientists have the right to proceed with experimentation and research wherever their findings may lead them, this settles nothing and we are left with the problem of whether it was right or not for Maria to do what she did in the entire context within which everything</w:t>
      </w:r>
    </w:p>
    <w:p w:rsidR="00000000" w:rsidDel="00000000" w:rsidP="00000000" w:rsidRDefault="00000000" w:rsidRPr="00000000" w14:paraId="00000A2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happened, for all human acts and the issues arising from t h e m are context-bound.</w:t>
      </w:r>
    </w:p>
    <w:p w:rsidR="00000000" w:rsidDel="00000000" w:rsidP="00000000" w:rsidRDefault="00000000" w:rsidRPr="00000000" w14:paraId="00000A2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F . de Wachter, "Ethics and Human Rights" in Tradition and R C entennial o f Louvai n' sI nstit uteo fP hil osopl y,V o lu m eI . 1992, pp. 95-112.</w:t>
      </w:r>
    </w:p>
    <w:p w:rsidR="00000000" w:rsidDel="00000000" w:rsidP="00000000" w:rsidRDefault="00000000" w:rsidRPr="00000000" w14:paraId="00000A2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APPENDICES                401</w:t>
      </w:r>
    </w:p>
    <w:p w:rsidR="00000000" w:rsidDel="00000000" w:rsidP="00000000" w:rsidRDefault="00000000" w:rsidRPr="00000000" w14:paraId="00000A2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Cloning and in vitro fertilization are problematic and we are right in pursuing the question of the permissibility of putting them in the employ of engendering new human life. And the problem remains even fi it is alleged that these technologies make possible children the childless would otherwise not have but desperately desire. It remains even if we can successfully argue the right to have children, and the right of scientists to science.</w:t>
      </w:r>
    </w:p>
    <w:p w:rsidR="00000000" w:rsidDel="00000000" w:rsidP="00000000" w:rsidRDefault="00000000" w:rsidRPr="00000000" w14:paraId="00000A2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Pedro and Maria as husband a n d wife figu re prominently in the debate - insofar as Catholic ethicists are concerned, for to them "nature itself dictates that the transmission of human life be a personal and conscious act." By "personal act" is meant "the intimate union of the love of the spouses who, in giving themselves completely to each other, give life" so that the union of spouses and procreation become "a single, indivisible act, a t once unitive and procreative, conjugal and parental." That this position is Catholic is neither an argument against ti nor indeed for it. It is however reasonable first of all to distinguish the production of a device or an object from the conception of a human being, from the emergence of new human life. The whole of the Revised Penal Code attests to the elem entary distinction we make between human and non-human, and tDressing he consequences    of action directed at human beings. chickens and frying them for Sunday lunches is to most, for whom cholesterol is not a sensitive issue, an activity full of gustatory promise; the prospect of doing the same to human beings can only fill us with revulsion! Second, it is as reasonable to be directed by the order of things, "nature." I do not think it is necessary to plead guilt  by y to what G.E. Moore called the "naturalistic fallacy" - the fallacy of reducing moral prescriptions to laws of nature -</w:t>
      </w:r>
    </w:p>
    <w:p w:rsidR="00000000" w:rsidDel="00000000" w:rsidP="00000000" w:rsidRDefault="00000000" w:rsidRPr="00000000" w14:paraId="00000A2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enewal: The Leu ven: Leuv en U in ver sit yP re ss,</w:t>
      </w:r>
    </w:p>
    <w:p w:rsidR="00000000" w:rsidDel="00000000" w:rsidP="00000000" w:rsidRDefault="00000000" w:rsidRPr="00000000" w14:paraId="00000A2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Charter for Health Care Workers, n. 21.</w:t>
      </w:r>
    </w:p>
    <w:p w:rsidR="00000000" w:rsidDel="00000000" w:rsidP="00000000" w:rsidRDefault="00000000" w:rsidRPr="00000000" w14:paraId="00000A3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order to be reasonable in this respect. Nature does give us some instructions. Our lungs flourish on clean air, and so</w:t>
      </w:r>
    </w:p>
    <w:p w:rsidR="00000000" w:rsidDel="00000000" w:rsidP="00000000" w:rsidRDefault="00000000" w:rsidRPr="00000000" w14:paraId="00000A3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does not seem ethically permissible to smother them in cigarette fumes. The human infant is among the most</w:t>
      </w:r>
    </w:p>
    <w:p w:rsidR="00000000" w:rsidDel="00000000" w:rsidP="00000000" w:rsidRDefault="00000000" w:rsidRPr="00000000" w14:paraId="00000A3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"helpless and vulnerable of animal young, therefore the</w:t>
      </w:r>
    </w:p>
    <w:p w:rsidR="00000000" w:rsidDel="00000000" w:rsidP="00000000" w:rsidRDefault="00000000" w:rsidRPr="00000000" w14:paraId="00000A3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human parents have the obligation of care and succor</w:t>
      </w:r>
    </w:p>
    <w:p w:rsidR="00000000" w:rsidDel="00000000" w:rsidP="00000000" w:rsidRDefault="00000000" w:rsidRPr="00000000" w14:paraId="00000A3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towards the child. Human life emerges from the union properly characterized as "personal" - between a man and a woman, therefore it ought not to be transferred to a production line! This is of course merely another way of</w:t>
      </w:r>
    </w:p>
    <w:p w:rsidR="00000000" w:rsidDel="00000000" w:rsidP="00000000" w:rsidRDefault="00000000" w:rsidRPr="00000000" w14:paraId="00000A3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insisting on the "dignity of the human person." It is then my position that it is morally objectionable -</w:t>
      </w:r>
    </w:p>
    <w:p w:rsidR="00000000" w:rsidDel="00000000" w:rsidP="00000000" w:rsidRDefault="00000000" w:rsidRPr="00000000" w14:paraId="00000A3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or in the very least, morally questionable - to make of the conception and birth of a human being the production of a</w:t>
      </w:r>
    </w:p>
    <w:p w:rsidR="00000000" w:rsidDel="00000000" w:rsidP="00000000" w:rsidRDefault="00000000" w:rsidRPr="00000000" w14:paraId="00000A3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thing, engineered and manipulated by third persons, and</w:t>
      </w:r>
    </w:p>
    <w:p w:rsidR="00000000" w:rsidDel="00000000" w:rsidP="00000000" w:rsidRDefault="00000000" w:rsidRPr="00000000" w14:paraId="00000A3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transferred out of the context of the conjugal act into the impersonal locale of petri dishes and test tubes! The gratuity of a child - the fact both physical and psychological that conception comes as a "gift" - is not an adventitious issue. It pertains to the heart of the distinctiveness of the human person. Then too there is the important point that something</w:t>
      </w:r>
    </w:p>
    <w:p w:rsidR="00000000" w:rsidDel="00000000" w:rsidP="00000000" w:rsidRDefault="00000000" w:rsidRPr="00000000" w14:paraId="00000A3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is morally owed the child in this respect. "A child has no rights before it is conceived, but once conceived it has a natural right to that</w:t>
      </w:r>
    </w:p>
    <w:p w:rsidR="00000000" w:rsidDel="00000000" w:rsidP="00000000" w:rsidRDefault="00000000" w:rsidRPr="00000000" w14:paraId="00000A3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intimate relation to its parents which arises from</w:t>
      </w:r>
    </w:p>
    <w:p w:rsidR="00000000" w:rsidDel="00000000" w:rsidP="00000000" w:rsidRDefault="00000000" w:rsidRPr="00000000" w14:paraId="00000A3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fact that they are its biological parents by intercourse within marriage, an intercourse that</w:t>
      </w:r>
    </w:p>
    <w:p w:rsidR="00000000" w:rsidDel="00000000" w:rsidP="00000000" w:rsidRDefault="00000000" w:rsidRPr="00000000" w14:paraId="00000A3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fully expresses their mutual love. The adopted child, although far better off than an orphan, still lacks the complete implementation of this natural right, as is apparent from the many cases of adopted children who, despite the great love shown them by their adoptive parents, are extremely anxious to locate their biological parents. The child begotten</w:t>
      </w:r>
    </w:p>
    <w:p w:rsidR="00000000" w:rsidDel="00000000" w:rsidP="00000000" w:rsidRDefault="00000000" w:rsidRPr="00000000" w14:paraId="00000A3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AID (artificial-inseminati of this relation with one of on-d  onor) is deprived its biological parents. Ev en the child begotte insemination-homologous)norbyni vit AIH (artificialro fertilization is deprived of the fullness of this relation, she is not the fruit of an act of lov since he or e but of a technologica       l procedure. This human right obliges parents not to bring children into the world except in a way that endows them with this intimate relation to their parents. Children commo nly fear that they        are really adopted and someday rejected by their 'parenthu  s may be ts'. When ti</w:t>
      </w:r>
    </w:p>
    <w:p w:rsidR="00000000" w:rsidDel="00000000" w:rsidP="00000000" w:rsidRDefault="00000000" w:rsidRPr="00000000" w14:paraId="00000A3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of these artificial modes, all children may wonder if they really have parents, or were begotten unknown fathers, or ma nu fac tur      by ed in a</w:t>
      </w:r>
    </w:p>
    <w:p w:rsidR="00000000" w:rsidDel="00000000" w:rsidP="00000000" w:rsidRDefault="00000000" w:rsidRPr="00000000" w14:paraId="00000A3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Unicellular Person? "After a cell nucleus was extracted from Maria's tissue and inserted into an egg cell that had alre    skin ady been denucleated, the resu divide." The rest oflting  zy gote or fertilized egg egan to the hypothetical suggests b</w:t>
      </w:r>
    </w:p>
    <w:p w:rsidR="00000000" w:rsidDel="00000000" w:rsidP="00000000" w:rsidRDefault="00000000" w:rsidRPr="00000000" w14:paraId="00000A4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every   thing went well, for later on, prod          that not previously unknown, fictitious proteinigious amounts of a - "Rejectin-1" manifested themselves in the hair follicles of Carmina, the</w:t>
      </w:r>
    </w:p>
    <w:p w:rsidR="00000000" w:rsidDel="00000000" w:rsidP="00000000" w:rsidRDefault="00000000" w:rsidRPr="00000000" w14:paraId="00000A4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Cloning and in vitro fertilization obviously open gamut of possibilities including the now well-knaown     wide intensely debated enterprise of stem-cell research. The pluri-, or totipotentiality of embryonic cells is now commonly known.       There is then the prospect that neural defects and</w:t>
      </w:r>
    </w:p>
    <w:p w:rsidR="00000000" w:rsidDel="00000000" w:rsidP="00000000" w:rsidRDefault="00000000" w:rsidRPr="00000000" w14:paraId="00000A4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Benedict Ashley and Kevin Health Association of the United States,O'R ourke, Ethics of Health Care, S.t Louis: Catholic 1986, Pp. 134-135.</w:t>
      </w:r>
    </w:p>
    <w:p w:rsidR="00000000" w:rsidDel="00000000" w:rsidP="00000000" w:rsidRDefault="00000000" w:rsidRPr="00000000" w14:paraId="00000A4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brain degeneration - including the dreaded Alzheimer's disease - may be arrested by the transplantation of embryonic cells. But of course these cells must be harvested</w:t>
      </w:r>
    </w:p>
    <w:p w:rsidR="00000000" w:rsidDel="00000000" w:rsidP="00000000" w:rsidRDefault="00000000" w:rsidRPr="00000000" w14:paraId="00000A4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and harvested, quite obviously, from an embryo that</w:t>
      </w:r>
    </w:p>
    <w:p w:rsidR="00000000" w:rsidDel="00000000" w:rsidP="00000000" w:rsidRDefault="00000000" w:rsidRPr="00000000" w14:paraId="00000A4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will presumably be destroyed in the process. Likewise possible is the deliberate culture of embryos to provide for cell or tissue parts. Bio-technicians would then deliberately fertilize eggs or culture clones, allow them to mitotically</w:t>
      </w:r>
    </w:p>
    <w:p w:rsidR="00000000" w:rsidDel="00000000" w:rsidP="00000000" w:rsidRDefault="00000000" w:rsidRPr="00000000" w14:paraId="00000A4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divide and to develop into a cell mass or towards more advanced embryonic stages and from them harvest the cells or tissues necessary for therapeutic purposes on others.</w:t>
      </w:r>
    </w:p>
    <w:p w:rsidR="00000000" w:rsidDel="00000000" w:rsidP="00000000" w:rsidRDefault="00000000" w:rsidRPr="00000000" w14:paraId="00000A4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Then too there is the possibility of deliberately inducing the twinning of an embryo and using one to test for genetic abnormalities that might be present in the other, with the resulting destruction of the embryo tested. These possibilities are cause for concern because of the status of the zygote and the embryo. While the question of constitutional law - "What protection is it that is guaranteed the unborn child from the moment of conception?" - does not necessarily translate into the ontological question - "Is the zygote a human person?" - they do arise within the same conceptual milieu. I find it necessary to dispose of a tangential matter: Do Articles 40 and 41 of the Civil Code resolve the question of personality vis-á-vis the unborn?10 The answer must quite clearly be in the negative, for all that the Code is concerned with is "personality" for purposes of</w:t>
      </w:r>
    </w:p>
    <w:p w:rsidR="00000000" w:rsidDel="00000000" w:rsidP="00000000" w:rsidRDefault="00000000" w:rsidRPr="00000000" w14:paraId="00000A4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 Many of these possibilities are presented in Chapter 1of H</w:t>
      </w:r>
    </w:p>
    <w:p w:rsidR="00000000" w:rsidDel="00000000" w:rsidP="00000000" w:rsidRDefault="00000000" w:rsidRPr="00000000" w14:paraId="00000A4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seq.; see also Varga, op. cit., pp. 109 et seq. 01 Art. 40: "Birth determines personality; but the conceived born for all purposes that are favorable to it, provided that it be conditions specified in the following article."</w:t>
      </w:r>
    </w:p>
    <w:p w:rsidR="00000000" w:rsidDel="00000000" w:rsidP="00000000" w:rsidRDefault="00000000" w:rsidRPr="00000000" w14:paraId="00000A4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Art. 41: "For civil purposes, the fetus is considered if it i completely delivered from the mother's womb. However, fi the fetus h life of less than seven months, it is not deemed born fi it dies wit</w:t>
      </w:r>
    </w:p>
    <w:p w:rsidR="00000000" w:rsidDel="00000000" w:rsidP="00000000" w:rsidRDefault="00000000" w:rsidRPr="00000000" w14:paraId="00000A4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its complete delivery from the maternal womb."</w:t>
      </w:r>
    </w:p>
    <w:p w:rsidR="00000000" w:rsidDel="00000000" w:rsidP="00000000" w:rsidRDefault="00000000" w:rsidRPr="00000000" w14:paraId="00000A4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APPENDICES                        405</w:t>
      </w:r>
    </w:p>
    <w:p w:rsidR="00000000" w:rsidDel="00000000" w:rsidP="00000000" w:rsidRDefault="00000000" w:rsidRPr="00000000" w14:paraId="00000A4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rights and obligations set forth in the Civil Code. There is no logical repugnance to the hypothesis of the enactment of a law that recognizes the embryo as the subject of personal rights, such as the right to be respected in its bodily (or</w:t>
      </w:r>
    </w:p>
    <w:p w:rsidR="00000000" w:rsidDel="00000000" w:rsidP="00000000" w:rsidRDefault="00000000" w:rsidRPr="00000000" w14:paraId="00000A4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cellular) integrity. Attention should also be paid the quite important fact that these particular provisions of the Civil Code do not fix a terminus a quo for human personality,</w:t>
      </w:r>
    </w:p>
    <w:p w:rsidR="00000000" w:rsidDel="00000000" w:rsidP="00000000" w:rsidRDefault="00000000" w:rsidRPr="00000000" w14:paraId="00000A4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although they make its recognition dependent on subsequent conditions. That the aforementioned provisions are archaic</w:t>
      </w:r>
    </w:p>
    <w:p w:rsidR="00000000" w:rsidDel="00000000" w:rsidP="00000000" w:rsidRDefault="00000000" w:rsidRPr="00000000" w14:paraId="00000A5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is also pretty obvious. Note that the Civil Code places a premium on birth, and in the case of neonates with an intrauterine life of less than seven months, on survival for at least one day after delivery. Every physician will agree that all this depends on the medical facilities and the medical competence available in each locality. We have then the curious, if not untenable, situation that personality for purposes of the Civil Code is dependent on the vagaries of economic advancement or privation in different localities of the Philippines. I propose to re-state the question. The question - "Is the zygote a person?" - is commonly taken to be the quest for that mysterious mark or character called "personhood" in the zygote. This can only complicate matters. I suggest rather that we ask ourselves the question: "Do we have compelling reasons to accord the zygote the recognition and the protection of persons?" Because it is not my intention in this paper to provide a transcript of the on-going debate between the pro-life and the pro-choice camps, I will merely arris, op. cit., pp. 24 et advance what I take to be compelling reasons for responding in the affirmative. child shall be considered       .1 "From the time the ovum is fertilized, a life is begun born later with the</w:t>
      </w:r>
    </w:p>
    <w:p w:rsidR="00000000" w:rsidDel="00000000" w:rsidP="00000000" w:rsidRDefault="00000000" w:rsidRPr="00000000" w14:paraId="00000A5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which is neither that of the father nor of the mother; it is s alive at the time it is    rather the life of anew human being with his own growth." It ad an intra-uterine hin twenty-four hours would never be made human if it were not human already."</w:t>
      </w:r>
    </w:p>
    <w:p w:rsidR="00000000" w:rsidDel="00000000" w:rsidP="00000000" w:rsidRDefault="00000000" w:rsidRPr="00000000" w14:paraId="00000A5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406                                    N THE JUDICIARY</w:t>
      </w:r>
    </w:p>
    <w:p w:rsidR="00000000" w:rsidDel="00000000" w:rsidP="00000000" w:rsidRDefault="00000000" w:rsidRPr="00000000" w14:paraId="00000A5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fact, the "mere probability that a human person is involved</w:t>
      </w:r>
    </w:p>
    <w:p w:rsidR="00000000" w:rsidDel="00000000" w:rsidP="00000000" w:rsidRDefault="00000000" w:rsidRPr="00000000" w14:paraId="00000A5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would suffice to justify an absolutely clear prohibition of any intervention aimed at killing a human embryo."" I borrowed this formulation from an ecclesiastical document and, quite understandably, the problem is couched in metaphysical terms. Unless we are willing to accord the</w:t>
      </w:r>
    </w:p>
    <w:p w:rsidR="00000000" w:rsidDel="00000000" w:rsidP="00000000" w:rsidRDefault="00000000" w:rsidRPr="00000000" w14:paraId="00000A5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zygote the protection of persons from the inception of its zygotic life, when are we willing to so protect it? Harris advocates what he calls "the gametic principle," arguing that the true beginning of human life should be reckoned with</w:t>
      </w:r>
    </w:p>
    <w:p w:rsidR="00000000" w:rsidDel="00000000" w:rsidP="00000000" w:rsidRDefault="00000000" w:rsidRPr="00000000" w14:paraId="00000A5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gametes. The trouble though with starting with gametes</w:t>
      </w:r>
    </w:p>
    <w:p w:rsidR="00000000" w:rsidDel="00000000" w:rsidP="00000000" w:rsidRDefault="00000000" w:rsidRPr="00000000" w14:paraId="00000A5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is the simple biological fact that no gamete, even under the most favorable of circumstances, ever develops into a full-</w:t>
      </w:r>
    </w:p>
    <w:p w:rsidR="00000000" w:rsidDel="00000000" w:rsidP="00000000" w:rsidRDefault="00000000" w:rsidRPr="00000000" w14:paraId="00000A5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grown viable fetus. There must therefore be a moral and a legal significance attaching to the zygote that does not attach to the gametes.</w:t>
      </w:r>
    </w:p>
    <w:p w:rsidR="00000000" w:rsidDel="00000000" w:rsidP="00000000" w:rsidRDefault="00000000" w:rsidRPr="00000000" w14:paraId="00000A5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fully realize that the usual objections against this position are the possibility of twinning - "There may in fact be more than one individual" - as well as the fact that</w:t>
      </w:r>
    </w:p>
    <w:p w:rsidR="00000000" w:rsidDel="00000000" w:rsidP="00000000" w:rsidRDefault="00000000" w:rsidRPr="00000000" w14:paraId="00000A5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chromosomal abnormalities predominantly lead to wastage from fertilization. The possibility of twinning is the possibility of having two (or more) rather than only one</w:t>
      </w:r>
    </w:p>
    <w:p w:rsidR="00000000" w:rsidDel="00000000" w:rsidP="00000000" w:rsidRDefault="00000000" w:rsidRPr="00000000" w14:paraId="00000A5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individual. It is therefore no argument against individuality that, from the time of Boethius, has been taken to be one of the requisites of personhood. The argument from wastage</w:t>
      </w:r>
    </w:p>
    <w:p w:rsidR="00000000" w:rsidDel="00000000" w:rsidP="00000000" w:rsidRDefault="00000000" w:rsidRPr="00000000" w14:paraId="00000A5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leads us to the following position: If because of chromosomal abnormalities, what results from fertilization is a conjunction of haploid cells into a diploid mass that cannot develop into a human fetus, then one has a mass of cells towards which</w:t>
      </w:r>
    </w:p>
    <w:p w:rsidR="00000000" w:rsidDel="00000000" w:rsidP="00000000" w:rsidRDefault="00000000" w:rsidRPr="00000000" w14:paraId="00000A5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we would withhold the protection we give persons. The</w:t>
      </w:r>
    </w:p>
    <w:p w:rsidR="00000000" w:rsidDel="00000000" w:rsidP="00000000" w:rsidRDefault="00000000" w:rsidRPr="00000000" w14:paraId="00000A5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11 John Paul II, The Gospel of Life (Evangelium Vitae). n. 60 1995, pp. 107-108.</w:t>
      </w:r>
    </w:p>
    <w:p w:rsidR="00000000" w:rsidDel="00000000" w:rsidP="00000000" w:rsidRDefault="00000000" w:rsidRPr="00000000" w14:paraId="00000A5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21 Harris, p. 77.</w:t>
      </w:r>
    </w:p>
    <w:p w:rsidR="00000000" w:rsidDel="00000000" w:rsidP="00000000" w:rsidRDefault="00000000" w:rsidRPr="00000000" w14:paraId="00000A6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trouble, ofcourse, is that most of the time w e wil not know this, except after the fact, and therefore it is the more respectful position to presume that all embryos naturally fertilized are entitled to the protection granted persons. 2. To withhold the protection accorded persons from the zygote is to become arbitrary about the recognition human worth and dignity. Does one reckon with the claim  of to the protection of a person from the time the "primitive streak" appears and cells become specialized, or when nidation or implantation along  the uterin when the cortex has been formed, or wheenwall occurs, or actual cortical</w:t>
      </w:r>
    </w:p>
    <w:p w:rsidR="00000000" w:rsidDel="00000000" w:rsidP="00000000" w:rsidRDefault="00000000" w:rsidRPr="00000000" w14:paraId="00000A6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activity commences? The variety of choices already indicates the arbitrariness of postponing recognition of the claim to</w:t>
      </w:r>
    </w:p>
    <w:p w:rsidR="00000000" w:rsidDel="00000000" w:rsidP="00000000" w:rsidRDefault="00000000" w:rsidRPr="00000000" w14:paraId="00000A6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protection of a person to a time later than fertilization.</w:t>
      </w:r>
    </w:p>
    <w:p w:rsidR="00000000" w:rsidDel="00000000" w:rsidP="00000000" w:rsidRDefault="00000000" w:rsidRPr="00000000" w14:paraId="00000A6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I would" prefer to avoid the misleading talk of "potentiality" —especially because Aristotle's notions of act and potency are no longer that clear to us -it is necessary to plead for accuracy   in the way we use our terms. From all that can be obse rved emp irica lly, it is correct to say that the zygote has the potential for maturation as a human adult, and for the activities usually attributed to human pers There is no justification, empirically, however, for ons  . the proposition that the zygote is a "potential human person" - with the implication that it is not yet actually one! that it is a "potential human person" and make of that  To say an argument for denying it the protection due a person is to beg the question, and quite miserably at that!</w:t>
      </w:r>
    </w:p>
    <w:p w:rsidR="00000000" w:rsidDel="00000000" w:rsidP="00000000" w:rsidRDefault="00000000" w:rsidRPr="00000000" w14:paraId="00000A6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personal nature of the zygote, is such from conception. 'How can anyone think that even a single moment of this marvelous process of the unfolding of life could be separated from the wise New York: Random House,</w:t>
      </w:r>
    </w:p>
    <w:p w:rsidR="00000000" w:rsidDel="00000000" w:rsidP="00000000" w:rsidRDefault="00000000" w:rsidRPr="00000000" w14:paraId="00000A6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and loving work of the Creator, and left prey to human caprice?' As a result, it is erroneous and</w:t>
      </w:r>
    </w:p>
    <w:p w:rsidR="00000000" w:rsidDel="00000000" w:rsidP="00000000" w:rsidRDefault="00000000" w:rsidRPr="00000000" w14:paraId="00000A6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408               THE BIO-AGE DAWNS ON THE JUdICIArY</w:t>
      </w:r>
    </w:p>
    <w:p w:rsidR="00000000" w:rsidDel="00000000" w:rsidP="00000000" w:rsidRDefault="00000000" w:rsidRPr="00000000" w14:paraId="00000A6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mistaken to speak of a pre-embryo, fi by this is meant a stage or condition of prehuman life of the conceived human being. "31</w:t>
      </w:r>
    </w:p>
    <w:p w:rsidR="00000000" w:rsidDel="00000000" w:rsidP="00000000" w:rsidRDefault="00000000" w:rsidRPr="00000000" w14:paraId="00000A6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that one has the potential for maturation is no reason for denying one the respect and protection to which one is entitled. Are not R.A. 7610 and related laws meant to deal with the short-sighted who do not treat children with the respect and care with which adults are treated?</w:t>
      </w:r>
    </w:p>
    <w:p w:rsidR="00000000" w:rsidDel="00000000" w:rsidP="00000000" w:rsidRDefault="00000000" w:rsidRPr="00000000" w14:paraId="00000A6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What sense can there possibly be in referring to an embryo as a person when it is so unlike the persons that we are in several respects? Legally, it refers to the protection that is due the unborn "from the moment of its conception." This includes but is not exhausted by existing penal provisions on abortion. But there will be plausibility of the legal sense only if there is some tenable intelligibility in referring to the embryo as a person ontologically. I submit</w:t>
      </w:r>
    </w:p>
    <w:p w:rsidR="00000000" w:rsidDel="00000000" w:rsidP="00000000" w:rsidRDefault="00000000" w:rsidRPr="00000000" w14:paraId="00000A6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Strawson and Ricoeur - contemporary philosophers</w:t>
      </w:r>
    </w:p>
    <w:p w:rsidR="00000000" w:rsidDel="00000000" w:rsidP="00000000" w:rsidRDefault="00000000" w:rsidRPr="00000000" w14:paraId="00000A6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of unlike persuasion - provide useful conceptual frameworks.</w:t>
      </w:r>
    </w:p>
    <w:p w:rsidR="00000000" w:rsidDel="00000000" w:rsidP="00000000" w:rsidRDefault="00000000" w:rsidRPr="00000000" w14:paraId="00000A6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Strawson links the concept of personhood to the ascription of what he calls "P-predicates"; e.g., is smiling, is going for a walk, is in pain, is listening to this lecture, etc. although it is central to his system of descriptive metaphysics that for every person, "person" is a primitive concept - a thought irreducible to other thoughts.* Quite interestingly,</w:t>
      </w:r>
    </w:p>
    <w:p w:rsidR="00000000" w:rsidDel="00000000" w:rsidP="00000000" w:rsidRDefault="00000000" w:rsidRPr="00000000" w14:paraId="00000A6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Strawson steers clear of the Cartesian trap by pointing out that we can ascribe P-predicates to ourselves ("I am reading this paper ) only because we have learned how to ascribe - a n d to learn h o w to ascribe is to learn h o w to u s e the P-</w:t>
      </w:r>
    </w:p>
    <w:p w:rsidR="00000000" w:rsidDel="00000000" w:rsidP="00000000" w:rsidRDefault="00000000" w:rsidRPr="00000000" w14:paraId="00000A6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predicates both of oneself and of others (I know when to use</w:t>
      </w:r>
    </w:p>
    <w:p w:rsidR="00000000" w:rsidDel="00000000" w:rsidP="00000000" w:rsidRDefault="00000000" w:rsidRPr="00000000" w14:paraId="00000A6F">
      <w:pPr>
        <w:spacing w:after="80" w:before="80" w:lineRule="auto"/>
        <w:ind w:firstLine="360"/>
        <w:jc w:val="both"/>
        <w:rPr>
          <w:rFonts w:ascii="Georgia" w:cs="Georgia" w:eastAsia="Georgia" w:hAnsi="Georgia"/>
        </w:rPr>
      </w:pPr>
      <w:sdt>
        <w:sdtPr>
          <w:id w:val="-108687332"/>
          <w:tag w:val="goog_rdk_4"/>
        </w:sdtPr>
        <w:sdtContent>
          <w:r w:rsidDel="00000000" w:rsidR="00000000" w:rsidRPr="00000000">
            <w:rPr>
              <w:rFonts w:ascii="Cardo" w:cs="Cardo" w:eastAsia="Cardo" w:hAnsi="Cardo"/>
              <w:rtl w:val="0"/>
            </w:rPr>
            <w:t xml:space="preserve">31 Charter for Health Care Workers, n. 35. ™ P.F. Strawson, Individuals: An Essay in Descriptive Metaphys and Co., Ltd., 1964; pp. 87-116.</w:t>
          </w:r>
        </w:sdtContent>
      </w:sdt>
    </w:p>
    <w:p w:rsidR="00000000" w:rsidDel="00000000" w:rsidP="00000000" w:rsidRDefault="00000000" w:rsidRPr="00000000" w14:paraId="00000A7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APPENDICES                          409</w:t>
      </w:r>
    </w:p>
    <w:p w:rsidR="00000000" w:rsidDel="00000000" w:rsidP="00000000" w:rsidRDefault="00000000" w:rsidRPr="00000000" w14:paraId="00000A7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"is reading" —whether it be "He is reading" or I" am reading ) and in so ascribing them to others, we see others as ascribing them to themselves. If then we say that a person is one who can ascribe P-predicates to himself, it can only be</w:t>
      </w:r>
    </w:p>
    <w:p w:rsidR="00000000" w:rsidDel="00000000" w:rsidP="00000000" w:rsidRDefault="00000000" w:rsidRPr="00000000" w14:paraId="00000A7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because such aperson can equally ascribe P-predicates to others. But P-predicates do not occur in a discursive or existential vacuum. "He is smiling" links up with several other P- predicates and my own acknowledgement and recognition of Peter. Strawson therefore says:</w:t>
      </w:r>
    </w:p>
    <w:p w:rsidR="00000000" w:rsidDel="00000000" w:rsidP="00000000" w:rsidRDefault="00000000" w:rsidRPr="00000000" w14:paraId="00000A7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one is playing a game of cards, the distinctive markings of a certain card constitute a logically adequate criterion for calling it, say, the Queen of Hearts; but, in calling it this, in the context</w:t>
      </w:r>
    </w:p>
    <w:p w:rsidR="00000000" w:rsidDel="00000000" w:rsidP="00000000" w:rsidRDefault="00000000" w:rsidRPr="00000000" w14:paraId="00000A7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of the game, one is ascribingot ti properties over and above the possession of these markings. The</w:t>
      </w:r>
    </w:p>
    <w:p w:rsidR="00000000" w:rsidDel="00000000" w:rsidP="00000000" w:rsidRDefault="00000000" w:rsidRPr="00000000" w14:paraId="00000A7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predicate gets its meaning from the whole structure of the game. So with the language in which we</w:t>
      </w:r>
    </w:p>
    <w:p w:rsidR="00000000" w:rsidDel="00000000" w:rsidP="00000000" w:rsidRDefault="00000000" w:rsidRPr="00000000" w14:paraId="00000A7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ascribe P-predicates. To say that the criteria, on the strength of which we ascribe P-predicates to others, are of a logically adequate kind for this ascription is not to say that all there is to the ascriptive meaning of these predicates is these criteria. To say</w:t>
      </w:r>
    </w:p>
    <w:p w:rsidR="00000000" w:rsidDel="00000000" w:rsidP="00000000" w:rsidRDefault="00000000" w:rsidRPr="00000000" w14:paraId="00000A7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is to forget that they are P-predicates, to forget the rest of the language-structure to which they</w:t>
      </w:r>
    </w:p>
    <w:p w:rsidR="00000000" w:rsidDel="00000000" w:rsidP="00000000" w:rsidRDefault="00000000" w:rsidRPr="00000000" w14:paraId="00000A7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belong." 51 It is my thesis that part of the context of P-predicates is</w:t>
      </w:r>
    </w:p>
    <w:p w:rsidR="00000000" w:rsidDel="00000000" w:rsidP="00000000" w:rsidRDefault="00000000" w:rsidRPr="00000000" w14:paraId="00000A7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development of the human person and the way we ascribe P-predicates to others as self-ascribers according to their degree of maturity. I am then saying that our familiarity with others and our competence with P-predicates allow us ics. London: Methuen</w:t>
      </w:r>
    </w:p>
    <w:p w:rsidR="00000000" w:rsidDel="00000000" w:rsidP="00000000" w:rsidRDefault="00000000" w:rsidRPr="00000000" w14:paraId="00000A7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Ibid., p. 100.</w:t>
      </w:r>
    </w:p>
    <w:p w:rsidR="00000000" w:rsidDel="00000000" w:rsidP="00000000" w:rsidRDefault="00000000" w:rsidRPr="00000000" w14:paraId="00000A7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ascribe P-predicates to others as self-ascribers in varying degrees. We say of one-year old Peter: "He is upset that his mom didn't buy him ice-cream" and we realize that "he is</w:t>
      </w:r>
    </w:p>
    <w:p w:rsidR="00000000" w:rsidDel="00000000" w:rsidP="00000000" w:rsidRDefault="00000000" w:rsidRPr="00000000" w14:paraId="00000A7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upset" said of a one-year old is not the same as using the self-same P-predicate of Peter, the provincial governor. That</w:t>
      </w:r>
    </w:p>
    <w:p w:rsidR="00000000" w:rsidDel="00000000" w:rsidP="00000000" w:rsidRDefault="00000000" w:rsidRPr="00000000" w14:paraId="00000A7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we ascribe P-predicates to infants is quite clear: "He wants</w:t>
      </w:r>
    </w:p>
    <w:p w:rsidR="00000000" w:rsidDel="00000000" w:rsidP="00000000" w:rsidRDefault="00000000" w:rsidRPr="00000000" w14:paraId="00000A7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scribingthesetoanintantWetakehimtobealsoaself</w:t>
      </w:r>
    </w:p>
    <w:p w:rsidR="00000000" w:rsidDel="00000000" w:rsidP="00000000" w:rsidRDefault="00000000" w:rsidRPr="00000000" w14:paraId="00000A7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ascriber, though of different degree from the self-ascriber that an adult is. Lately, thanks to what ultrasound and prenatal diagnostic procedures allow us to see and to understand, we ascribe P-predicates to fetuses: "It is enjoying</w:t>
      </w:r>
    </w:p>
    <w:p w:rsidR="00000000" w:rsidDel="00000000" w:rsidP="00000000" w:rsidRDefault="00000000" w:rsidRPr="00000000" w14:paraId="00000A8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its mother's voice... It is grimacing in pain... It is serenely floating around" as incipient self-ascribers. Our ascription</w:t>
      </w:r>
    </w:p>
    <w:p w:rsidR="00000000" w:rsidDel="00000000" w:rsidP="00000000" w:rsidRDefault="00000000" w:rsidRPr="00000000" w14:paraId="00000A8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therefore includes as its context the life-history of the individual, from the adult we encounter retroactively to the</w:t>
      </w:r>
    </w:p>
    <w:p w:rsidR="00000000" w:rsidDel="00000000" w:rsidP="00000000" w:rsidRDefault="00000000" w:rsidRPr="00000000" w14:paraId="00000A82">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fetus in the womb, a context that does not seem to include germ cells whether in the testes or in the ovary.</w:t>
      </w:r>
    </w:p>
    <w:p w:rsidR="00000000" w:rsidDel="00000000" w:rsidP="00000000" w:rsidRDefault="00000000" w:rsidRPr="00000000" w14:paraId="00000A83">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Ricoeur for his part recognizes the significance of ascription (or assignation) to which he adds a most useful contribution: "narrative identity." Ricoeur contrasts the</w:t>
      </w:r>
    </w:p>
    <w:p w:rsidR="00000000" w:rsidDel="00000000" w:rsidP="00000000" w:rsidRDefault="00000000" w:rsidRPr="00000000" w14:paraId="00000A84">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identity of a person with the immutability of a structure,</w:t>
      </w:r>
    </w:p>
    <w:p w:rsidR="00000000" w:rsidDel="00000000" w:rsidP="00000000" w:rsidRDefault="00000000" w:rsidRPr="00000000" w14:paraId="00000A85">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such as the fixity of a genetic code. A person has a narrative identity, with the result that this identity is mutable. "This mutability is that of the characters in stories we tell who are emplotted along with the story itself."16 One's identity then</w:t>
      </w:r>
    </w:p>
    <w:p w:rsidR="00000000" w:rsidDel="00000000" w:rsidP="00000000" w:rsidRDefault="00000000" w:rsidRPr="00000000" w14:paraId="00000A86">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is the identity of one who is defined by the stories he tells of himself as well as by the stories others tell of him. This of</w:t>
      </w:r>
    </w:p>
    <w:p w:rsidR="00000000" w:rsidDel="00000000" w:rsidP="00000000" w:rsidRDefault="00000000" w:rsidRPr="00000000" w14:paraId="00000A87">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course is part of the thematic of Ricoeur's three-volume</w:t>
      </w:r>
    </w:p>
    <w:p w:rsidR="00000000" w:rsidDel="00000000" w:rsidP="00000000" w:rsidRDefault="00000000" w:rsidRPr="00000000" w14:paraId="00000A88">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magnum opus, "Time and Narrative." On the triadic structure of narrative identity, Ricoeur writes:</w:t>
      </w:r>
    </w:p>
    <w:p w:rsidR="00000000" w:rsidDel="00000000" w:rsidP="00000000" w:rsidRDefault="00000000" w:rsidRPr="00000000" w14:paraId="00000A89">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61 Paul Ricoeur, The Just. D. Pellauer, Trans. Chicago: The U Press, 2000, p. 3.</w:t>
      </w:r>
    </w:p>
    <w:p w:rsidR="00000000" w:rsidDel="00000000" w:rsidP="00000000" w:rsidRDefault="00000000" w:rsidRPr="00000000" w14:paraId="00000A8A">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"Some may doubt whether narrative identity presen the same threefold structure as do discourse and           ts they are wrong. Life stories are so intertwinedactwit ion. But h one another that the narrative anyone tells or hears</w:t>
      </w:r>
    </w:p>
    <w:p w:rsidR="00000000" w:rsidDel="00000000" w:rsidP="00000000" w:rsidRDefault="00000000" w:rsidRPr="00000000" w14:paraId="00000A8B">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of his life becomes a segment of those other stories that own narratives of others' lives. W                        are the e may thu consider nations, peoples, classes, communities of every ssort as institutions that recognize themselves as well as others through narrative identity."17 It is common human experience that among the most delightful of stories are those told of our childhood that I think most will have no trouble draw    ing each of us was conceived, a continuity we dobacknotto the time</w:t>
      </w:r>
    </w:p>
    <w:p w:rsidR="00000000" w:rsidDel="00000000" w:rsidP="00000000" w:rsidRDefault="00000000" w:rsidRPr="00000000" w14:paraId="00000A8C">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going back to our mothers' ovulation periods      recognize or the</w:t>
      </w:r>
    </w:p>
    <w:p w:rsidR="00000000" w:rsidDel="00000000" w:rsidP="00000000" w:rsidRDefault="00000000" w:rsidRPr="00000000" w14:paraId="00000A8D">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puberty of our fathers! Our narrative identity does include then intra-uterine life beginning with conception. It becomes</w:t>
      </w:r>
    </w:p>
    <w:p w:rsidR="00000000" w:rsidDel="00000000" w:rsidP="00000000" w:rsidRDefault="00000000" w:rsidRPr="00000000" w14:paraId="00000A8E">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apparent that the trouble with those who deny the embryo or the fetus personality arises from amonoli   thic concept of identity - the identity of afixed structure that does  not take cognizance of the mutability of narrative identity.</w:t>
      </w:r>
    </w:p>
    <w:p w:rsidR="00000000" w:rsidDel="00000000" w:rsidP="00000000" w:rsidRDefault="00000000" w:rsidRPr="00000000" w14:paraId="00000A8F">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Bypassing the entire ontological been referred to as "the moral obligation debate is what has to nurture." "The human family    has obligations, since the newborn is totally dependent on the voluntary acts of responsible moral agents committed to their care. Without such inte ractions, neither fetuses nor the          newborn would survive. nI other words,</w:t>
      </w:r>
    </w:p>
    <w:p w:rsidR="00000000" w:rsidDel="00000000" w:rsidP="00000000" w:rsidRDefault="00000000" w:rsidRPr="00000000" w14:paraId="00000A90">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neurological and behavioral factors alone are not sufficient to tell us how we should act towards fetuses and infants (and also seriously impai adults)."18 Human beings</w:t>
      </w:r>
    </w:p>
    <w:p w:rsidR="00000000" w:rsidDel="00000000" w:rsidP="00000000" w:rsidRDefault="00000000" w:rsidRPr="00000000" w14:paraId="00000A91">
      <w:pPr>
        <w:spacing w:after="80" w:before="80"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maintain their populationsred in existence only for as long as</w:t>
      </w:r>
    </w:p>
    <w:p w:rsidR="00000000" w:rsidDel="00000000" w:rsidP="00000000" w:rsidRDefault="00000000" w:rsidRPr="00000000" w14:paraId="00000A92">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71 Ibid., p. .7 niversity of Chicago " Alastair Campbell, Max Charlesworth, Grant Gillett and Gareth Ethics. 2nd Ed. Oxford: Oxford University Press, 1997, pp. 83-84. Jones, Medical</w:t>
      </w:r>
    </w:p>
    <w:p w:rsidR="00000000" w:rsidDel="00000000" w:rsidP="00000000" w:rsidRDefault="00000000" w:rsidRPr="00000000" w14:paraId="00000A93">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infants and fetuses are nurtured. Inability to perform whether as one will later on perform as an adult, or as one used to perform when one was strong - does not determine whether or not the obligation to nurture still holds. The obligation, which is brought home to us by the impossibility of human survival when it is disregarded, answers to the fact that periods in that continuum that we call human life</w:t>
      </w:r>
    </w:p>
    <w:p w:rsidR="00000000" w:rsidDel="00000000" w:rsidP="00000000" w:rsidRDefault="00000000" w:rsidRPr="00000000" w14:paraId="00000A94">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know phases of utter dependence on the care and nurture of others. There then are compelling reasons ontologically to refe to the fetus as a person and, legally, to extend to the fetu</w:t>
      </w:r>
    </w:p>
    <w:p w:rsidR="00000000" w:rsidDel="00000000" w:rsidP="00000000" w:rsidRDefault="00000000" w:rsidRPr="00000000" w14:paraId="00000A95">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the protection and guarantees we extend to each other. It would be extremely difficult, for one, to reconcile a legisl enactment allowing non-therapeutic experimentation on embryos, or allowing the use of embryos as cell and tissuebanks. There is more than just "sectarian conservatism" then in the admonition of Catholic moral authority:</w:t>
      </w:r>
    </w:p>
    <w:p w:rsidR="00000000" w:rsidDel="00000000" w:rsidP="00000000" w:rsidRDefault="00000000" w:rsidRPr="00000000" w14:paraId="00000A96">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"This evaluation of the morality of abortion is applied also to recent forms of intervention on human embryos which, although carried out for</w:t>
      </w:r>
    </w:p>
    <w:p w:rsidR="00000000" w:rsidDel="00000000" w:rsidP="00000000" w:rsidRDefault="00000000" w:rsidRPr="00000000" w14:paraId="00000A97">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purposes legitimate in themselves, inevitably involve the killing of those embryos. This is the case with experim entation on embryos which is becoming increasingly widespread in the files of biomedical research and is legally permitted in some countries. Although one must uphold as licit procedures carried out on the human embryo</w:t>
      </w:r>
    </w:p>
    <w:p w:rsidR="00000000" w:rsidDel="00000000" w:rsidP="00000000" w:rsidRDefault="00000000" w:rsidRPr="00000000" w14:paraId="00000A98">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which respect the life and integrity of the embryo and do not involve disproportionate risks for it, but rather are directed to its healing, the improvement of its condition of health, or its individual survival it must nonetheless be stated that the use of human</w:t>
      </w:r>
    </w:p>
    <w:p w:rsidR="00000000" w:rsidDel="00000000" w:rsidP="00000000" w:rsidRDefault="00000000" w:rsidRPr="00000000" w14:paraId="00000A99">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APPENDICES                        413</w:t>
      </w:r>
    </w:p>
    <w:p w:rsidR="00000000" w:rsidDel="00000000" w:rsidP="00000000" w:rsidRDefault="00000000" w:rsidRPr="00000000" w14:paraId="00000A9A">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constitutes a crime against dignity as human beings who have a right to the same respect owed to a child once born, just as to every person." Of Genes and Patents</w:t>
      </w:r>
    </w:p>
    <w:p w:rsidR="00000000" w:rsidDel="00000000" w:rsidP="00000000" w:rsidRDefault="00000000" w:rsidRPr="00000000" w14:paraId="00000A9B">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Disappointed as Pedro might have been over his wife's obstinacy and daring, he did cash in on subsequent developments.</w:t>
      </w:r>
    </w:p>
    <w:p w:rsidR="00000000" w:rsidDel="00000000" w:rsidP="00000000" w:rsidRDefault="00000000" w:rsidRPr="00000000" w14:paraId="00000A9C">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I cannot find my way into reconciling the patenting of r       Rejectin-1 in our hypothetical with present Philippine laws s       on patenting, particularly R.A. 8293. Our laws adhere to the general precept of patent law that what occurs in nature and is produced by it cannot be statutory subject of patent. ative That the gene therapy subsequently devised as well as the vaccines produced to deal with syndromes such as</w:t>
      </w:r>
    </w:p>
    <w:p w:rsidR="00000000" w:rsidDel="00000000" w:rsidP="00000000" w:rsidRDefault="00000000" w:rsidRPr="00000000" w14:paraId="00000A9D">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although there is an exclusionary clause covering surgical and therapeutic techniques under present patent laws. In the case under study, Carmina's misfortune spawned corporations and business concerns, each vying for patents a n d lice nse s.</w:t>
      </w:r>
    </w:p>
    <w:p w:rsidR="00000000" w:rsidDel="00000000" w:rsidP="00000000" w:rsidRDefault="00000000" w:rsidRPr="00000000" w14:paraId="00000A9E">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The moment an open season is declared - expressly or by acquiescence - on the human genetic code, there is no limit to the extent of inventiveness that entrepreneurship</w:t>
      </w:r>
    </w:p>
    <w:p w:rsidR="00000000" w:rsidDel="00000000" w:rsidP="00000000" w:rsidRDefault="00000000" w:rsidRPr="00000000" w14:paraId="00000A9F">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may generate, and while some developments, particularly those that address congenital, degenerative afflictions are definitely welcome, the ethical challenge is precisely that</w:t>
      </w:r>
    </w:p>
    <w:p w:rsidR="00000000" w:rsidDel="00000000" w:rsidP="00000000" w:rsidRDefault="00000000" w:rsidRPr="00000000" w14:paraId="00000AA0">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there is no a priori guarantee that all ventures, economically propelled, will be therapeutic. In theory, it might be easy distinguishing between therapy and eugenics, but the economics of scale do not always recognize such fine lines. ,             We therefore walk a legal and an ethical tightrope. A patent is fundamentally a monopoly, from the point of view of the patentee, and odious as monopolies might be to an</w:t>
      </w:r>
    </w:p>
    <w:p w:rsidR="00000000" w:rsidDel="00000000" w:rsidP="00000000" w:rsidRDefault="00000000" w:rsidRPr="00000000" w14:paraId="00000AA1">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rty of the economy that professes allegiance to the libe viding pro entrepreneur, they are the only viable means of y can be incentives to the creative. Unfortunately, creativitabundant for good or for ill, and human history provides examples of either.</w:t>
      </w:r>
    </w:p>
    <w:p w:rsidR="00000000" w:rsidDel="00000000" w:rsidP="00000000" w:rsidRDefault="00000000" w:rsidRPr="00000000" w14:paraId="00000AA2">
      <w:pPr>
        <w:spacing w:after="80" w:before="80" w:lineRule="auto"/>
        <w:ind w:firstLine="360"/>
        <w:rPr>
          <w:rFonts w:ascii="Georgia" w:cs="Georgia" w:eastAsia="Georgia" w:hAnsi="Georgia"/>
        </w:rPr>
      </w:pPr>
      <w:r w:rsidDel="00000000" w:rsidR="00000000" w:rsidRPr="00000000">
        <w:rPr>
          <w:rFonts w:ascii="Georgia" w:cs="Georgia" w:eastAsia="Georgia" w:hAnsi="Georgia"/>
          <w:rtl w:val="0"/>
        </w:rPr>
        <w:t xml:space="preserve">I will confine myself therefore in this concluding part , becau of my discussion to calling attention to the problems      e ws for answ sensitivity to the dimensions of a problem allo more nuanced. that may be less doctrinaire and rather</w:t>
      </w:r>
    </w:p>
    <w:p w:rsidR="00000000" w:rsidDel="00000000" w:rsidP="00000000" w:rsidRDefault="00000000" w:rsidRPr="00000000" w14:paraId="00000AA3">
      <w:pPr>
        <w:spacing w:after="80" w:before="80" w:lineRule="auto"/>
        <w:ind w:firstLine="360"/>
        <w:rPr>
          <w:rFonts w:ascii="Georgia" w:cs="Georgia" w:eastAsia="Georgia" w:hAnsi="Georgia"/>
        </w:rPr>
      </w:pPr>
      <w:r w:rsidDel="00000000" w:rsidR="00000000" w:rsidRPr="00000000">
        <w:rPr>
          <w:rtl w:val="0"/>
        </w:rPr>
      </w:r>
    </w:p>
    <w:sectPr>
      <w:head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c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zpoVe+hPcIHORNyG94qru+RYbw==">CgMxLjAaHwoBMBIaChgICVIUChJ0YWJsZS5qb3Y4OHZqNmloZGEaHwoBMRIaChgICVIUChJ0YWJsZS4zbTBqdjg2d21kZDYaHwoBMhIaChgICVIUChJ0YWJsZS5wdnBxczZrejQ1YWEaHgoBMxIZChcICVITChF0YWJsZS56cmMzbnYwdngwaBobCgE0EhYKFAgHQhAKB0dlb3JnaWESBUNhcmRvMg5oLm53a2k0NHQ4cDYyeTgAciExQkttRWFMM0xMR2ZXR1JOQUdyTDI5VTU1RXhsR3V2L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