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180658</wp:posOffset>
            </wp:positionH>
            <wp:positionV relativeFrom="paragraph">
              <wp:posOffset>217723</wp:posOffset>
            </wp:positionV>
            <wp:extent cx="3990658" cy="6168657"/>
            <wp:effectExtent b="0" l="0" r="0" t="0"/>
            <wp:wrapNone/>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90658" cy="6168657"/>
                    </a:xfrm>
                    <a:prstGeom prst="rect"/>
                    <a:ln/>
                  </pic:spPr>
                </pic:pic>
              </a:graphicData>
            </a:graphic>
          </wp:anchor>
        </w:drawing>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34"/>
          <w:szCs w:val="34"/>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34"/>
          <w:szCs w:val="3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4"/>
          <w:szCs w:val="34"/>
          <w:u w:val="none"/>
          <w:shd w:fill="auto" w:val="clear"/>
          <w:vertAlign w:val="baseline"/>
          <w:rtl w:val="0"/>
        </w:rPr>
        <w:t xml:space="preserve">TRANSPARENCY</w:t>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34"/>
          <w:szCs w:val="3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4"/>
          <w:szCs w:val="34"/>
          <w:u w:val="none"/>
          <w:shd w:fill="auto" w:val="clear"/>
          <w:vertAlign w:val="baseline"/>
          <w:rtl w:val="0"/>
        </w:rPr>
        <w:t xml:space="preserve">UNANIMITY &amp; DIVERSITY</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18"/>
          <w:szCs w:val="18"/>
          <w:u w:val="none"/>
          <w:shd w:fill="auto" w:val="clear"/>
          <w:vertAlign w:val="baseline"/>
        </w:rPr>
      </w:pPr>
      <w:r w:rsidDel="00000000" w:rsidR="00000000" w:rsidRPr="00000000">
        <w:rPr>
          <w:rFonts w:ascii="Georgia" w:cs="Georgia" w:eastAsia="Georgia" w:hAnsi="Georgia"/>
          <w:i w:val="0"/>
          <w:iCs w:val="0"/>
          <w:smallCaps w:val="0"/>
          <w:strike w:val="0"/>
          <w:color w:val="000000"/>
          <w:sz w:val="18"/>
          <w:szCs w:val="18"/>
          <w:u w:val="none"/>
          <w:shd w:fill="auto" w:val="clear"/>
          <w:vertAlign w:val="baseline"/>
          <w:rtl w:val="0"/>
        </w:rPr>
        <w:t xml:space="preserve">JUSTICE ARTEMIO V. PANGANIBAN</w:t>
      </w:r>
    </w:p>
    <w:p w:rsidR="00000000" w:rsidDel="00000000" w:rsidP="00000000" w:rsidRDefault="00000000" w:rsidRPr="00000000" w14:paraId="00000025">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About the Author</w:t>
      </w:r>
    </w:p>
    <w:p w:rsidR="00000000" w:rsidDel="00000000" w:rsidP="00000000" w:rsidRDefault="00000000" w:rsidRPr="00000000" w14:paraId="000000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JUSTICE ARTEMIO V. PANGANIBAN assumed office as a member of the Supreme Court on October 10, 1995, at age 58. Prior to his appointment, he was an active law practitioner, business entrepreneur, civic worker and Catholic lay leader.</w:t>
      </w:r>
    </w:p>
    <w:p w:rsidR="00000000" w:rsidDel="00000000" w:rsidP="00000000" w:rsidRDefault="00000000" w:rsidRPr="00000000" w14:paraId="000000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his student days, he was a popular campus leader. Along with a number of others, he organized and headed the National Union of Students of the Philippines (NUSP), the largest student organization in the country up to the present. At the Far Eastern University, he finished his Bachelor of Laws, cum laude and “Most Outstanding Student” in 1960; and his Associate in Arts “With Highest Honors” in 1956. On March 21, 1997, the University of Iloilo conferred on him the degree of Doctor of Laws, honoris causa.</w:t>
      </w:r>
    </w:p>
    <w:p w:rsidR="00000000" w:rsidDel="00000000" w:rsidP="00000000" w:rsidRDefault="00000000" w:rsidRPr="00000000" w14:paraId="000000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placing sixth in the bar exams of 1960, he actively practised law, starting as an associate at the Salonga Ordoñez and Associates Law Office. In 1963, he founded the Panganiban Benitez Parlade Africa and Barinaga Law Offices (Pablaw), which he headed until his appointment to the Court.</w:t>
      </w:r>
    </w:p>
    <w:p w:rsidR="00000000" w:rsidDel="00000000" w:rsidP="00000000" w:rsidRDefault="00000000" w:rsidRPr="00000000" w14:paraId="000000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nine years (1961 to 1970), he taught law and political science in three schools. An active lay leader, he was named in 1995 by Pope John Paul II as the only Filipino member of the Pontifical Council for the Laity, which advises the Holy Father on “all matters involving the Christian life of the faithful.”</w:t>
      </w:r>
    </w:p>
    <w:p w:rsidR="00000000" w:rsidDel="00000000" w:rsidP="00000000" w:rsidRDefault="00000000" w:rsidRPr="00000000" w14:paraId="000000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home in private international law, commercial law and political law, Panganiban was, among others, general counsel of the Philippine Chamber of Commerce and Industry (PCCI); and chief legal counsel of the Parish Pastoral Council for Responsible Voting (PPCRV), the Manila Archdiocesan and Parochial Schools Association (MAPSA), and the Liberal Party (LP).</w:t>
      </w:r>
    </w:p>
    <w:p w:rsidR="00000000" w:rsidDel="00000000" w:rsidP="00000000" w:rsidRDefault="00000000" w:rsidRPr="00000000" w14:paraId="000000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his appointment to the Court, he was, at various times, president/ director of the Philippine Daily Inquirer, vice president of the Philippine Chamber of Commerce and Industry (PCCI), governor of the Management Association of the Philippines, and director of several corporations. He was also the first Asian to be elected international chairman of the American Society of Travel Agents (ASTA), the largest travel association in the world; and president of the Tourism Organization of the Philippines for many years.</w:t>
      </w:r>
    </w:p>
    <w:p w:rsidR="00000000" w:rsidDel="00000000" w:rsidP="00000000" w:rsidRDefault="00000000" w:rsidRPr="00000000" w14:paraId="000000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jurist, he demonstrates a consuming passion not only for legal adjudication, but also for justice and fairness especially for the poor, the op-pressed and the afflicted. He views law, not as a mere scholastic abstraction, but as a means to uplift the dignity and the nobility of man. He struggles against “the easy, legalistic, technical and sometimes harsh anachronisms of the law in order to evoke substantial justice” and believes that “the real essence of justice does not emanate from quibblings over patchwork legal technicality x x x but from the spirit’s gut consciousness of the dynamic role of law in the ultimate development of the social edifice.” He has bared his legal philosophy in several books he has written: Love God Serve Man (1995); Justice and Faith (1997); Battles in the Supreme Court (1998); Leadership by Example (1999); and this new volume, Transparency, Unanimity and Diversity.</w:t>
      </w:r>
    </w:p>
    <w:p w:rsidR="00000000" w:rsidDel="00000000" w:rsidP="00000000" w:rsidRDefault="00000000" w:rsidRPr="00000000" w14:paraId="000000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Panganiban is married to Elenita Carpio-Panganiban, former associate dean at the Asian Institute of Management. They have five children, each of whom has finished at least a Master’s degree in an Ivy League school.</w:t>
      </w:r>
    </w:p>
    <w:p w:rsidR="00000000" w:rsidDel="00000000" w:rsidP="00000000" w:rsidRDefault="00000000" w:rsidRPr="00000000" w14:paraId="000000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Supreme Court Public Information Office</w:t>
      </w:r>
    </w:p>
    <w:p w:rsidR="00000000" w:rsidDel="00000000" w:rsidP="00000000" w:rsidRDefault="00000000" w:rsidRPr="00000000" w14:paraId="00000031">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2">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3">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4">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6">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8">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A">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B">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C">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E">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F">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0">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1">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2">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3">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4">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5">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6">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7">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8">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You are the light of the world.</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city set on a mountain cannot be </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hidden.</w:t>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Nor do they light a lamp and then put </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it under a bushel basket; it is set on </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lampstand, where it gives light to </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all in the house.</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Just so, your light must shine before </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others, that they may see your </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good deeds and glorify your </w:t>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Heavenly</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father.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Matthew 5:14-16</w:t>
      </w:r>
    </w:p>
    <w:p w:rsidR="00000000" w:rsidDel="00000000" w:rsidP="00000000" w:rsidRDefault="00000000" w:rsidRPr="00000000" w14:paraId="0000005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TRANSPARENCY</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UNANIMITY &amp; DIVERSITY</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by </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JUSTICE ARTEMIO V. PANGANIBAN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PRINTED BY SUPREME COURT PRESS - NOVEMBER 2000</w:t>
      </w:r>
    </w:p>
    <w:p w:rsidR="00000000" w:rsidDel="00000000" w:rsidP="00000000" w:rsidRDefault="00000000" w:rsidRPr="00000000" w14:paraId="0000006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Copyright 2000 by Justice Artemio V. Panganiban</w:t>
      </w:r>
    </w:p>
    <w:p w:rsidR="00000000" w:rsidDel="00000000" w:rsidP="00000000" w:rsidRDefault="00000000" w:rsidRPr="00000000" w14:paraId="000000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part of this book may be used or reproduced in any manner whatsoever without written permission except in the case of brief quotations embodied in critical articles and reviews.</w:t>
      </w:r>
    </w:p>
    <w:p w:rsidR="00000000" w:rsidDel="00000000" w:rsidP="00000000" w:rsidRDefault="00000000" w:rsidRPr="00000000" w14:paraId="0000006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Printed by </w:t>
      </w:r>
    </w:p>
    <w:p w:rsidR="00000000" w:rsidDel="00000000" w:rsidP="00000000" w:rsidRDefault="00000000" w:rsidRPr="00000000" w14:paraId="000000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Printing Services, </w:t>
      </w:r>
    </w:p>
    <w:p w:rsidR="00000000" w:rsidDel="00000000" w:rsidP="00000000" w:rsidRDefault="00000000" w:rsidRPr="00000000" w14:paraId="000000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Padre Faura, Manila, Philippines</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9">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A">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B">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8C">
      <w:pPr>
        <w:pStyle w:val="Heading1"/>
        <w:keepNext w:val="0"/>
        <w:keepLines w:val="0"/>
        <w:spacing w:after="240" w:line="240" w:lineRule="auto"/>
        <w:ind w:firstLine="0"/>
        <w:jc w:val="center"/>
        <w:rPr>
          <w:rFonts w:ascii="Georgia" w:cs="Georgia" w:eastAsia="Georgia" w:hAnsi="Georgia"/>
          <w:color w:val="000000"/>
          <w:sz w:val="30"/>
          <w:szCs w:val="30"/>
        </w:rPr>
      </w:pPr>
      <w:bookmarkStart w:colFirst="0" w:colLast="0" w:name="_heading=h.2e9dlp4n9qw" w:id="0"/>
      <w:bookmarkEnd w:id="0"/>
      <w:r w:rsidDel="00000000" w:rsidR="00000000" w:rsidRPr="00000000">
        <w:rPr>
          <w:rFonts w:ascii="Georgia" w:cs="Georgia" w:eastAsia="Georgia" w:hAnsi="Georgia"/>
          <w:color w:val="000000"/>
          <w:sz w:val="30"/>
          <w:szCs w:val="30"/>
          <w:rtl w:val="0"/>
        </w:rPr>
        <w:t xml:space="preserve">Foreword</w:t>
      </w:r>
    </w:p>
    <w:p w:rsidR="00000000" w:rsidDel="00000000" w:rsidP="00000000" w:rsidRDefault="00000000" w:rsidRPr="00000000" w14:paraId="0000008D">
      <w:pPr>
        <w:spacing w:after="120" w:before="120" w:line="240" w:lineRule="auto"/>
        <w:ind w:firstLine="0"/>
        <w:jc w:val="center"/>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8E">
      <w:pPr>
        <w:spacing w:after="120" w:before="120" w:line="240" w:lineRule="auto"/>
        <w:ind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ab/>
        <w:t xml:space="preserve">           FROM THE CHAMBERS OF </w:t>
      </w:r>
    </w:p>
    <w:p w:rsidR="00000000" w:rsidDel="00000000" w:rsidP="00000000" w:rsidRDefault="00000000" w:rsidRPr="00000000" w14:paraId="0000008F">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90">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sz w:val="22"/>
          <w:szCs w:val="22"/>
          <w:rtl w:val="0"/>
        </w:rPr>
        <w:t xml:space="preserve">                               </w:t>
      </w:r>
      <w:r w:rsidDel="00000000" w:rsidR="00000000" w:rsidRPr="00000000">
        <w:rPr>
          <w:rFonts w:ascii="Georgia" w:cs="Georgia" w:eastAsia="Georgia" w:hAnsi="Georgia"/>
          <w:sz w:val="18"/>
          <w:szCs w:val="18"/>
          <w:rtl w:val="0"/>
        </w:rPr>
        <w:t xml:space="preserve">CHIEF JUSTICE</w:t>
      </w: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Judiciary is an institution partly founded on tradition. Justice, truth, equity, the rule of law, liberalism or otherwise, are among the fundamental principles that constitute the judicial tradition. The most basic rule of jurisprudence, stare decisis, is itself a variation on the theme of adherence to tradition.</w:t>
      </w:r>
    </w:p>
    <w:p w:rsidR="00000000" w:rsidDel="00000000" w:rsidP="00000000" w:rsidRDefault="00000000" w:rsidRPr="00000000" w14:paraId="000000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of the emerging traditions of the Supreme Court promises to bridge the information gap between the general public and the Judiciary. I refer to Justice Artemio V. Panganiban’s annual publication of his views and essays on the workings of the Judiciary. That he does so on each anniversary of his appointment to the Court adds historic significance to the endeavor.</w:t>
      </w:r>
    </w:p>
    <w:p w:rsidR="00000000" w:rsidDel="00000000" w:rsidP="00000000" w:rsidRDefault="00000000" w:rsidRPr="00000000" w14:paraId="000000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Justice Panganiban’s anthology for this year undoubtedly reinforces this new tradition. Its title, Transparency, Unanimity and Diversity, captures part of the boundless essence of the institution and process that is the Supreme Court. This millennial volume continues the conversation begun in Battles in the Supreme Court and sustained in Leadership by Example. But this installment of Justice Panganiban’s commitment to the public is not a mere reiteration of views past proffered. As we can only discern the intricacies of the Supreme Court by degrees, this volume is another step towards rounding the portrait of the High Tribunal.</w:t>
      </w:r>
    </w:p>
    <w:p w:rsidR="00000000" w:rsidDel="00000000" w:rsidP="00000000" w:rsidRDefault="00000000" w:rsidRPr="00000000" w14:paraId="000000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volume at hand discusses emerging trends that will either revolutionize or debilitate the Judiciary, depending on how the opportunities of the electronic age are addressed. I say opportunities because Justice Panganiban has so examined the external environment of the Court and has so perceived that it no longer presents any challenge, at least not one daunting enough. The book likewise provides an internal examination of the Judiciary; it is a mirror held up to reflect an honest, sometimes brutally frank, depiction of court operations.</w:t>
      </w:r>
    </w:p>
    <w:p w:rsidR="00000000" w:rsidDel="00000000" w:rsidP="00000000" w:rsidRDefault="00000000" w:rsidRPr="00000000" w14:paraId="000000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Additionally, Justice Panganiban’s report of cases that generated a union or a divergence of convictions and beliefs of the Members of the High Court offers readers a glance into the intricate processes of the legal minds of the Judiciary. This examination of the dynamics of the Supreme Court affords the public a deeper appreciation and understanding of the justice system that cannot possibly be encapsulated in any single law school subject.</w:t>
      </w:r>
    </w:p>
    <w:p w:rsidR="00000000" w:rsidDel="00000000" w:rsidP="00000000" w:rsidRDefault="00000000" w:rsidRPr="00000000" w14:paraId="000000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transparency and accountability are quickly becoming indispensable elements of the operation and ultimate objective of the courts, I hope that this budding tradition — Justice Panganiban’s chronicles of the Judiciary ~ shall prosper and take firm root. Its value to the Judiciary cannot be quantified, and the public’s benefit from it is even more immeasurable. Peruse then its every page, be involved in this maturing tradition of excellence through transparency, and be a living witness to the realization of a unified vision of justice through a diversity of opinion.</w:t>
      </w:r>
    </w:p>
    <w:p w:rsidR="00000000" w:rsidDel="00000000" w:rsidP="00000000" w:rsidRDefault="00000000" w:rsidRPr="00000000" w14:paraId="000000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Manila, 12 October 2000,</w:t>
      </w:r>
    </w:p>
    <w:p w:rsidR="00000000" w:rsidDel="00000000" w:rsidP="00000000" w:rsidRDefault="00000000" w:rsidRPr="00000000" w14:paraId="00000099">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A">
      <w:pPr>
        <w:spacing w:after="120" w:before="120" w:line="240" w:lineRule="auto"/>
        <w:ind w:firstLine="0"/>
        <w:jc w:val="left"/>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9B">
      <w:pPr>
        <w:spacing w:after="120" w:before="120" w:line="240" w:lineRule="auto"/>
        <w:ind w:firstLine="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                                                                       Hilario G. Davide Jr.</w:t>
      </w:r>
    </w:p>
    <w:p w:rsidR="00000000" w:rsidDel="00000000" w:rsidP="00000000" w:rsidRDefault="00000000" w:rsidRPr="00000000" w14:paraId="0000009C">
      <w:pPr>
        <w:spacing w:after="120" w:before="120" w:line="240" w:lineRule="auto"/>
        <w:ind w:firstLine="0"/>
        <w:jc w:val="left"/>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ab/>
        <w:tab/>
        <w:tab/>
        <w:tab/>
        <w:tab/>
        <w:tab/>
        <w:t xml:space="preserve">    </w:t>
      </w:r>
      <w:r w:rsidDel="00000000" w:rsidR="00000000" w:rsidRPr="00000000">
        <w:rPr>
          <w:rFonts w:ascii="Georgia" w:cs="Georgia" w:eastAsia="Georgia" w:hAnsi="Georgia"/>
          <w:sz w:val="22"/>
          <w:szCs w:val="22"/>
          <w:rtl w:val="0"/>
        </w:rPr>
        <w:t xml:space="preserve">Chief Justice</w:t>
      </w:r>
    </w:p>
    <w:p w:rsidR="00000000" w:rsidDel="00000000" w:rsidP="00000000" w:rsidRDefault="00000000" w:rsidRPr="00000000" w14:paraId="0000009D">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9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A0">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1">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2">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3">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4">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5">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6">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7">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8">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9">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A">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B">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C">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D">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E">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AF">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0">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1">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2">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3">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4">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5">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6">
      <w:pPr>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B7">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PREFACE</w:t>
      </w:r>
    </w:p>
    <w:p w:rsidR="00000000" w:rsidDel="00000000" w:rsidP="00000000" w:rsidRDefault="00000000" w:rsidRPr="00000000" w14:paraId="000000B8">
      <w:pPr>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Double ten two thousand marks my fifth anniversary as a member of the Supreme Court.’ As in previous years, I celebrate the occasion by writing a book that reports significant events during my magistracy.</w:t>
      </w:r>
    </w:p>
    <w:p w:rsidR="00000000" w:rsidDel="00000000" w:rsidP="00000000" w:rsidRDefault="00000000" w:rsidRPr="00000000" w14:paraId="000000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the political departments of government, the Supreme Court does not command the military or the police to compel obedience to its decisions. Neither does it control the public purse to enable it to grease political patronage. But like the President and Congress, it must nonetheless enjoy the residual trust and confidence of the public. Many, many years ago, the Supreme Court was a distant fortress, a Mount Olympus where the gods cloistered themselves from the mundane concerns of the plains. It relied on the theory that its decisions spoke for themselves and thus needed no further elaboration or defense. It did not perceive the necessity to explain its little known processes and internal proceedings.</w:t>
      </w:r>
      <w:r w:rsidDel="00000000" w:rsidR="00000000" w:rsidRPr="00000000">
        <w:rPr>
          <w:rFonts w:ascii="Georgia" w:cs="Georgia" w:eastAsia="Georgia" w:hAnsi="Georgia"/>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in the e-age of electronic tools and “high tech” methods of communications, in which a young population of inquisitive minds and an “irreverent” media reject anything they do not understand. Within this context, the Supreme Court needs to communicate, to inform and to be understood, if it is to retain the esteem and the support of the people. And there is no better way for it to maintain our people’s respect than by transparency in its pronouncements and actions.</w:t>
      </w:r>
    </w:p>
    <w:p w:rsidR="00000000" w:rsidDel="00000000" w:rsidP="00000000" w:rsidRDefault="00000000" w:rsidRPr="00000000" w14:paraId="000000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there are certain judicial functions, like internal deliberations of collegiate courts, that must be carried out with utmost confidentiality. But opening up the judiciary to some scrutiny, as a matter of broad policy, will contribute to a better understanding of how it performs its role in society. In like manner, the magistrates themselves will make every effort, not only to keep their actions pure, but also to appear to be so before the people. While the wisdom and the cogency of their actions should not be subjected to a referendum, the courts must still continuously have the long-term support and trust of the public. In short, a more transparent judiciary is a cornerstone of effective governance in the new millennium.</w:t>
      </w:r>
    </w:p>
    <w:p w:rsidR="00000000" w:rsidDel="00000000" w:rsidP="00000000" w:rsidRDefault="00000000" w:rsidRPr="00000000" w14:paraId="000000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name of transparency, I have made it my personal responsibility to write a book annually to report on the highlights of my magistracy. For the same reason, I have also agreed to chair both the new Supreme Court Committee on Public Information, as well as the Executive Committee to celebrate the centenary of the Court on June 11, 2001, Furthermore, [have immersed myself in its judicial reform program and delivered occasional speeches and lectures thereon.</w:t>
      </w:r>
    </w:p>
    <w:p w:rsidR="00000000" w:rsidDel="00000000" w:rsidP="00000000" w:rsidRDefault="00000000" w:rsidRPr="00000000" w14:paraId="000000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 of this book is a discussion of the concrete judicial reforms that have evolved from the “Davide Watch” (the all-encompassing program which Chief Justice Hilario G. Davide Jr. spelled out upon assuming office on November 30, 1998). I thought, however, that beyond discussing these reforms, I should also essay the underlying values that jurists — and for that matter, everyone — must have to be able to undertake reforms; namely, excellence, ethics and eternity.”</w:t>
      </w:r>
    </w:p>
    <w:p w:rsidR="00000000" w:rsidDel="00000000" w:rsidP="00000000" w:rsidRDefault="00000000" w:rsidRPr="00000000" w14:paraId="000000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I believe that real changes are possible only when two things concur: one, the reformers are “innergized” with and guided by common basic values; and two, they have a concrete, implementable program to solve the perceived problems. The first three chapters of this book explain the judicial reform program; the next three, the underlying values. All six chapters are sewn together by a common thread: transparency.</w:t>
      </w:r>
    </w:p>
    <w:p w:rsidR="00000000" w:rsidDel="00000000" w:rsidP="00000000" w:rsidRDefault="00000000" w:rsidRPr="00000000" w14:paraId="000000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II, on the other hand, is my response to several colleagues in the judiciary and elsewhere, who suggested a report on my ponencias that had not evoked any dissent from my colleagues. In my previous books, I discussed only controversial cases in which the Court was divided. But now, bowing to these suggestions, I have written on some of my unanimously carried “favorite decisions,” starting with my very first ponencia in 1995, Ty v. Trampe.</w:t>
      </w:r>
    </w:p>
    <w:p w:rsidR="00000000" w:rsidDel="00000000" w:rsidP="00000000" w:rsidRDefault="00000000" w:rsidRPr="00000000" w14:paraId="000000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Ill is a continuation of my usual report on contentious cases — including those imposing the death penalty — in which spirited judicial “battles” raged. A number of novel and interesting cases</w:t>
      </w:r>
      <w:r w:rsidDel="00000000" w:rsidR="00000000" w:rsidRPr="00000000">
        <w:rPr>
          <w:rFonts w:ascii="Georgia" w:cs="Georgia" w:eastAsia="Georgia" w:hAnsi="Georgia"/>
          <w:sz w:val="22"/>
          <w:szCs w:val="22"/>
          <w:vertAlign w:val="superscript"/>
        </w:rPr>
        <w:footnoteReference w:customMarkFollows="0" w:id="1"/>
      </w:r>
      <w:r w:rsidDel="00000000" w:rsidR="00000000" w:rsidRPr="00000000">
        <w:rPr>
          <w:rFonts w:ascii="Georgia" w:cs="Georgia" w:eastAsia="Georgia" w:hAnsi="Georgia"/>
          <w:sz w:val="22"/>
          <w:szCs w:val="22"/>
          <w:rtl w:val="0"/>
        </w:rPr>
        <w:t xml:space="preserve"> divided the Court during the past one year. I recommend close reading of Chapters 18 (“Due Process in Extradition Cases”), 19 (“The Party-List System — a Disagreement on Mathematics”) and 20 (“Exit Polls — a New Paradigm of Free Expression”). These cases blaze completely new trails in jurisprudence. The party-list case which was promulgated on October 6, 2000, just a few days prior to the printing deadline for this book (October 10, 2000), had to be written in a rush. But I hope it gives the reader as much delight in reading it as I had in writing it. During my fifth year in office (October 10, 1999 to October 10, 2000), I kept pace with my judicial work by writing more than 100 ponencias and 15 Separate - Opinions (including Dissenting and Concurring).</w:t>
      </w:r>
    </w:p>
    <w:p w:rsidR="00000000" w:rsidDel="00000000" w:rsidP="00000000" w:rsidRDefault="00000000" w:rsidRPr="00000000" w14:paraId="000000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my appointment to the Court five years ago, I have produced a total of about 550 ponencias and 50 Separate Opinions,’ aside from countless Minute Resolutions disposing of cases. Thus, I have been able to reduce my load to a manageable number of cases, none of which is over two (2) years from the date of their submission for resolution.’ In other words, I</w:t>
      </w:r>
      <w:r w:rsidDel="00000000" w:rsidR="00000000" w:rsidRPr="00000000">
        <w:rPr>
          <w:rFonts w:ascii="Georgia" w:cs="Georgia" w:eastAsia="Georgia" w:hAnsi="Georgia"/>
          <w:sz w:val="22"/>
          <w:szCs w:val="22"/>
          <w:vertAlign w:val="superscript"/>
        </w:rPr>
        <w:footnoteReference w:customMarkFollows="0" w:id="2"/>
      </w:r>
      <w:r w:rsidDel="00000000" w:rsidR="00000000" w:rsidRPr="00000000">
        <w:rPr>
          <w:rFonts w:ascii="Georgia" w:cs="Georgia" w:eastAsia="Georgia" w:hAnsi="Georgia"/>
          <w:sz w:val="22"/>
          <w:szCs w:val="22"/>
          <w:vertAlign w:val="superscript"/>
        </w:rPr>
        <w:footnoteReference w:customMarkFollows="0" w:id="3"/>
      </w:r>
      <w:r w:rsidDel="00000000" w:rsidR="00000000" w:rsidRPr="00000000">
        <w:rPr>
          <w:rFonts w:ascii="Georgia" w:cs="Georgia" w:eastAsia="Georgia" w:hAnsi="Georgia"/>
          <w:sz w:val="22"/>
          <w:szCs w:val="22"/>
          <w:rtl w:val="0"/>
        </w:rPr>
        <w:t xml:space="preserve"> have no backlog®. As earlier stated, this reduction in my judicial work has given me some time to be immersed in the Court's judicial reform program, its centenary celebrations, and its public information campaign; to accept selected public speaking engagements and to lecture mainly at the Philippine Judicial Academy.°</w:t>
      </w:r>
    </w:p>
    <w:p w:rsidR="00000000" w:rsidDel="00000000" w:rsidP="00000000" w:rsidRDefault="00000000" w:rsidRPr="00000000" w14:paraId="000000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Launched during a formal kickoff ceremony last June 9, 2000, the centenary celebrations will span one year, from June 9, 2000 to June 11, 2001. I will not, however, report in this volume on any of the 50-odd centenary activities and projects, except in the Appendix where I included an “Overview of the Centenary Celebrations.” I will dwell on the SC centennial in my next book, after the activities shall have been undertaken.</w:t>
      </w:r>
    </w:p>
    <w:p w:rsidR="00000000" w:rsidDel="00000000" w:rsidP="00000000" w:rsidRDefault="00000000" w:rsidRPr="00000000" w14:paraId="000000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past year, I chose speaking engagements that I felt were relevant to my chosen theme. I have included some of these speeches in Part I of this book. The theme of these addresses revolves on (1) judicial reforms and (2) values that make life sublime. Though I received over 30 speaking</w:t>
      </w:r>
      <w:r w:rsidDel="00000000" w:rsidR="00000000" w:rsidRPr="00000000">
        <w:rPr>
          <w:rFonts w:ascii="Georgia" w:cs="Georgia" w:eastAsia="Georgia" w:hAnsi="Georgia"/>
          <w:sz w:val="22"/>
          <w:szCs w:val="22"/>
          <w:vertAlign w:val="superscript"/>
        </w:rPr>
        <w:footnoteReference w:customMarkFollows="0" w:id="4"/>
      </w:r>
      <w:r w:rsidDel="00000000" w:rsidR="00000000" w:rsidRPr="00000000">
        <w:rPr>
          <w:rFonts w:ascii="Georgia" w:cs="Georgia" w:eastAsia="Georgia" w:hAnsi="Georgia"/>
          <w:sz w:val="22"/>
          <w:szCs w:val="22"/>
          <w:vertAlign w:val="superscript"/>
        </w:rPr>
        <w:footnoteReference w:customMarkFollows="0" w:id="5"/>
      </w:r>
      <w:r w:rsidDel="00000000" w:rsidR="00000000" w:rsidRPr="00000000">
        <w:rPr>
          <w:rFonts w:ascii="Georgia" w:cs="Georgia" w:eastAsia="Georgia" w:hAnsi="Georgia"/>
          <w:sz w:val="22"/>
          <w:szCs w:val="22"/>
          <w:rtl w:val="0"/>
        </w:rPr>
        <w:t xml:space="preserve"> invitations for the year, I accepted only a handful, about ten — mostly those in which these two were the main topics.</w:t>
      </w:r>
    </w:p>
    <w:p w:rsidR="00000000" w:rsidDel="00000000" w:rsidP="00000000" w:rsidRDefault="00000000" w:rsidRPr="00000000" w14:paraId="000000C5">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Since October 10, 1999, there have been no changes in the composition of the Court.” No justice has retired, and no one has been added to our membership. Hence, the sitting protocol and composition of the Banc and the three Divisions as of said period remain.</w:t>
      </w:r>
      <w:r w:rsidDel="00000000" w:rsidR="00000000" w:rsidRPr="00000000">
        <w:rPr>
          <w:rtl w:val="0"/>
        </w:rPr>
      </w:r>
    </w:p>
    <w:p w:rsidR="00000000" w:rsidDel="00000000" w:rsidP="00000000" w:rsidRDefault="00000000" w:rsidRPr="00000000" w14:paraId="000000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fifth year, I traveled abroad twice during the Court’s recess: (1) to the USA from December 22, 1999 to January 5, 2000; and (2) to Israel and Turkey from May 11 to June 3, 2000 — both without any expense on the part of the government.</w:t>
      </w:r>
    </w:p>
    <w:p w:rsidR="00000000" w:rsidDel="00000000" w:rsidP="00000000" w:rsidRDefault="00000000" w:rsidRPr="00000000" w14:paraId="000000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Many well-meaning friends have asked me how I am able to write a book yearly and still be up-to-date with my judicial and other duties to the Court, aside from whacking golf and tennis balls twice a week. My answer is: hard work and proper time management. I still use a half day (noon to early evening) on Saturday and on Sunday to reflect, pray and write on difficult and controversial matters. I write bits and pieces of this book throughout the year, even if the final text is formally laid out in July-September every year.</w:t>
      </w:r>
    </w:p>
    <w:p w:rsidR="00000000" w:rsidDel="00000000" w:rsidP="00000000" w:rsidRDefault="00000000" w:rsidRPr="00000000" w14:paraId="000000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Insights and opinions often come at unlikely moments. Many times, I would wake up at night and several ideas would race through my mind. That is why I always keep a ballpen and sheets of paper by my night table. Creative ideas percolate in my subconscious and surface at odd times, as when I watch TV or read periodicals; in an airplane, on a toilet seat, or even in the midst of unrelated conversations.</w:t>
      </w:r>
    </w:p>
    <w:p w:rsidR="00000000" w:rsidDel="00000000" w:rsidP="00000000" w:rsidRDefault="00000000" w:rsidRPr="00000000" w14:paraId="000000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close this Preface with my usual thanks to my colleagues in the Court who, in more ways than they can imagine, contributed in molding my ponencias, opinions, lectures and speeches. They have collectively and individually served as audience, critic and sounding board for many of my ideas and musings. I wish to stress however, that the views expressed in this book are mine and not necessarily those of the Court or my colleagues, except when I directly quote from their writings. Hence, errors or inaccuracies are mine and mine alone. I also extend my appreciation to my judicial staff for their assistance in producing this book.</w:t>
      </w:r>
    </w:p>
    <w:p w:rsidR="00000000" w:rsidDel="00000000" w:rsidP="00000000" w:rsidRDefault="00000000" w:rsidRPr="00000000" w14:paraId="000000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October 10, 2000.</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ARTEMIO V. PANGANIBAN</w:t>
      </w:r>
    </w:p>
    <w:p w:rsidR="00000000" w:rsidDel="00000000" w:rsidP="00000000" w:rsidRDefault="00000000" w:rsidRPr="00000000" w14:paraId="000000CC">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Part I</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TRANSPARENCY</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Prologue</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 of this book is really a continuation of Part I of Leadership by Example entitled “Toward an Ideal Judiciary,” which I wrote last year “to dissect the vision, mission and direction” of our then recently appointed Chief Justice Hilario G. Davide Jr. While the first part of Leadership dealt with the broad sweep of the Chief’s program, the “Davide Watch,” that of the present volume hopes to be a more focused discussion of one major aspect of that program — transparency. Carried quite explicitly in the first three chapters here is this focus on transparency as the common denominator of the Supreme Court’s reform program.</w:t>
      </w:r>
    </w:p>
    <w:p w:rsidR="00000000" w:rsidDel="00000000" w:rsidP="00000000" w:rsidRDefault="00000000" w:rsidRPr="00000000" w14:paraId="000000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succeeding three chapters have been culled from three speeches, which spotlight from various perspectives what I believe are the values that make life worth living; namely, excellence, ethics and eternity. But even in these philosophical-intellectual peregrinations, I have made specific references to transparency as an indispensable quality or trait of every complete individual, especially a public officer or leader.</w:t>
      </w:r>
    </w:p>
    <w:p w:rsidR="00000000" w:rsidDel="00000000" w:rsidP="00000000" w:rsidRDefault="00000000" w:rsidRPr="00000000" w14:paraId="000000D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Problems and Solutions</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Arrogance, ignorance, incompetence, unethical behavior, dishonesty, neglect of duty, delay, conduct unbecoming a judge, corruption, misconduct, immorality, partiality and “pesky” illegal TROs.</w:t>
      </w:r>
    </w:p>
    <w:p w:rsidR="00000000" w:rsidDel="00000000" w:rsidP="00000000" w:rsidRDefault="00000000" w:rsidRPr="00000000" w14:paraId="000000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are the major grounds why justices and judges have been dismissed from the service, suspended from office, fined, censured, admonished or otherwise disciplined by the Supreme Court. While sanctions for these offenses are necessary, they are not enough to elevate the standards of judicial dispensation. It is even more important to prevent these problems from occurring and to implement positive solutions to assure swift, objective and evenhanded delivery of justice.</w:t>
      </w:r>
    </w:p>
    <w:p w:rsidR="00000000" w:rsidDel="00000000" w:rsidP="00000000" w:rsidRDefault="00000000" w:rsidRPr="00000000" w14:paraId="000000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the many problems of the judiciary, perhaps the easiest to demonstrate is delay. All that a litigant has to do is to point out the date a case was filed and the many travails one has gone through with no end in sight, and the gallery would immediately clap in agreement. In fact, delay in adjudication can easily be proved by statistics. What is more, it is said to breed corruption and partiality. It is caused not only by malevolent intent but also by incompetence, negligence and the many other plagues of the judiciary.</w:t>
      </w:r>
    </w:p>
    <w:p w:rsidR="00000000" w:rsidDel="00000000" w:rsidP="00000000" w:rsidRDefault="00000000" w:rsidRPr="00000000" w14:paraId="000000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this reason, I, as chairman of the Supreme Court Committee on Public Information, wrote two months ago a paper entitled “Speeding up Quality Justice,” which was printed in full or in edited versions by many dailies and publications, discussed over radio and television shows, and debated on in judicial and bar circles. I zeroed in on delay because it was a system-wide problem. But in the discussion, I covered the other major problems and obstacles earlier mentioned, as well as the solutions to attain what I termed “quality justice.” Now, I consider it apropos to reproduce its substantive part as the first chapter of this book.</w:t>
      </w:r>
    </w:p>
    <w:p w:rsidR="00000000" w:rsidDel="00000000" w:rsidP="00000000" w:rsidRDefault="00000000" w:rsidRPr="00000000" w14:paraId="000000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there is delay, sometimes unreasonable delay, in the delivery of justice is a given.’ In the interest of truth, I shall not deny or make any excuses to justify such a fact. Instead, I will attempt to trace the causes of delay and explain the Supreme Court's collective (as well as some of my own) effort to solve the problem.</w:t>
      </w:r>
    </w:p>
    <w:p w:rsidR="00000000" w:rsidDel="00000000" w:rsidP="00000000" w:rsidRDefault="00000000" w:rsidRPr="00000000" w14:paraId="000000D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DF">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“Zero Backlog” in the Supreme </w:t>
      </w:r>
    </w:p>
    <w:p w:rsidR="00000000" w:rsidDel="00000000" w:rsidP="00000000" w:rsidRDefault="00000000" w:rsidRPr="00000000" w14:paraId="000000E0">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Court by June 11, 2001</w:t>
      </w:r>
    </w:p>
    <w:p w:rsidR="00000000" w:rsidDel="00000000" w:rsidP="00000000" w:rsidRDefault="00000000" w:rsidRPr="00000000" w14:paraId="000000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Well-worth noting is the hard work the Supreme Court has gone through to reduce its own case backlog. Its annual reports from 1995 to 1999 show that the number of cases resolved outnumbered the new cases filed. </w:t>
      </w:r>
    </w:p>
    <w:p w:rsidR="00000000" w:rsidDel="00000000" w:rsidP="00000000" w:rsidRDefault="00000000" w:rsidRPr="00000000" w14:paraId="000000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statistics demonstrate that for the said five-year period (1995-1999), the Supreme Court decided more cases than those filed. The judicial cases filed averaged 4,337 per year, while the cases disposed of, at 4,506, averaged higher by about 170 per year. More significantly, for the year 1999, there were only 3,573 filings but 4,365 cases terminated. Thus, in 1999 alone, the cases disposed of were 792 more than those filed. Definitely, these figures show that the Supreme Court's effort to solve its backlog is gaining ground.</w:t>
      </w:r>
    </w:p>
    <w:p w:rsidR="00000000" w:rsidDel="00000000" w:rsidP="00000000" w:rsidRDefault="00000000" w:rsidRPr="00000000" w14:paraId="000000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backlog, I refer to cases that were deemed submitted for the decision of the Court more than twenty-four months after the last pleading had been filed. Twenty-four months is the deadline given by Article VIII of the Constitution to the Supreme Court, as follows:</w:t>
      </w:r>
    </w:p>
    <w:p w:rsidR="00000000" w:rsidDel="00000000" w:rsidP="00000000" w:rsidRDefault="00000000" w:rsidRPr="00000000" w14:paraId="000000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15 (1). All cases or matters filed after the effectivity of this Constitution must be decided or resolved within twenty-four months from date of submission for the Supreme Court, and, unless reduced by the Supreme Court, twelve months for all lower collegiate courts, and three months for all other lower courts.</w:t>
      </w:r>
    </w:p>
    <w:p w:rsidR="00000000" w:rsidDel="00000000" w:rsidP="00000000" w:rsidRDefault="00000000" w:rsidRPr="00000000" w14:paraId="000000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 case or matter shall be deemed submitted for decision or resolution upon the filing of the last pleading, brief, or memorandum required by the Rules of Court or by the court itself.”</w:t>
      </w:r>
    </w:p>
    <w:p w:rsidR="00000000" w:rsidDel="00000000" w:rsidP="00000000" w:rsidRDefault="00000000" w:rsidRPr="00000000" w14:paraId="000000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the EDSA Revolution in 1986, the backlog of the Supreme Court was about 6,000 cases. In 1998, in my book Battles in the Supreme Court,* I estimated it at 2,000. Now I believe it is down to about 1,000. A year from now it should be reduced to zero or, at least, to an insignificant number. I believe this “zero backlog” is a fitting way to celebrate the 100th anniversary of the Supreme Court on June 11, 2001.</w:t>
      </w:r>
    </w:p>
    <w:p w:rsidR="00000000" w:rsidDel="00000000" w:rsidP="00000000" w:rsidRDefault="00000000" w:rsidRPr="00000000" w14:paraId="000000E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E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Increasing Backlog </w:t>
      </w:r>
    </w:p>
    <w:p w:rsidR="00000000" w:rsidDel="00000000" w:rsidP="00000000" w:rsidRDefault="00000000" w:rsidRPr="00000000" w14:paraId="000000E9">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in the Lower Courts </w:t>
      </w:r>
    </w:p>
    <w:p w:rsidR="00000000" w:rsidDel="00000000" w:rsidP="00000000" w:rsidRDefault="00000000" w:rsidRPr="00000000" w14:paraId="000000EA">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following charts show the five-year (1995- 1999) figures for the appellate courts: Judicial Cases Filed and Disposed of in the Court of Appeals and the Sandiganbayan</w:t>
      </w:r>
      <w:r w:rsidDel="00000000" w:rsidR="00000000" w:rsidRPr="00000000">
        <w:rPr>
          <w:rtl w:val="0"/>
        </w:rPr>
      </w:r>
    </w:p>
    <w:p w:rsidR="00000000" w:rsidDel="00000000" w:rsidP="00000000" w:rsidRDefault="00000000" w:rsidRPr="00000000" w14:paraId="000000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Court of Appeals, the ‘yearly average for the five-year period (1995-1999) shows that there were more new cases filed (8,907) than cases decided (8,290). This means that over the last five years (1995-1999), the CA’s cases grew by a total of 3,088 for the five-year period or by an average of 617 per year, For the same five-year period, the Sandiganbayan decided 4,467 cases compared with</w:t>
      </w:r>
      <w:r w:rsidDel="00000000" w:rsidR="00000000" w:rsidRPr="00000000">
        <w:rPr>
          <w:rFonts w:ascii="Georgia" w:cs="Georgia" w:eastAsia="Georgia" w:hAnsi="Georgia"/>
          <w:sz w:val="22"/>
          <w:szCs w:val="22"/>
          <w:vertAlign w:val="superscript"/>
        </w:rPr>
        <w:footnoteReference w:customMarkFollows="0" w:id="6"/>
      </w:r>
      <w:r w:rsidDel="00000000" w:rsidR="00000000" w:rsidRPr="00000000">
        <w:rPr>
          <w:rFonts w:ascii="Georgia" w:cs="Georgia" w:eastAsia="Georgia" w:hAnsi="Georgia"/>
          <w:sz w:val="22"/>
          <w:szCs w:val="22"/>
          <w:rtl w:val="0"/>
        </w:rPr>
        <w:t xml:space="preserve"> 4,502 cases filed — a total marginal negative net of 35 or an average of 7 per year. Note that except for 1995, there were more filings than decisions in the Sandiganbayan during the last four years (1996- 1999).</w:t>
      </w:r>
    </w:p>
    <w:p w:rsidR="00000000" w:rsidDel="00000000" w:rsidP="00000000" w:rsidRDefault="00000000" w:rsidRPr="00000000" w14:paraId="000000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trial courts, the statistical summaries released by the Office of the Court Administrator show worse results than those for the appellate courts, as the following tables show: Summary of Case Inflow and Outflow in the Second and the First Level Courts</w:t>
      </w:r>
    </w:p>
    <w:p w:rsidR="00000000" w:rsidDel="00000000" w:rsidP="00000000" w:rsidRDefault="00000000" w:rsidRPr="00000000" w14:paraId="000000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second-level courts, which include the Regional Trial Courts (RTC), Court of Tax Appeals (CTA) and Shari’ah District Courts (SDC), the case inflow for the same five-year period (1995-1999) was 848,329; the case outflow was only 814,354. The total increase, then, was 33,975 for the five-year period or an average of 6,795 per year. Now, that’s a lot of cases!</w:t>
      </w:r>
    </w:p>
    <w:p w:rsidR="00000000" w:rsidDel="00000000" w:rsidP="00000000" w:rsidRDefault="00000000" w:rsidRPr="00000000" w14:paraId="000000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picture is no better in the first-level courts, which include the Metropolitan Trial Courts (MeTC), Municipal Trial Courts in Cities (MTCC), Municipal Circuit Trial Courts (MCTC), Municipal Trial Courts (MTC) and Shari’ah Circuit Courts (SCC). The yearly average during the last five years (1995-1999) showed an increase of almost 65,000 cases per year or a humongous total of 324,174 for the last five years.</w:t>
      </w:r>
    </w:p>
    <w:p w:rsidR="00000000" w:rsidDel="00000000" w:rsidP="00000000" w:rsidRDefault="00000000" w:rsidRPr="00000000" w14:paraId="000000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far, I have examined only the statistics for five years or from 1995 (the year I joined the Supreme Court, having assumed my seat on October 10, 1995) to 1999. Our court administrator, Alfredo L. Benipayo, in a speech before the Integrated Bar of the Philippines on May 27, 2000, dug deeper and started with the year 1991 during which, according to him, there were 254,976 cases pending in the lower courts. “During that year, 330,171 new cases were filed. By the end of the year, 255,523 cases remained pending. That translates to a case disposition rate of 39.70 per cent. The situation has only gone downhill since then.”</w:t>
      </w:r>
    </w:p>
    <w:p w:rsidR="00000000" w:rsidDel="00000000" w:rsidP="00000000" w:rsidRDefault="00000000" w:rsidRPr="00000000" w14:paraId="000000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added that in the beginning of 1999, “771,337 cases were pending with the lower courts [referring to all first and second level courts — the RTCs and the MTCs and their equivalents]. With 588,649 additional new cases to deal with, our [lower] courts managed to dispose of only 25.50% of their piled up work. Thus,</w:t>
      </w:r>
      <w:r w:rsidDel="00000000" w:rsidR="00000000" w:rsidRPr="00000000">
        <w:rPr>
          <w:rFonts w:ascii="Georgia" w:cs="Georgia" w:eastAsia="Georgia" w:hAnsi="Georgia"/>
          <w:sz w:val="22"/>
          <w:szCs w:val="22"/>
          <w:vertAlign w:val="superscript"/>
        </w:rPr>
        <w:footnoteReference w:customMarkFollows="0" w:id="7"/>
      </w:r>
      <w:r w:rsidDel="00000000" w:rsidR="00000000" w:rsidRPr="00000000">
        <w:rPr>
          <w:rFonts w:ascii="Georgia" w:cs="Georgia" w:eastAsia="Georgia" w:hAnsi="Georgia"/>
          <w:sz w:val="22"/>
          <w:szCs w:val="22"/>
          <w:vertAlign w:val="superscript"/>
        </w:rPr>
        <w:footnoteReference w:customMarkFollows="0" w:id="8"/>
      </w:r>
      <w:r w:rsidDel="00000000" w:rsidR="00000000" w:rsidRPr="00000000">
        <w:rPr>
          <w:rFonts w:ascii="Georgia" w:cs="Georgia" w:eastAsia="Georgia" w:hAnsi="Georgia"/>
          <w:sz w:val="22"/>
          <w:szCs w:val="22"/>
          <w:rtl w:val="0"/>
        </w:rPr>
        <w:t xml:space="preserve"> coming to the year 2,000, the [lower] courts registered a gargantuan caseload totalling 801,625.”</w:t>
      </w:r>
    </w:p>
    <w:p w:rsidR="00000000" w:rsidDel="00000000" w:rsidP="00000000" w:rsidRDefault="00000000" w:rsidRPr="00000000" w14:paraId="000000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this declining rate of disposition of cases in our lower courts and even in our appellate courts is not solved soon, there will be more and more complaints of delayed justice in the future.</w:t>
      </w:r>
    </w:p>
    <w:p w:rsidR="00000000" w:rsidDel="00000000" w:rsidP="00000000" w:rsidRDefault="00000000" w:rsidRPr="00000000" w14:paraId="000000F2">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F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Speedy, Fair </w:t>
      </w:r>
    </w:p>
    <w:p w:rsidR="00000000" w:rsidDel="00000000" w:rsidP="00000000" w:rsidRDefault="00000000" w:rsidRPr="00000000" w14:paraId="000000F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and Impartial Justice</w:t>
      </w:r>
    </w:p>
    <w:p w:rsidR="00000000" w:rsidDel="00000000" w:rsidP="00000000" w:rsidRDefault="00000000" w:rsidRPr="00000000" w14:paraId="000000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incumbent Chief Justice, Hilario G. Davide Jr, recognized this problem early on in his incumbency which began on November 30,.1998. In his now popular program of action known as the “Davide Watch,” one of his firm policies was “to achieve the goal of delivering fair, impartial and swift justice.” Specifically, he made it his mission to “dispose of the existing backlog of cases in all courts.” I believe the Chief Justice placed the problem in its proper perspective. The goal should not merely be “swift” justice, but one that is “fair” and “impartial.” Indeed, what is the point of speed without evenhandedness or fairness? That would be railroading tyranny to our hapless people!</w:t>
      </w:r>
    </w:p>
    <w:p w:rsidR="00000000" w:rsidDel="00000000" w:rsidP="00000000" w:rsidRDefault="00000000" w:rsidRPr="00000000" w14:paraId="000000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I write not just about speedy justice but about the swift delivery of quality justice; not about the rushing of kangaroo justice but of justice based on truth, of justice that is the product of a logic-driven process anchored on facts, the law and reason. At</w:t>
      </w:r>
    </w:p>
    <w:p w:rsidR="00000000" w:rsidDel="00000000" w:rsidP="00000000" w:rsidRDefault="00000000" w:rsidRPr="00000000" w14:paraId="000000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t>
      </w:r>
      <w:r w:rsidDel="00000000" w:rsidR="00000000" w:rsidRPr="00000000">
        <w:rPr>
          <w:rFonts w:ascii="Georgia" w:cs="Georgia" w:eastAsia="Georgia" w:hAnsi="Georgia"/>
          <w:sz w:val="22"/>
          <w:szCs w:val="22"/>
          <w:vertAlign w:val="superscript"/>
        </w:rPr>
        <w:footnoteReference w:customMarkFollows="0" w:id="9"/>
      </w:r>
      <w:r w:rsidDel="00000000" w:rsidR="00000000" w:rsidRPr="00000000">
        <w:rPr>
          <w:rFonts w:ascii="Georgia" w:cs="Georgia" w:eastAsia="Georgia" w:hAnsi="Georgia"/>
          <w:sz w:val="22"/>
          <w:szCs w:val="22"/>
          <w:vertAlign w:val="superscript"/>
        </w:rPr>
        <w:footnoteReference w:customMarkFollows="0" w:id="10"/>
      </w:r>
      <w:r w:rsidDel="00000000" w:rsidR="00000000" w:rsidRPr="00000000">
        <w:rPr>
          <w:rFonts w:ascii="Georgia" w:cs="Georgia" w:eastAsia="Georgia" w:hAnsi="Georgia"/>
          <w:sz w:val="22"/>
          <w:szCs w:val="22"/>
          <w:rtl w:val="0"/>
        </w:rPr>
        <w:t xml:space="preserve"> bottom, then, the nagging question is: How does the judiciary, especially the Supreme Court, propose to solve this problem and deliver evenhanded and speedy justice, a right recognized by our Constitution? In answering this question, I will discuss, first, the causes of delays and, second, the solutions to such delays.</w:t>
      </w:r>
    </w:p>
    <w:p w:rsidR="00000000" w:rsidDel="00000000" w:rsidP="00000000" w:rsidRDefault="00000000" w:rsidRPr="00000000" w14:paraId="000000F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9">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Causes of Delay: </w:t>
      </w:r>
    </w:p>
    <w:p w:rsidR="00000000" w:rsidDel="00000000" w:rsidP="00000000" w:rsidRDefault="00000000" w:rsidRPr="00000000" w14:paraId="000000F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Systemic and Man-Made</w:t>
      </w:r>
    </w:p>
    <w:p w:rsidR="00000000" w:rsidDel="00000000" w:rsidP="00000000" w:rsidRDefault="00000000" w:rsidRPr="00000000" w14:paraId="000000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why are court dockets clogged? There are many causes or factors for this. I will classify them as to source, as follows: (a) those that are systemic, having arisen from our very system of governance, and (b) those that are man-made or caused by people involved in litigations.</w:t>
      </w:r>
    </w:p>
    <w:p w:rsidR="00000000" w:rsidDel="00000000" w:rsidP="00000000" w:rsidRDefault="00000000" w:rsidRPr="00000000" w14:paraId="000000FC">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0F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Systemic Delays</w:t>
      </w:r>
    </w:p>
    <w:p w:rsidR="00000000" w:rsidDel="00000000" w:rsidP="00000000" w:rsidRDefault="00000000" w:rsidRPr="00000000" w14:paraId="000000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systemic causes of court delays may be attributed to the following:</w:t>
      </w:r>
    </w:p>
    <w:p w:rsidR="00000000" w:rsidDel="00000000" w:rsidP="00000000" w:rsidRDefault="00000000" w:rsidRPr="00000000" w14:paraId="000000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very nature of our adversarial system of litigation requires due process and deliberation before judicial decisions can be rendered. There is no comprehensive and “precise” definition of due process. US Supreme Court Justice Felix Frankfurter simply referred to it as “the embodiment of the sporting idea of fair play.” This concept is reminiscent of Themistocles when he cried to Alcibiades, “Strike if you must, but hear me first.” It has been classically</w:t>
      </w:r>
      <w:r w:rsidDel="00000000" w:rsidR="00000000" w:rsidRPr="00000000">
        <w:rPr>
          <w:rFonts w:ascii="Georgia" w:cs="Georgia" w:eastAsia="Georgia" w:hAnsi="Georgia"/>
          <w:sz w:val="22"/>
          <w:szCs w:val="22"/>
          <w:vertAlign w:val="superscript"/>
        </w:rPr>
        <w:footnoteReference w:customMarkFollows="0" w:id="11"/>
      </w:r>
      <w:r w:rsidDel="00000000" w:rsidR="00000000" w:rsidRPr="00000000">
        <w:rPr>
          <w:rFonts w:ascii="Georgia" w:cs="Georgia" w:eastAsia="Georgia" w:hAnsi="Georgia"/>
          <w:sz w:val="22"/>
          <w:szCs w:val="22"/>
          <w:vertAlign w:val="superscript"/>
        </w:rPr>
        <w:footnoteReference w:customMarkFollows="0" w:id="12"/>
      </w:r>
      <w:r w:rsidDel="00000000" w:rsidR="00000000" w:rsidRPr="00000000">
        <w:rPr>
          <w:rFonts w:ascii="Georgia" w:cs="Georgia" w:eastAsia="Georgia" w:hAnsi="Georgia"/>
          <w:sz w:val="22"/>
          <w:szCs w:val="22"/>
          <w:vertAlign w:val="superscript"/>
        </w:rPr>
        <w:footnoteReference w:customMarkFollows="0" w:id="13"/>
      </w:r>
      <w:r w:rsidDel="00000000" w:rsidR="00000000" w:rsidRPr="00000000">
        <w:rPr>
          <w:rFonts w:ascii="Georgia" w:cs="Georgia" w:eastAsia="Georgia" w:hAnsi="Georgia"/>
          <w:sz w:val="22"/>
          <w:szCs w:val="22"/>
          <w:rtl w:val="0"/>
        </w:rPr>
        <w:t xml:space="preserve"> defined by Daniel Webster as a system that hears before it condemns, one that proceeds upon inquiry and renders judgment only after trial.</w:t>
      </w:r>
    </w:p>
    <w:p w:rsidR="00000000" w:rsidDel="00000000" w:rsidP="00000000" w:rsidRDefault="00000000" w:rsidRPr="00000000" w14:paraId="000001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these definitions may be easy enough to comprehend but, translated into court mechanics, they require among others: (a) the proper issuance and service of summons and subpoenas; (b) the grant of fixed periods within which to answer complaints and charges; (c) the conduct of trials with the assistance of lawyers; (d) the tedious process of examining and cross-examining witnesses in open court, (e) the formulation of a set of rules to determine the admissibility and the weight of evidence; and (f) the rendering of neatly composed decisions that must be personally written by judges, and that must state the facts and the law upon which they are based. All these ‘due-process mechanics take time.</w:t>
      </w:r>
    </w:p>
    <w:p w:rsidR="00000000" w:rsidDel="00000000" w:rsidP="00000000" w:rsidRDefault="00000000" w:rsidRPr="00000000" w14:paraId="000001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during judicial proceedings, great care is observed in safeguarding the constitutional rights of the parties. Thus, evidence, even if it incriminates the accused, cannot be admitted or accepted if procured with the use of force, fraud, fear or instigation. So, too, our system of criminal justice recognizes the so-called Miranda rights, especially the rights to remain silent during custodial investigation by police authorities and to be assisted at all times by competent and independent counsel. Constitutional rights, especially to due process, are essential ingredients of quality justice and cannot be dispensed with, unless voluntarily waived by the party they are intended to protect.</w:t>
      </w:r>
    </w:p>
    <w:p w:rsidR="00000000" w:rsidDel="00000000" w:rsidP="00000000" w:rsidRDefault="00000000" w:rsidRPr="00000000" w14:paraId="000001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Our appellate system is, generally speaking, open-ended. Taking advantage of this liberality, litigants refuse to surrender and tenaciously pursue their appeals all the way up to the Highest Court. Sometimes reaching the Supreme Court is the review of cases involving the collection of a few hundred pesos, the ejectment of a persistent tenant, the illegal dismissal of a clerk, the slander by a cantankerous woman, or the election protest of a barangay chairman.</w:t>
      </w:r>
    </w:p>
    <w:p w:rsidR="00000000" w:rsidDel="00000000" w:rsidP="00000000" w:rsidRDefault="00000000" w:rsidRPr="00000000" w14:paraId="000001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Due to Batas Pambansa (BP) 22, the Bouncing Checks Law, collection cases flood our first-level courts. Banks, financial institutions and even ordinary creditors make use of our criminal law system as an agency for the collection of bounced checks. Because of this fact, it is not uncommon to find a trial court saddled with 6,000 pending cases of rubber checks alone.</w:t>
      </w:r>
    </w:p>
    <w:p w:rsidR="00000000" w:rsidDel="00000000" w:rsidP="00000000" w:rsidRDefault="00000000" w:rsidRPr="00000000" w14:paraId="000001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By themselves alone, the automatic appeals to the Supreme Court of death penalties imposed by trial courts number about one thousand five hundred at present, and counting. In addition, the High Tribunal cannot refuse appeals of criminal cases in which the penalty imposed by the lower court is reclusion perpetua or life imprisonment. Combined, these appeals to the Supreme Court of cases involving death, reclusion perpetua and life imprisonment number about three thousand.</w:t>
      </w:r>
    </w:p>
    <w:p w:rsidR="00000000" w:rsidDel="00000000" w:rsidP="00000000" w:rsidRDefault="00000000" w:rsidRPr="00000000" w14:paraId="000001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Apart from reviewing lower court decisions, the Supreme Court also handles appeals of decisions issued by other constitutional bodies like the Commission on Elections, Commission on Audit and the Ombudsman.</w:t>
      </w:r>
    </w:p>
    <w:p w:rsidR="00000000" w:rsidDel="00000000" w:rsidP="00000000" w:rsidRDefault="00000000" w:rsidRPr="00000000" w14:paraId="000001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In addition to hearing and deciding judicial cases, the Supreme Court also adjudicates complaints against lower court magistrates and lawyers. Under the Constitution, it has administrative supervision over all courts and over all lawyers.</w:t>
      </w:r>
    </w:p>
    <w:p w:rsidR="00000000" w:rsidDel="00000000" w:rsidP="00000000" w:rsidRDefault="00000000" w:rsidRPr="00000000" w14:paraId="0000010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08">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Man-Made Delays</w:t>
      </w:r>
    </w:p>
    <w:p w:rsidR="00000000" w:rsidDel="00000000" w:rsidP="00000000" w:rsidRDefault="00000000" w:rsidRPr="00000000" w14:paraId="000001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man-made delays come from any of the following: (1) the judges, (2) the litigants and their lawyers, or (3) the court officials supervising judges and other judicial personnel. Some judges who are unfamiliar with the rules of procedure or evidence are unable to control proceedings in their salas, resulting in unnecessary recourse to higher courts, just for the correction of simple errors. For example, erroneous grants and denials of bail in capital offenses or erroneous dismissals due to simple lapses in procedure unduly tend to clog appellate dockets and delay the final dispositions of the merits of the cases below.</w:t>
      </w:r>
    </w:p>
    <w:p w:rsidR="00000000" w:rsidDel="00000000" w:rsidP="00000000" w:rsidRDefault="00000000" w:rsidRPr="00000000" w14:paraId="000001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Sometimes delays are caused by lazy and inept, not to say corrupt, judges who frequently absent themselves from work, arrive in their salas late, or fail to issue orders and judgments within the reglementary period.</w:t>
      </w:r>
    </w:p>
    <w:p w:rsidR="00000000" w:rsidDel="00000000" w:rsidP="00000000" w:rsidRDefault="00000000" w:rsidRPr="00000000" w14:paraId="000001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no small measure, also contributing to delay are the unfilled vacancies in the judiciary. At present, about 33 percent of all trial court salas are vacant because of the lack of qualified applicants. Brilliant, ethical and diligent lawyers oftentimes shun appointments as magistrates, because of the pitifully low compensation and the sometimes unstable peace and order condition in outlying stations.</w:t>
      </w:r>
    </w:p>
    <w:p w:rsidR="00000000" w:rsidDel="00000000" w:rsidP="00000000" w:rsidRDefault="00000000" w:rsidRPr="00000000" w14:paraId="000001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litigants themselves, particularly lawyers, also cause delays. They are able to use, misuse and abuse the Rules of Court to defeat the very objective of our legal system: fair, speedy and adequate justice for all. Knowing that their cases are weak, they resort to all sorts of dilatory tactics in the hope of tiring out, discouraging or bankrupting their opponents.</w:t>
      </w:r>
    </w:p>
    <w:p w:rsidR="00000000" w:rsidDel="00000000" w:rsidP="00000000" w:rsidRDefault="00000000" w:rsidRPr="00000000" w14:paraId="000001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judge and the lawyers may be the most visible participants in a judicial proceeding. Let us not forget that there are also several other personnel involved, like the clerks of court, sheriffs, interpreters, process servers and others. They, too, can delay cases because of bias, laziness, ineptitude or, worse, corruption.</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Solutions to Delay</w:t>
      </w:r>
    </w:p>
    <w:p w:rsidR="00000000" w:rsidDel="00000000" w:rsidP="00000000" w:rsidRDefault="00000000" w:rsidRPr="00000000" w14:paraId="000001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discussing the various causes of delay, let me now take up the various means adopted or planned by the judiciary to solve this problem. I will discuss them along three lines: (a) solutions involving judges themselves; (b) those referring to judicial tools, equipment and personnel; and (c) those aimed at improving the judicial system itself.</w:t>
      </w:r>
    </w:p>
    <w:p w:rsidR="00000000" w:rsidDel="00000000" w:rsidP="00000000" w:rsidRDefault="00000000" w:rsidRPr="00000000" w14:paraId="0000011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2">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Selection, Education and Training </w:t>
      </w:r>
    </w:p>
    <w:p w:rsidR="00000000" w:rsidDel="00000000" w:rsidP="00000000" w:rsidRDefault="00000000" w:rsidRPr="00000000" w14:paraId="0000011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of Judges and Court Officials</w:t>
      </w:r>
    </w:p>
    <w:p w:rsidR="00000000" w:rsidDel="00000000" w:rsidP="00000000" w:rsidRDefault="00000000" w:rsidRPr="00000000" w14:paraId="000001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1999 book, Leadership by Example, I opined that every good judge must have four “ins”: independence, integrity, intelligence and industry. Indeed, the most important element in ensuring speedy, fair and objective justice is the judge’s character, personality, education, work habits and aptitude for the minutiae of decision-making.</w:t>
      </w:r>
    </w:p>
    <w:p w:rsidR="00000000" w:rsidDel="00000000" w:rsidP="00000000" w:rsidRDefault="00000000" w:rsidRPr="00000000" w14:paraId="000001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the solutions should begin with the roots of the magistrates — with reforms in law schools and law school curricula. Verily, students must be well-prepared by law schools which, in turn, must be manned by competent and dedicated professors and</w:t>
      </w:r>
      <w:r w:rsidDel="00000000" w:rsidR="00000000" w:rsidRPr="00000000">
        <w:rPr>
          <w:rFonts w:ascii="Georgia" w:cs="Georgia" w:eastAsia="Georgia" w:hAnsi="Georgia"/>
          <w:sz w:val="22"/>
          <w:szCs w:val="22"/>
          <w:vertAlign w:val="superscript"/>
        </w:rPr>
        <w:footnoteReference w:customMarkFollows="0" w:id="14"/>
      </w:r>
      <w:r w:rsidDel="00000000" w:rsidR="00000000" w:rsidRPr="00000000">
        <w:rPr>
          <w:rFonts w:ascii="Georgia" w:cs="Georgia" w:eastAsia="Georgia" w:hAnsi="Georgia"/>
          <w:sz w:val="22"/>
          <w:szCs w:val="22"/>
          <w:rtl w:val="0"/>
        </w:rPr>
        <w:t xml:space="preserve"> administrators. The Supreme Court, through its Centenary Executive Committee, is planning to set up a private foundation to recruit and adequately compensate qualified full-time law professors who will teach in various schools, as well as to provide scholarships to deserving but poor law students. Then there is the need to conduct reasonable and objective bar examinations. To address these problems, the Court has created a standing Committee on Legal Education!® and, recently, a Study Group on Bar Reforms made up of retired justices'® tasked to recommend changes in the admission of new lawyers.</w:t>
      </w:r>
    </w:p>
    <w:p w:rsidR="00000000" w:rsidDel="00000000" w:rsidP="00000000" w:rsidRDefault="00000000" w:rsidRPr="00000000" w14:paraId="000001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reforming the educational system and the bar examinations comes the need to select the best and the brightest lawyers for appointment to the judiciary. The Constitution of the Philippines mandates the Judicial and Bar Council (JBC) to screen and then recommend applicants for judicial appointment by the President of the Philippines. The JBC has gone to great lengths, within its limited resources, to ensure the selection of qualified nominees, free of political interference.</w:t>
      </w:r>
    </w:p>
    <w:p w:rsidR="00000000" w:rsidDel="00000000" w:rsidP="00000000" w:rsidRDefault="00000000" w:rsidRPr="00000000" w14:paraId="000001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make its nomination process more transparent, the JBC has recently adopted three innovations proposed by Sen. Aquilino Q. Pimentel Jr, a°council member. These are:!” (a) JBC shall publish its guidelines and criteria for selecting nominees, (b) an applicant against whom there is a pending complaint shall not be considered until cleared by the Supreme Court, and (c) an applicant whose integrity is seriously questioned must obtain the unanimous vote of all the JBC members.</w:t>
      </w:r>
    </w:p>
    <w:p w:rsidR="00000000" w:rsidDel="00000000" w:rsidP="00000000" w:rsidRDefault="00000000" w:rsidRPr="00000000" w14:paraId="000001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appointment to their respective posts, the men in black robes still need continuing education, both intellectual and ethical. Hence, the Philippine Judicial Academy (Philja) was established. Still in its infancy, the Philja, headed by retired SC Justice Ameurfina A. Melencio-Herrera, sponsors week-long seminars at its still-inadequate facilities in Tagaytay. It needs some P500 million to construct its physical plant and to upgrade its equipment to enable it to conduct year-long judicial courses, not just short seminars. I should add that, under the Philja charter (RA 8557), applicants for appointment or promotion to the judiciary must, before being screened by the JBC, satisfactorily pass a Philja pre-judicature course. This program will be implemented starting on January 1, 2001. After this date, no lawyer may become a judge or may be promoted without hurdling it.</w:t>
      </w:r>
    </w:p>
    <w:p w:rsidR="00000000" w:rsidDel="00000000" w:rsidP="00000000" w:rsidRDefault="00000000" w:rsidRPr="00000000" w14:paraId="000001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attract the best and the brightest and to encourage them to remain in the judicial service, judicial compensation must be rationalized. To be able to do this, the judiciary needs to be freed from the Salary Standardization Law, which was intended mainly for officers and employees of the executive department. In fact, there is need to accord the judiciary real fiscal independence. Such independence, envisioned by the Constitution, may be realized by granting the Supreme Court a lumpsum appropriation of a fixed percentage of the national budget to be allocated in detail, no longer by Congress, but by the Court itself.</w:t>
      </w:r>
    </w:p>
    <w:p w:rsidR="00000000" w:rsidDel="00000000" w:rsidP="00000000" w:rsidRDefault="00000000" w:rsidRPr="00000000" w14:paraId="000001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year 2000, the entire judiciary has been given a budget of only P6.28 billion plus, which translates to less than one percent of the total national budget totalling over P665 billion. And worse, the Supreme Court has to lobby yearly in Congress to be able to keep up with price increases due to inflation. Ideally, Congress should just automatically appropriate a lump sum constituting a fixed percentage of, say, two percent of the national budget and then let the High Tribunal allocate the amount to various services. In this manner, fiscal independence would be assured and judicial officials compensated properly.</w:t>
      </w:r>
    </w:p>
    <w:p w:rsidR="00000000" w:rsidDel="00000000" w:rsidP="00000000" w:rsidRDefault="00000000" w:rsidRPr="00000000" w14:paraId="000001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call for the exemption of the judiciary from the Salary Standardization Law has gained the support of several lawmakers, notably Senate President Franklin M. Drilon, a former secretary of justice; Senator Rene L. Cayetano, chair of the Senate Committee on Justice; and Deputy Speaker Erico B. Aumentado.'8</w:t>
      </w:r>
    </w:p>
    <w:p w:rsidR="00000000" w:rsidDel="00000000" w:rsidP="00000000" w:rsidRDefault="00000000" w:rsidRPr="00000000" w14:paraId="000001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there is the need to look into the judicial disciplinary process. During the last two years, the Supreme Court has dismissed more than forty judges for corruption, gross misconduct, dishonesty and other serious offenses. For lesser infractions, it has also suspended or fined judges twice that number. On the other hand, as debilitating to good judges as low compensation is an unduly long and strict disciplinary process, wherein both frivolous and meritorious</w:t>
      </w:r>
      <w:r w:rsidDel="00000000" w:rsidR="00000000" w:rsidRPr="00000000">
        <w:rPr>
          <w:rFonts w:ascii="Georgia" w:cs="Georgia" w:eastAsia="Georgia" w:hAnsi="Georgia"/>
          <w:sz w:val="22"/>
          <w:szCs w:val="22"/>
          <w:vertAlign w:val="superscript"/>
        </w:rPr>
        <w:footnoteReference w:customMarkFollows="0" w:id="15"/>
      </w:r>
      <w:r w:rsidDel="00000000" w:rsidR="00000000" w:rsidRPr="00000000">
        <w:rPr>
          <w:rFonts w:ascii="Georgia" w:cs="Georgia" w:eastAsia="Georgia" w:hAnsi="Georgia"/>
          <w:sz w:val="22"/>
          <w:szCs w:val="22"/>
          <w:rtl w:val="0"/>
        </w:rPr>
        <w:t xml:space="preserve"> complaints are treated alike; while the complaints pend, the respondent magistrates are ineligible for promotion or retirement benefits.</w:t>
      </w:r>
    </w:p>
    <w:p w:rsidR="00000000" w:rsidDel="00000000" w:rsidP="00000000" w:rsidRDefault="00000000" w:rsidRPr="00000000" w14:paraId="0000011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1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Judicial Tools, </w:t>
      </w:r>
    </w:p>
    <w:p w:rsidR="00000000" w:rsidDel="00000000" w:rsidP="00000000" w:rsidRDefault="00000000" w:rsidRPr="00000000" w14:paraId="0000011F">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Facilities and Personnel</w:t>
      </w:r>
    </w:p>
    <w:p w:rsidR="00000000" w:rsidDel="00000000" w:rsidP="00000000" w:rsidRDefault="00000000" w:rsidRPr="00000000" w14:paraId="000001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now discuss the upgrading of judicial tools, facilities and personnel as another means to deliver fair, objective and speedy justice. Even as the judiciary tries to adjust to the information age, it realizes that in many places in the country, courthouses are nonexistent and judges still hold hearings in squalid and sometimes subhuman surroundings. Hence, there is a need to hasten the construction of more Halls of Justice in the country. It may surprise you to know that the City of Manila has yet to build one.</w:t>
      </w:r>
    </w:p>
    <w:p w:rsidR="00000000" w:rsidDel="00000000" w:rsidP="00000000" w:rsidRDefault="00000000" w:rsidRPr="00000000" w14:paraId="000001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recognizes the need to use e-age tools and equipment to improve the quality and the speed of justice delivery. In my address before the Manila Overseas Press Club on March 10, 2000, I reported on the many information technology (IT) tools and facilities the Court has set up, and I will not reiterate them here. Suffice it to say for now that it has introduced the judiciary to the latest e-age technology, including the computerization of its administrative services and legal research, as well as the opening of an Internet</w:t>
      </w:r>
      <w:r w:rsidDel="00000000" w:rsidR="00000000" w:rsidRPr="00000000">
        <w:rPr>
          <w:rFonts w:ascii="Georgia" w:cs="Georgia" w:eastAsia="Georgia" w:hAnsi="Georgia"/>
          <w:sz w:val="22"/>
          <w:szCs w:val="22"/>
          <w:vertAlign w:val="superscript"/>
        </w:rPr>
        <w:footnoteReference w:customMarkFollows="0" w:id="16"/>
      </w:r>
      <w:r w:rsidDel="00000000" w:rsidR="00000000" w:rsidRPr="00000000">
        <w:rPr>
          <w:rFonts w:ascii="Georgia" w:cs="Georgia" w:eastAsia="Georgia" w:hAnsi="Georgia"/>
          <w:sz w:val="22"/>
          <w:szCs w:val="22"/>
          <w:rtl w:val="0"/>
        </w:rPr>
        <w:t xml:space="preserve"> homepage — www.supremecourt.gov.ph — where its latest decisions and actions may be accessed and downloaded. Poised for acquisition and distribution amongst trial courts nationwide within this year (2000) are 1,500 computers which, it is hoped, will connect our court system to the information highway.</w:t>
      </w:r>
    </w:p>
    <w:p w:rsidR="00000000" w:rsidDel="00000000" w:rsidP="00000000" w:rsidRDefault="00000000" w:rsidRPr="00000000" w14:paraId="000001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themselves, e-age judicial tools and facilities, however modern, cannot assure effective and speedy delivery of justice. We need to look after the men and the women who will use or operate them. There are more than 25,000 personnel in the judicial department who, under the Constitution, are supervised by the Supreme Court. But the Court is a collegial body whose main function is decision-making, not administration. Thus, the active day-to-day management of its system is discharged by the Office of the Court Administrator.</w:t>
      </w:r>
    </w:p>
    <w:p w:rsidR="00000000" w:rsidDel="00000000" w:rsidP="00000000" w:rsidRDefault="00000000" w:rsidRPr="00000000" w14:paraId="000001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such a large number of personnel spread all over the country, the task of management is indeed a formidable one. To this Office belongs the work of seeing to it that magistrates and other judicial officials perform their work efficiently, honestly, and within the allowable period. But many times it is headed by jurists who are recruited from the active service and then tasked to perform management or administrative jobs.</w:t>
      </w:r>
    </w:p>
    <w:p w:rsidR="00000000" w:rsidDel="00000000" w:rsidP="00000000" w:rsidRDefault="00000000" w:rsidRPr="00000000" w14:paraId="000001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 wall of difference, however, between judicial decision-making and management of people and resources. With some notable exceptions, eminent jurists do not necessarily make excellent administrators. Neither does excellence in management necessarily equate with eminence in juristic work. Usually, jurists are loners who reflect, contemplate and decide by themselves, while managers or administrators are team builders who work with and through other people.</w:t>
      </w:r>
    </w:p>
    <w:p w:rsidR="00000000" w:rsidDel="00000000" w:rsidP="00000000" w:rsidRDefault="00000000" w:rsidRPr="00000000" w14:paraId="000001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 law, management is a distinct discipline with its own science and art. And yet, court administrators and their deputies or assistants have traditionally been plucked from the ranks of career jurists, not from those of professional lawyers who are also managers. Hence, in this e-age of fast changing management tools and techniques, I believe it is time to review this policy of appointing career jurists to managerial posts and to make judicial administration a career in itself.</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Solutions to </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Systemic Problems</w:t>
      </w:r>
    </w:p>
    <w:p w:rsidR="00000000" w:rsidDel="00000000" w:rsidP="00000000" w:rsidRDefault="00000000" w:rsidRPr="00000000" w14:paraId="000001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Addressing the need for limiting the inflow of new cases and hastening the proceedings in those that are pending in the system, I will now dwell on solutions to systemic problems, They are summarized as follows:</w:t>
      </w:r>
    </w:p>
    <w:p w:rsidR="00000000" w:rsidDel="00000000" w:rsidP="00000000" w:rsidRDefault="00000000" w:rsidRPr="00000000" w14:paraId="000001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extensive use of alternative dispute resolution (ADR) mechanisms, such as negotiation, conciliation, mediation and arbitration. While judicial actions are not ruled out, parties should initially be encouraged to explore these ADRs to solve their problems, especially commercial law disputes.</w:t>
      </w:r>
    </w:p>
    <w:p w:rsidR="00000000" w:rsidDel="00000000" w:rsidP="00000000" w:rsidRDefault="00000000" w:rsidRPr="00000000" w14:paraId="000001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extensive use of “discovery” mechanisms, especially the availment of pretrial and fact-finding procedures such as depositions, interrogatories, admissions of adverse parties, and production or inspection of documents prior to trial. Additionally, lower courts should be encouraged and trained to actively settle cases prior to actual trial. Many times however, pretrial is only perfunctorily resorted to. Presiding judges have not taken advantage of this opportunity to proactively encourage early settlement of disputes.</w:t>
      </w:r>
    </w:p>
    <w:p w:rsidR="00000000" w:rsidDel="00000000" w:rsidP="00000000" w:rsidRDefault="00000000" w:rsidRPr="00000000" w14:paraId="000001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creation of small claims courts that will handle cases in which the amount involved is less than P50,000. This will greatly relieve the dockets of trial courts.</w:t>
      </w:r>
    </w:p>
    <w:p w:rsidR="00000000" w:rsidDel="00000000" w:rsidP="00000000" w:rsidRDefault="00000000" w:rsidRPr="00000000" w14:paraId="000001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A more vigorous implementation of the system of mandatory continuous trial to last for 60 days at most, and judgment to be rendered within 30 days from submission of the case for resolution.</w:t>
      </w:r>
    </w:p>
    <w:p w:rsidR="00000000" w:rsidDel="00000000" w:rsidP="00000000" w:rsidRDefault="00000000" w:rsidRPr="00000000" w14:paraId="000001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Decriminalization of bouncing checks. There are other ways of collecting debts represented by bad checks, like the refusal of banks to open checking accounts for people who consistently issue checks without sufficient deposits.</w:t>
      </w:r>
    </w:p>
    <w:p w:rsidR="00000000" w:rsidDel="00000000" w:rsidP="00000000" w:rsidRDefault="00000000" w:rsidRPr="00000000" w14:paraId="000001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The filtering of appeals of capital offenses through the Court of Appeals. This measure will enable the Supreme Court to devote more time to the search for and the formulation of doctrines and principles that may, in turn, be used by lower courts i) resolving specific disputes. The duty of the Supreme Court is not so much to adjudicate specific cases as to teach and to open new vistas that may guide lower courts in deciding specific controversies. Indeed, the US Supreme Court is given absolute discretion in selecting which cases to decide and rejecting those it regards as frivolous, especially those in which the lower courts have decided the litigations in accordance with doctrines and jurisprudence it had laid down.</w:t>
      </w:r>
    </w:p>
    <w:p w:rsidR="00000000" w:rsidDel="00000000" w:rsidP="00000000" w:rsidRDefault="00000000" w:rsidRPr="00000000" w14:paraId="000001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Proactive management of court procedures and trials, so as to minimize delays. While the Constitution has set time limits for the disposition of cases — 24 months for the Supreme Court, 12 months for the appellate courts, and 3 months for all other courts — such limits are counted from the date individual cases are submitted for decision. Problematic delays nonetheless occur from the time a case is filed up to the time it is submitted for decision. It is during this interregnum that deferments can be obnoxious. Here, the vigilance of parties is especially needed. Along this line, a proposal to require parties to prepare draft memorandum orders, to be submitted with their motions and other pleadings, is being looked into.</w:t>
      </w:r>
    </w:p>
    <w:p w:rsidR="00000000" w:rsidDel="00000000" w:rsidP="00000000" w:rsidRDefault="00000000" w:rsidRPr="00000000" w14:paraId="000001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Updating our Rules of Court to meet the challenges of paperless pleadings and other e-age technologies, as well as to eliminate the bottlenecks caused by overzealous lawyers and overbearing parties without, of course, violating due process requirements. The Supreme Court’s standing Committee on the Revision of the Rules” is actively at work in addressing these concerns.</w:t>
      </w:r>
    </w:p>
    <w:p w:rsidR="00000000" w:rsidDel="00000000" w:rsidP="00000000" w:rsidRDefault="00000000" w:rsidRPr="00000000" w14:paraId="000001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Organization of Bantay Katarungan or “Sentinel of Justice” by the private sector led by former Senate President Jovito R. Salonga and former Justice</w:t>
      </w:r>
      <w:r w:rsidDel="00000000" w:rsidR="00000000" w:rsidRPr="00000000">
        <w:rPr>
          <w:rFonts w:ascii="Georgia" w:cs="Georgia" w:eastAsia="Georgia" w:hAnsi="Georgia"/>
          <w:sz w:val="22"/>
          <w:szCs w:val="22"/>
          <w:vertAlign w:val="superscript"/>
        </w:rPr>
        <w:footnoteReference w:customMarkFollows="0" w:id="17"/>
      </w:r>
      <w:r w:rsidDel="00000000" w:rsidR="00000000" w:rsidRPr="00000000">
        <w:rPr>
          <w:rFonts w:ascii="Georgia" w:cs="Georgia" w:eastAsia="Georgia" w:hAnsi="Georgia"/>
          <w:sz w:val="22"/>
          <w:szCs w:val="22"/>
          <w:rtl w:val="0"/>
        </w:rPr>
        <w:t xml:space="preserve"> Secretary Sedfrey A. Ordonez. As its name implies, this organization aims to be a counterpart private sector effort to cleanse the judiciary of misfits and to report specific areas of reform. Of course, there is also the Foundation for Judicial Excellence headed by retired Justice Jose Y. Feria, which annually recognizes and awards outstanding judges, prosecutors and public attorneys.</w:t>
      </w:r>
    </w:p>
    <w:p w:rsidR="00000000" w:rsidDel="00000000" w:rsidP="00000000" w:rsidRDefault="00000000" w:rsidRPr="00000000" w14:paraId="000001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10. The Judicial Reforms Committee of the Philippine Judicial Academy. Established by the Supreme Court — at my instance — on July 14, 1997, the Committee is mandated to conduct “an in-depth examination of our present legal and judicial system for the purpose of upgrading, improving and reforming it to meet the changes in and the challenges of the new millennium.” And, relevantly, I should add that the Committee has submitted a number of proposals and is still at work on many others.</w:t>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Common Denominator: </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Transparency and Accountability</w:t>
      </w:r>
    </w:p>
    <w:p w:rsidR="00000000" w:rsidDel="00000000" w:rsidP="00000000" w:rsidRDefault="00000000" w:rsidRPr="00000000" w14:paraId="000001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far, I have given an overview of the causes of judicial delay and, more important, the solutions to these maladies. There is a common denominator that \Wwiderlies solutions to the problem of delayed justice, ii that denominator is the policy of transparency and accountability in the judicial system.</w:t>
      </w:r>
    </w:p>
    <w:p w:rsidR="00000000" w:rsidDel="00000000" w:rsidP="00000000" w:rsidRDefault="00000000" w:rsidRPr="00000000" w14:paraId="000001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there are certain aspects of judicial work, like the internal deliberations in collegial courts, that Niet be done with utmost confidentiality. I believe, however, that enabling our people to know and understand the many facets of the judiciary and, as 4 Matter of broad policy, opening some heretofore sacrosanct areas to public scrutiny can contribute to the goal of swift, fair and impartial justice. The light of public information should brighten dark areas of misunderstanding and delay. In this manner, judges and judicial personnel will know that their actions must not only be pure, but must appear to be pure. And the public, particularly litigants, will understand the individual and collective efforts of the members of the judicial branch to meet public expectations and perform their tasks steadfastly. The public will thus see and understand their relentless search for truth and their effort to effect speedy delivery of justice according to the demands of the facts, the law, and the core values of civilized society.</w:t>
      </w:r>
    </w:p>
    <w:p w:rsidR="00000000" w:rsidDel="00000000" w:rsidP="00000000" w:rsidRDefault="00000000" w:rsidRPr="00000000" w14:paraId="000001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new policy of judicial transparency contained in the “Davide Watch” has caught the attention of various international and bilateral agencies, particularly the United Nations Development Program, World Bank, Australian AID, USAID, JICA, ADB, The Asia Foundation, CIDA and others. I must add that in the name of judicial reform, the Supreme Court has taken steps to achieve some consensus on goals, strategies and prioritizations. These steps include innumerable consultations, seminars and workshops with media, nongovernment groups, and affected government sectors.</w:t>
      </w:r>
    </w:p>
    <w:p w:rsidR="00000000" w:rsidDel="00000000" w:rsidP="00000000" w:rsidRDefault="00000000" w:rsidRPr="00000000" w14:paraId="000001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general public, particularly the media, has taken notice of this new policy. I was particularly elated at the enthusiastic reception given by the Manila Overseas Press Club to my speech entitled “Microchips, Modems and Media Invade Mount Olympus,” in which I outlined the High Court's effort to interact with its various publics. Regardless of the daunting challenges before it, the Supreme</w:t>
      </w:r>
      <w:r w:rsidDel="00000000" w:rsidR="00000000" w:rsidRPr="00000000">
        <w:rPr>
          <w:rFonts w:ascii="Georgia" w:cs="Georgia" w:eastAsia="Georgia" w:hAnsi="Georgia"/>
          <w:sz w:val="22"/>
          <w:szCs w:val="22"/>
          <w:vertAlign w:val="superscript"/>
          <w:rtl w:val="0"/>
        </w:rPr>
        <w:t xml:space="preserve"> </w:t>
      </w:r>
      <w:r w:rsidDel="00000000" w:rsidR="00000000" w:rsidRPr="00000000">
        <w:rPr>
          <w:rFonts w:ascii="Georgia" w:cs="Georgia" w:eastAsia="Georgia" w:hAnsi="Georgia"/>
          <w:sz w:val="22"/>
          <w:szCs w:val="22"/>
          <w:rtl w:val="0"/>
        </w:rPr>
        <w:t xml:space="preserve">Court has the will and the determination to be victorious in the battle for swift, fair and transparent justice in our country.</w:t>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2</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Judicial Reform Is Also </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Business of Business</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Ric Pascua, vice president of MAP (Management Association of the Philippines) as well as chairman of its Program and Attendance Committee, for inviting me to a reunion with the leaders of business and management in this country. I met Ric and his loving wife Rizza in Hongkong more than ten years ago; no, not in his capacity as a top executive of the First Pacific Group, although indeed he was one, but as a leader of the Catholic charismatic community Bukas Loob sa Diyos, which at the time was growing its roots in the former British Crown Colony. Since then, he has moved to even loftier corporate heights. But what I admire in him are not really the many possessions that money</w:t>
      </w:r>
      <w:r w:rsidDel="00000000" w:rsidR="00000000" w:rsidRPr="00000000">
        <w:rPr>
          <w:rFonts w:ascii="Georgia" w:cs="Georgia" w:eastAsia="Georgia" w:hAnsi="Georgia"/>
          <w:sz w:val="22"/>
          <w:szCs w:val="22"/>
          <w:vertAlign w:val="superscript"/>
        </w:rPr>
        <w:footnoteReference w:customMarkFollows="0" w:id="18"/>
      </w:r>
      <w:r w:rsidDel="00000000" w:rsidR="00000000" w:rsidRPr="00000000">
        <w:rPr>
          <w:rFonts w:ascii="Georgia" w:cs="Georgia" w:eastAsia="Georgia" w:hAnsi="Georgia"/>
          <w:sz w:val="22"/>
          <w:szCs w:val="22"/>
          <w:rtl w:val="0"/>
        </w:rPr>
        <w:t xml:space="preserve"> has brought him, like his houses in exclusive enclaves, his German-engineered cars or his memberships in elite golf clubs. Rather, what I truly esteem in him are the many more things he enjoys which money could not have bought, like a happy marriage, a happy family, a happy reliance on his capacity to succeed, and most importantly, a happy faith in God as the ultimate source of his success.</w:t>
      </w:r>
    </w:p>
    <w:p w:rsidR="00000000" w:rsidDel="00000000" w:rsidP="00000000" w:rsidRDefault="00000000" w:rsidRPr="00000000" w14:paraId="000001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also greet Johnny Santos (a top executive of Nestle in Asia), president of MAP who was proclaimed its “Management Man of the Year 1994” during my term as MAP governor and chair of the committee in charge of the award. I remember how Johnny was chosen over several other equally deserving nominees, two of whom were well-known tycoons. But what swung the vote to him was the fact that he had made management the career center of his life, not just a means to accumulate entrepreneurial gains.</w:t>
      </w:r>
    </w:p>
    <w:p w:rsidR="00000000" w:rsidDel="00000000" w:rsidP="00000000" w:rsidRDefault="00000000" w:rsidRPr="00000000" w14:paraId="0000014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2">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 Happy Reunion </w:t>
      </w:r>
    </w:p>
    <w:p w:rsidR="00000000" w:rsidDel="00000000" w:rsidP="00000000" w:rsidRDefault="00000000" w:rsidRPr="00000000" w14:paraId="0000014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and an Apology</w:t>
      </w:r>
    </w:p>
    <w:p w:rsidR="00000000" w:rsidDel="00000000" w:rsidP="00000000" w:rsidRDefault="00000000" w:rsidRPr="00000000" w14:paraId="000001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 am honored to have a reunion with all you dear MAPers, many of whom I had not seen or talked with since I resigned from our association and from all my business and professional involvements upon my appointment to the Supreme Court five years ago. You see, members of the Court, by tradition and practice, are entombed in judicial cloisters to shield them from the importunings of litigants and their lawyers.</w:t>
      </w:r>
    </w:p>
    <w:p w:rsidR="00000000" w:rsidDel="00000000" w:rsidP="00000000" w:rsidRDefault="00000000" w:rsidRPr="00000000" w14:paraId="000001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of you, my friends, must be disappointed with me — a burden I must bear — because I refuse to receive visitors and telephone calls and shun any conversation regarding my work especially pending cases. I now take this occasion to apologize to all those who may have been offended by this practice. But please take comfort in the thought that, to deserve public trust and confidence, jurists must not only be impartial, but must also appear to be so in the public view. Hence, the better rule is to avoid unnecessary occasions for public suspicion about their integrity and objectivity.</w:t>
      </w:r>
    </w:p>
    <w:p w:rsidR="00000000" w:rsidDel="00000000" w:rsidP="00000000" w:rsidRDefault="00000000" w:rsidRPr="00000000" w14:paraId="000001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today I will discuss three related topics:</w:t>
      </w:r>
    </w:p>
    <w:p w:rsidR="00000000" w:rsidDel="00000000" w:rsidP="00000000" w:rsidRDefault="00000000" w:rsidRPr="00000000" w14:paraId="000001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What are the main complaints against the judiciary?</w:t>
      </w:r>
    </w:p>
    <w:p w:rsidR="00000000" w:rsidDel="00000000" w:rsidP="00000000" w:rsidRDefault="00000000" w:rsidRPr="00000000" w14:paraId="000001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What solutions or reforms would address them?</w:t>
      </w:r>
    </w:p>
    <w:p w:rsidR="00000000" w:rsidDel="00000000" w:rsidP="00000000" w:rsidRDefault="00000000" w:rsidRPr="00000000" w14:paraId="000001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What can the business community, particularly MAP members, do to help reform our judicial system?</w:t>
      </w:r>
    </w:p>
    <w:p w:rsidR="00000000" w:rsidDel="00000000" w:rsidP="00000000" w:rsidRDefault="00000000" w:rsidRPr="00000000" w14:paraId="0000014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4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Main Complaints </w:t>
      </w:r>
    </w:p>
    <w:p w:rsidR="00000000" w:rsidDel="00000000" w:rsidP="00000000" w:rsidRDefault="00000000" w:rsidRPr="00000000" w14:paraId="0000014C">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Against the Judiciary</w:t>
      </w:r>
    </w:p>
    <w:p w:rsidR="00000000" w:rsidDel="00000000" w:rsidP="00000000" w:rsidRDefault="00000000" w:rsidRPr="00000000" w14:paraId="000001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what are the main complaints against the judiciary? Let me answer this question by relating three incidents in the life of Hukom Juan Suplado.</w:t>
      </w:r>
    </w:p>
    <w:p w:rsidR="00000000" w:rsidDel="00000000" w:rsidP="00000000" w:rsidRDefault="00000000" w:rsidRPr="00000000" w14:paraId="000001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early morning while our hukom was having breakfast at home, a lawyer with a multi-billion case visited him. “Why are you here? Don’t you know it is unethical to talk with a judge about a pending case outside the courtroom and in the absence of the opposing lawyers?” the judge intoned.</w:t>
      </w:r>
    </w:p>
    <w:p w:rsidR="00000000" w:rsidDel="00000000" w:rsidP="00000000" w:rsidRDefault="00000000" w:rsidRPr="00000000" w14:paraId="000001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Your Honor, I did not come to speak with you about my case. But if you will look outside your window, you will see a sparkling new Mercedes Benz parked on your driveway,” the lawyer explained. “That is worse; you have come to bribe me!” the magistrate exclaimed. “No again, Your Honor. I am not giving you the car. I am selling it to you,” was the firm reply.</w:t>
      </w:r>
    </w:p>
    <w:p w:rsidR="00000000" w:rsidDel="00000000" w:rsidP="00000000" w:rsidRDefault="00000000" w:rsidRPr="00000000" w14:paraId="000001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how much is the car?” His Honor asked. “One thousand pesos,” the smart attorney matter-offactly answered.</w:t>
      </w:r>
    </w:p>
    <w:p w:rsidR="00000000" w:rsidDel="00000000" w:rsidP="00000000" w:rsidRDefault="00000000" w:rsidRPr="00000000" w14:paraId="000001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that case,” Hukom Suplado said, “I will buy two!”</w:t>
      </w:r>
    </w:p>
    <w:p w:rsidR="00000000" w:rsidDel="00000000" w:rsidP="00000000" w:rsidRDefault="00000000" w:rsidRPr="00000000" w14:paraId="000001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Later that morning, the judge conducted a hearing. Being examined was a witness who did not speak English; hence, the questions and the answers had to be translated by the court interpreter. The witness was asked by his counsel: “When you reached the place where the killing took place, what did you saw?” The question was translated by the interpreter: “Ang tanong ng abogado ay: noong dumating kayo sa pinangyarihan ng patayan, ano ang nilagari ninyo?”</w:t>
      </w:r>
    </w:p>
    <w:p w:rsidR="00000000" w:rsidDel="00000000" w:rsidP="00000000" w:rsidRDefault="00000000" w:rsidRPr="00000000" w14:paraId="000001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judge was irritated at the wrong translation, so he corrected it by saying, “Ang tanong ay ganito: nang dumating kayo sa pinangyarihan ng patayan, ano ang tinahi ninyo?”</w:t>
      </w:r>
    </w:p>
    <w:p w:rsidR="00000000" w:rsidDel="00000000" w:rsidP="00000000" w:rsidRDefault="00000000" w:rsidRPr="00000000" w14:paraId="000001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hearing the murder case, Hukom Suplado moved on to a civil matter involving two women who claimed to be the mother of the same infant boy. When the father of a child cannot be determined, that is normal. But when two women claim to be the mother of the same infant, that is unusual. It is reminiscent of the problem brought to the great, wise King Solomon.</w:t>
      </w:r>
    </w:p>
    <w:p w:rsidR="00000000" w:rsidDel="00000000" w:rsidP="00000000" w:rsidRDefault="00000000" w:rsidRPr="00000000" w14:paraId="000001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the case was called for hearing, the judge asked the two claimants to stand up. However, nobody responded. In his irritation, the judge banged his gavel and boomed: “I am ordering the parties in this case to stand up and approach the bench.”</w:t>
      </w:r>
    </w:p>
    <w:p w:rsidR="00000000" w:rsidDel="00000000" w:rsidP="00000000" w:rsidRDefault="00000000" w:rsidRPr="00000000" w14:paraId="000001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Slowly, an old man of about 75 years with white hair and a frail body limped towards His Honor. The judge was more irritated. “Hindi po kayo, Lolo. Ang tinatawag ko ay iyong dalawang babae na partido dito sa kaso.” (“Not you, Grandpa. I am calling the two women who are the parties to this case.”)</w:t>
      </w:r>
    </w:p>
    <w:p w:rsidR="00000000" w:rsidDel="00000000" w:rsidP="00000000" w:rsidRDefault="00000000" w:rsidRPr="00000000" w14:paraId="000001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 old man did not mind the judge and continued walking towards the bench. When he was near enough, he said, “Kagalanggalang na hukom, patay na po ang dalawang babae. Ngunit partido din po ako rito. Ako po iyong sanggol na pinag-aawayan nila!” (“Your Honor, the two women are now dead. But I am also a party to this case. I was the baby they were fighting over!”)</w:t>
      </w:r>
    </w:p>
    <w:p w:rsidR="00000000" w:rsidDel="00000000" w:rsidP="00000000" w:rsidRDefault="00000000" w:rsidRPr="00000000" w14:paraId="000001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these three apocryphal incidents in the life of Hukom Juan Suplado may be funny, but they illustrate the three most common complaints against the judiciary: corruption, incompetence and delay — or CID — in the delivery of justice.</w:t>
      </w:r>
    </w:p>
    <w:p w:rsidR="00000000" w:rsidDel="00000000" w:rsidP="00000000" w:rsidRDefault="00000000" w:rsidRPr="00000000" w14:paraId="000001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Corruption takes many forms — not just direct bribery but the many varieties of witchcraft, indecent proposals, and bedeviling temptations brought about by three “ships” that plague public service; namely, friendship, relationship and kinship. In a recent Report entitled “Combating Corruption in the Philippines,” the World Bank said, “Corruption is also perceived to be a problem in the judiciary. In a Social Weather Stations survey released in February 2000, 62 percent of respondents believed that there were significant levels of corruption within the judiciary; 65 percent of the respondents believed that ‘many’ or ‘most’ lawyers could be bribed, while 57 percent thought the same about judges.”</w:t>
      </w:r>
    </w:p>
    <w:p w:rsidR="00000000" w:rsidDel="00000000" w:rsidP="00000000" w:rsidRDefault="00000000" w:rsidRPr="00000000" w14:paraId="000001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Incompetence ranges from poor command of language to utter lack of knowledge of elementary law. Delay, on the other hand, is the result not only of antiquated legal procedures, but even of the bestcrafted rules that are misused and abused by litigants and lawyers who hope to win their cases by confusing, outwitting or bankrupting their opponents.</w:t>
      </w:r>
    </w:p>
    <w:p w:rsidR="00000000" w:rsidDel="00000000" w:rsidP="00000000" w:rsidRDefault="00000000" w:rsidRPr="00000000" w14:paraId="000001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problems of the judiciary have alarmed not only the Supreme Court, but all people who have a stake in good governance, and that means everyone including MAP. In fact, even developmental and international organizations like the World Bank,' the United Nations Development Program (UNDP), USAID, Australian AID, Canadian AID, ADB, the Asia Foundation, JICA and others have offered to help reform the judiciary.</w:t>
      </w:r>
    </w:p>
    <w:p w:rsidR="00000000" w:rsidDel="00000000" w:rsidP="00000000" w:rsidRDefault="00000000" w:rsidRPr="00000000" w14:paraId="0000015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5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Judicial Reforms</w:t>
      </w:r>
    </w:p>
    <w:p w:rsidR="00000000" w:rsidDel="00000000" w:rsidP="00000000" w:rsidRDefault="00000000" w:rsidRPr="00000000" w14:paraId="000001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take up our second topic, the solutions initiated by the Supreme Court to address these problems. They revolve around the judges themselves, their judicial tools and their working environments. The High Court will be celebrating its 100" year on June 11, 2001. The Centenary Executive Committee, which I have been asked to chair, has</w:t>
      </w:r>
      <w:r w:rsidDel="00000000" w:rsidR="00000000" w:rsidRPr="00000000">
        <w:rPr>
          <w:rFonts w:ascii="Georgia" w:cs="Georgia" w:eastAsia="Georgia" w:hAnsi="Georgia"/>
          <w:sz w:val="22"/>
          <w:szCs w:val="22"/>
          <w:vertAlign w:val="superscript"/>
        </w:rPr>
        <w:footnoteReference w:customMarkFollows="0" w:id="19"/>
      </w:r>
      <w:r w:rsidDel="00000000" w:rsidR="00000000" w:rsidRPr="00000000">
        <w:rPr>
          <w:rFonts w:ascii="Georgia" w:cs="Georgia" w:eastAsia="Georgia" w:hAnsi="Georgia"/>
          <w:sz w:val="22"/>
          <w:szCs w:val="22"/>
          <w:rtl w:val="0"/>
        </w:rPr>
        <w:t xml:space="preserve"> planned a year-long program to focus on these reforms, both ongoing and planned.</w:t>
      </w:r>
    </w:p>
    <w:p w:rsidR="00000000" w:rsidDel="00000000" w:rsidP="00000000" w:rsidRDefault="00000000" w:rsidRPr="00000000" w14:paraId="0000015F">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60">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1. Upgrading Law Schools</w:t>
      </w:r>
    </w:p>
    <w:p w:rsidR="00000000" w:rsidDel="00000000" w:rsidP="00000000" w:rsidRDefault="00000000" w:rsidRPr="00000000" w14:paraId="000001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Judicial reforms should start with the judges themselves, their education, their aptitude for the minutiae of decision-making, and their ethical character. Thus, changes must begin with the upgrading of law schools, both intellectually and ethically. To improve their curricula and standards, the Court created a Committee on Legal Education, and Congress passed a new law transferring their supervision from the Commission on Higher Education or CHED to the more focused Board of Legal Education.</w:t>
      </w:r>
    </w:p>
    <w:p w:rsidR="00000000" w:rsidDel="00000000" w:rsidP="00000000" w:rsidRDefault="00000000" w:rsidRPr="00000000" w14:paraId="000001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government supervision alone would not be able to address the problem of lack of funds to recruit and properly pay competent professors or to grant scholarships to poor but deserving law students. Hence, the SC Centenary Executive Committee asked the help of outstanding legal practitioners led by Atty. Ricardo J. Romulo, a MAP member; and Atty. Arthur), Lim, president of the Integrated Bar of the Philippines. They responded by organizing the Foundation for the Enhancement of Legal Education, which will offer amply endowed faculty chairs and scholarships. To address problems in bar examinations, the Court created a Study Group on Bar Reforms made up of retired justices who shall recommend changes in the criteria for the admission of new lawyers.</w:t>
      </w:r>
    </w:p>
    <w:p w:rsidR="00000000" w:rsidDel="00000000" w:rsidP="00000000" w:rsidRDefault="00000000" w:rsidRPr="00000000" w14:paraId="00000163">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2. Reforming the System of Recruitment of Magistrates</w:t>
      </w:r>
    </w:p>
    <w:p w:rsidR="00000000" w:rsidDel="00000000" w:rsidP="00000000" w:rsidRDefault="00000000" w:rsidRPr="00000000" w14:paraId="000001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Constitution, the President of the Philippines may appoint new magistrates only from a list of recommendees of the Judicial and Bar Council (JBC), a constitutional agency chaired by the Chief Justice and with the following as members: the secretary of justice (vice chair), a senator and a congressman’ and four others appointed by the President.* The selection process for new judges has been restricted further by a new law, RA 8557. Under this law, applicants for appointment to or promotion in the judiciary must, prior to screening by the JBC, pass a pre-judicature course given by the Philippine Judicial Academy. This requirement will assure that only the competent, and we hope ethical, will land judicial jobs. </w:t>
      </w:r>
    </w:p>
    <w:p w:rsidR="00000000" w:rsidDel="00000000" w:rsidP="00000000" w:rsidRDefault="00000000" w:rsidRPr="00000000" w14:paraId="000001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education should not be limited to aspiring magistrates. Those already in the service need continuing education too; they must be updated on new laws and judicial doctrines and, equally important, reminded of ethical standards. Thus, the Supreme Court organized the Philippine Judicial Academy or Philja a few years ago to answer the need for continuing judicial education.’ Philja requires at least P500 million to build in Tagaytay its physical plant and facilities on a three-hectare property, which was granted to the Court during the term of President Fidel V. Ramos through the spade work of then Presidential Legal Counsel Antonio T. Carpio.</w:t>
      </w:r>
    </w:p>
    <w:p w:rsidR="00000000" w:rsidDel="00000000" w:rsidP="00000000" w:rsidRDefault="00000000" w:rsidRPr="00000000" w14:paraId="0000016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7">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3. Rationalizing Judicial Compensation</w:t>
      </w:r>
    </w:p>
    <w:p w:rsidR="00000000" w:rsidDel="00000000" w:rsidP="00000000" w:rsidRDefault="00000000" w:rsidRPr="00000000" w14:paraId="000001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Uplifting legal and judicial education is not enough; the judiciary must be able to attract and retain in its ranks the best and brightest lawyers by amply compensating them. At present, about one third of all positions in trial courts are vacant. Many qualified lawyers refuse to vie for appointments, mainly because of inadequate judicial compensation. Regional trial court judges are currently paid P24,127 monthly salaries; Court of Appeals and Sandiganbayan magistrates, P27,500; and Supreme Court justices, P38,500. New associates in big Makati law firms get more than these. Indeed, judicial compensation must be rationalized. For this to happen, the judiciary needs two things from the legislature: first, real fiscal independence; second, exemption from the Salary Standardization Law.</w:t>
      </w:r>
    </w:p>
    <w:p w:rsidR="00000000" w:rsidDel="00000000" w:rsidP="00000000" w:rsidRDefault="00000000" w:rsidRPr="00000000" w14:paraId="000001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the Constitution accords fiscal independence to the judiciary, in actual practice the latter still depends on the political branches of government for its budget. For the year 2000, it has been given a budget of only P6.28 billion, which</w:t>
      </w:r>
      <w:r w:rsidDel="00000000" w:rsidR="00000000" w:rsidRPr="00000000">
        <w:rPr>
          <w:rFonts w:ascii="Georgia" w:cs="Georgia" w:eastAsia="Georgia" w:hAnsi="Georgia"/>
          <w:sz w:val="22"/>
          <w:szCs w:val="22"/>
          <w:vertAlign w:val="superscript"/>
        </w:rPr>
        <w:footnoteReference w:customMarkFollows="0" w:id="20"/>
      </w:r>
      <w:r w:rsidDel="00000000" w:rsidR="00000000" w:rsidRPr="00000000">
        <w:rPr>
          <w:rFonts w:ascii="Georgia" w:cs="Georgia" w:eastAsia="Georgia" w:hAnsi="Georgia"/>
          <w:sz w:val="22"/>
          <w:szCs w:val="22"/>
          <w:vertAlign w:val="superscript"/>
        </w:rPr>
        <w:footnoteReference w:customMarkFollows="0" w:id="21"/>
      </w:r>
      <w:r w:rsidDel="00000000" w:rsidR="00000000" w:rsidRPr="00000000">
        <w:rPr>
          <w:rFonts w:ascii="Georgia" w:cs="Georgia" w:eastAsia="Georgia" w:hAnsi="Georgia"/>
          <w:sz w:val="22"/>
          <w:szCs w:val="22"/>
          <w:rtl w:val="0"/>
        </w:rPr>
        <w:t xml:space="preserve"> translates to less than one percent of the total national budget totaling over P665 billion. And worse, the Supreme Court has to lobby yearly in Congress to be able to keep up with inflation. Ideally, Congress should just automatically appropriate a lump sum constituting a fixed percentage — say, two percent of the national budget — and then let the High Tribunal allocate the amount to various services. In this manner, fiscal independence would be assured and judicial officials paid properly.</w:t>
      </w:r>
    </w:p>
    <w:p w:rsidR="00000000" w:rsidDel="00000000" w:rsidP="00000000" w:rsidRDefault="00000000" w:rsidRPr="00000000" w14:paraId="0000016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B">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4. Improving the Judicial Disciplinary Process</w:t>
      </w:r>
    </w:p>
    <w:p w:rsidR="00000000" w:rsidDel="00000000" w:rsidP="00000000" w:rsidRDefault="00000000" w:rsidRPr="00000000" w14:paraId="000001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there is the need to look into the judicial disciplinary process. During the last two years, the Supreme Court has dismissed more than forty judges on grounds of corruption, gross misconduct, dishonesty and other serious offenses. It has also suspended or fined judges twice that number for lesser infractions. On the other hand, as debilitating to good judges as low compensation is an unduly long and strict disciplinary process, wherein both frivolous and meritorious complaints are treated alike; while a complaint pends, the respondent magistrate is ineligible for promotion or retirement benefits.</w:t>
      </w:r>
    </w:p>
    <w:p w:rsidR="00000000" w:rsidDel="00000000" w:rsidP="00000000" w:rsidRDefault="00000000" w:rsidRPr="00000000" w14:paraId="0000016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6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Judicial Tools </w:t>
      </w:r>
    </w:p>
    <w:p w:rsidR="00000000" w:rsidDel="00000000" w:rsidP="00000000" w:rsidRDefault="00000000" w:rsidRPr="00000000" w14:paraId="0000016F">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and Facilities</w:t>
      </w:r>
    </w:p>
    <w:p w:rsidR="00000000" w:rsidDel="00000000" w:rsidP="00000000" w:rsidRDefault="00000000" w:rsidRPr="00000000" w14:paraId="000001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judicial tools and facilities. As top executives, members of the MAP know that the selection of efficient, ethical and properly compensated managers is just one of the components of a good organization. The men must be provided with another “m” — machines or tools to enable them to perform their work effectively. And so it is with the judiciary. Those of you who have attended trials must have chuckled at our squalid, unsanitary and sometimes subhuman courtrooms. Trials are held in small, packed, humid and undignified salas. Hence, the construction of decent and reasonably dignified Halls of Justice is being hastened.</w:t>
      </w:r>
    </w:p>
    <w:p w:rsidR="00000000" w:rsidDel="00000000" w:rsidP="00000000" w:rsidRDefault="00000000" w:rsidRPr="00000000" w14:paraId="000001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Conscious of the advent of new information technology, the Supreme Court has started to introduce e-age research and administrative systems. It hopes to purchase and distribute to all regional trial courts nationwide 1,500 new computers, complete with research software wherein Supreme Court Decisions from 1901 to the present are encoded. It is hoped that these facilities will enable lower court judges to buttress their judgments with legal scholarship. The High Court has also opened an Internet homepage — www.supremecourt.gov.ph — through which its latest decisions and actions may be accessed.</w:t>
      </w:r>
    </w:p>
    <w:p w:rsidR="00000000" w:rsidDel="00000000" w:rsidP="00000000" w:rsidRDefault="00000000" w:rsidRPr="00000000" w14:paraId="000001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themselves, e-age judicial tools and facilities, however modern, cannot assure effective and speedy delivery of justice. We need to manage properly the men and the women who use or operate them.</w:t>
      </w:r>
    </w:p>
    <w:p w:rsidR="00000000" w:rsidDel="00000000" w:rsidP="00000000" w:rsidRDefault="00000000" w:rsidRPr="00000000" w14:paraId="000001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25,000 judicial personnel spread all over the country, the task of management is a formidable one. To the Office of the Court Administrator belongs the responsibility of seeing to it that judicial officials perform their work efficiently, honestly, and within the allowable period. Many times, however, this Office is headed by jurists who are recruited from the active service and then tasked to perform management or administrative jobs.</w:t>
      </w:r>
    </w:p>
    <w:p w:rsidR="00000000" w:rsidDel="00000000" w:rsidP="00000000" w:rsidRDefault="00000000" w:rsidRPr="00000000" w14:paraId="000001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a wall of difference, however, between judicial decision-making and the management of people and resources. With some notable exceptions, eminent jurists do not necessarily make excellent administrators. Neither does excellence in management necessarily equate with eminence in juristic work. Usually, jurists are loners who reflect, contemplate and decide by themselves, while managers or administrators are team builders who work with and through other people.</w:t>
      </w:r>
    </w:p>
    <w:p w:rsidR="00000000" w:rsidDel="00000000" w:rsidP="00000000" w:rsidRDefault="00000000" w:rsidRPr="00000000" w14:paraId="000001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very well know, management is a distinct discipline with its own science and art. And yet, court administrators and their deputies or assistants have traditionally been plucked from the ranks of career jurists, not from those of professional lawyers who are also managers. In this e-age of fast changing management tools and techniques, I believe it is time to review this policy of appointing career jurists to managerial posts and to make judicial administration a career in itself.</w:t>
      </w:r>
    </w:p>
    <w:p w:rsidR="00000000" w:rsidDel="00000000" w:rsidP="00000000" w:rsidRDefault="00000000" w:rsidRPr="00000000" w14:paraId="00000176">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77">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Reforms in the </w:t>
      </w:r>
    </w:p>
    <w:p w:rsidR="00000000" w:rsidDel="00000000" w:rsidP="00000000" w:rsidRDefault="00000000" w:rsidRPr="00000000" w14:paraId="00000178">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Judicial Environment</w:t>
      </w:r>
    </w:p>
    <w:p w:rsidR="00000000" w:rsidDel="00000000" w:rsidP="00000000" w:rsidRDefault="00000000" w:rsidRPr="00000000" w14:paraId="000001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address the judicial environment. By this I refer to the easing of the unnecessary burdens of judges. Dockets of almost all courts in our country are clogged, because there are just too many cases filed by our litigious people who are not satisfied until their problems are resolved all the way up to and by the Highest Court. How can the caseloads of judges be eased? Here are a few reforms the Supreme Court is looking into.</w:t>
      </w:r>
    </w:p>
    <w:p w:rsidR="00000000" w:rsidDel="00000000" w:rsidP="00000000" w:rsidRDefault="00000000" w:rsidRPr="00000000" w14:paraId="000001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Litigants will be encouraged to use alternative modes of dispute resolution or ADRs like conciliation, mediation and arbitration. While judicial action is not always ruled out, parties, especially those involved in commercial disputes, will be asked to submit to arbitration. This mode of settling disputes is popular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in the construction industry, and our Supreme Court has recognized the binding authority of arbitration clauses in contracts.</w:t>
      </w:r>
    </w:p>
    <w:p w:rsidR="00000000" w:rsidDel="00000000" w:rsidP="00000000" w:rsidRDefault="00000000" w:rsidRPr="00000000" w14:paraId="000001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Instead of immediately conducting trials, courts should be required to explore “discovery” mechanisms, especially the availment of fact-finding procedures like depositions, interrogatories and pretrial admissions. In the US, a majority of cases do not mature to time-consuming trials, because judges are trained to get litigants to settle their differences amicably. 3. It is not uncommon to find trial courts saddled with 6,000 or more cases, most of which are criminal prosecutions for violations of BP 22, the Bouncing Checks Law. In other words, our court system is being used, sometimes abused, as a collection agency. We in the Supreme Court are wondering whether there can be alternative solutions to the proliferation of bouncing checks, like requiring banks to refuse to open or maintain checking accounts for habitual bad check writers,</w:t>
      </w:r>
    </w:p>
    <w:p w:rsidR="00000000" w:rsidDel="00000000" w:rsidP="00000000" w:rsidRDefault="00000000" w:rsidRPr="00000000" w14:paraId="000001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Appeals of capital offenses should be filtered through the Court of Appeals. This measure will enable the Supreme Court to devote more time to the search for doctrines and principles, which in turn could be used by lower courts in resolving specific disputes.</w:t>
      </w:r>
    </w:p>
    <w:p w:rsidR="00000000" w:rsidDel="00000000" w:rsidP="00000000" w:rsidRDefault="00000000" w:rsidRPr="00000000" w14:paraId="0000017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7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How Business and </w:t>
      </w:r>
    </w:p>
    <w:p w:rsidR="00000000" w:rsidDel="00000000" w:rsidP="00000000" w:rsidRDefault="00000000" w:rsidRPr="00000000" w14:paraId="0000017F">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MAP Can Help</w:t>
      </w:r>
    </w:p>
    <w:p w:rsidR="00000000" w:rsidDel="00000000" w:rsidP="00000000" w:rsidRDefault="00000000" w:rsidRPr="00000000" w14:paraId="000001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now come to the third topic of my address today. flow ean the business community, particularly MAP 7 a</w:t>
      </w:r>
      <w:r w:rsidDel="00000000" w:rsidR="00000000" w:rsidRPr="00000000">
        <w:rPr>
          <w:rFonts w:ascii="Georgia" w:cs="Georgia" w:eastAsia="Georgia" w:hAnsi="Georgia"/>
          <w:sz w:val="22"/>
          <w:szCs w:val="22"/>
          <w:vertAlign w:val="superscript"/>
        </w:rPr>
        <w:footnoteReference w:customMarkFollows="0" w:id="22"/>
      </w:r>
      <w:r w:rsidDel="00000000" w:rsidR="00000000" w:rsidRPr="00000000">
        <w:rPr>
          <w:rFonts w:ascii="Georgia" w:cs="Georgia" w:eastAsia="Georgia" w:hAnsi="Georgia"/>
          <w:sz w:val="22"/>
          <w:szCs w:val="22"/>
          <w:rtl w:val="0"/>
        </w:rPr>
        <w:t xml:space="preserve"> members, assist in eliminating CID — corruption, incompetence and delay — the plagues of the judiciary. I think you will agree with me that good governance and stability in our economy require the delivery of predictable, speedy and objective justice. In this sense, judicial reform becomes also the business of business. I propose at least four ways in which you can help.</w:t>
      </w:r>
    </w:p>
    <w:p w:rsidR="00000000" w:rsidDel="00000000" w:rsidP="00000000" w:rsidRDefault="00000000" w:rsidRPr="00000000" w14:paraId="000001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do not agree to any corrupt, unethical or less than honest methods for solving your legal problems, especially court cases. Just as there are some dishonest judges, there are also some unscrupulous lawyers and devious litigants who want to win at all costs. Sometimes, in an effort to earn more, lawyers ask money from their clients, allegedly to line the pockets of magistrates. Do not believe them and never agree to bribe a judge. While there are indeed a few rotten judges, the vast majority, I assure you, are men and women of integrity. Corruption will take place only if litigants abet or consent to it.'°</w:t>
      </w:r>
    </w:p>
    <w:p w:rsidR="00000000" w:rsidDel="00000000" w:rsidP="00000000" w:rsidRDefault="00000000" w:rsidRPr="00000000" w14:paraId="000001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please support, financially or otherwise, private-sector-led efforts at judicial reforms, some of which are:</w:t>
      </w:r>
    </w:p>
    <w:p w:rsidR="00000000" w:rsidDel="00000000" w:rsidP="00000000" w:rsidRDefault="00000000" w:rsidRPr="00000000" w14:paraId="000001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Foundation for the Enhancement of Legal Education I mentioned earlier." The Supreme Court is giving P10 million, and at least another P10 million is being contributed by lawyers. After that, lawyers will tap their clients — meaning you — to raise at least another P30 million which will be used to elevate the standards of legal education.</w:t>
      </w:r>
    </w:p>
    <w:p w:rsidR="00000000" w:rsidDel="00000000" w:rsidP="00000000" w:rsidRDefault="00000000" w:rsidRPr="00000000" w14:paraId="000001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Bantay Katarungan or “Sentinel of Justice” organized by former Senate President Jovito R. Salonga and former Justice Secretary Sedfrey A. Ordoñez. As its name implies, this organization aims to help cleanse the judiciary of misfits by monitoring through student volunteers the actual hearings in various courts. It also intends to scrutinize judicial appointments as well as proceedings against abusive judges.</w:t>
      </w:r>
    </w:p>
    <w:p w:rsidR="00000000" w:rsidDel="00000000" w:rsidP="00000000" w:rsidRDefault="00000000" w:rsidRPr="00000000" w14:paraId="000001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The Foundation for Judicial Excellence headed by retired Justice Jose Y. Feria, which annually awards outstanding judges, prosecutors and public attorneys.</w:t>
      </w:r>
    </w:p>
    <w:p w:rsidR="00000000" w:rsidDel="00000000" w:rsidP="00000000" w:rsidRDefault="00000000" w:rsidRPr="00000000" w14:paraId="000001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encourage competent and ethical lawyers to join the judiciary. Unless good attorneys join the judiciary, all these reforms I have been discussing will be useless. Indeed, an office, whether in the judiciary or elsewhere, is as good only as the person manning it. Perhaps, I should take this occasion to bring to your attention that the appellate courts are slowly being filled up only by career jurists. I have nothing against dedicated, honest and hardworking career judges being promoted. But I believe a proper balance should be made, so that outstanding members of the bar or the academe are appointed directly to the Supreme Court and the Court of Appeals. In this way, novel ideas, new vistas and fresh blood could be infused into judicial circulation.</w:t>
      </w:r>
    </w:p>
    <w:p w:rsidR="00000000" w:rsidDel="00000000" w:rsidP="00000000" w:rsidRDefault="00000000" w:rsidRPr="00000000" w14:paraId="000001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joined the Supreme Court in 1995, six'? of the fifteen members were appointed directly from the private sector. But today only Justice Jose C. Vitug and I are left, and no new private-sector justices have been chosen since then. The rest of the present thirteen magistrates have been either promoted from the appellate courts or transferred from other branches of government.</w:t>
      </w:r>
    </w:p>
    <w:p w:rsidR="00000000" w:rsidDel="00000000" w:rsidP="00000000" w:rsidRDefault="00000000" w:rsidRPr="00000000" w14:paraId="000001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I urge all of you to pray for us in the judiciary, so that we will always remain true to your trust and faithful to our oath.</w:t>
      </w:r>
    </w:p>
    <w:p w:rsidR="00000000" w:rsidDel="00000000" w:rsidP="00000000" w:rsidRDefault="00000000" w:rsidRPr="00000000" w14:paraId="00000189">
      <w:pPr>
        <w:rPr>
          <w:rFonts w:ascii="Georgia" w:cs="Georgia" w:eastAsia="Georgia" w:hAnsi="Georgia"/>
          <w:sz w:val="22"/>
          <w:szCs w:val="22"/>
          <w:vertAlign w:val="superscript"/>
        </w:rPr>
      </w:pPr>
      <w:r w:rsidDel="00000000" w:rsidR="00000000" w:rsidRPr="00000000">
        <w:rPr>
          <w:rFonts w:ascii="Georgia" w:cs="Georgia" w:eastAsia="Georgia" w:hAnsi="Georgia"/>
          <w:sz w:val="22"/>
          <w:szCs w:val="22"/>
          <w:rtl w:val="0"/>
        </w:rPr>
        <w:t xml:space="preserve">For those who are convinced of the sincerity and the nobility of our mission to reform the judiciary ana thus believe that nothing else need be done, or those who may have been satisfied with the judiciary’s performance thus far, I still ask you to pray for us, so that we may not rest on our laurels and little achievements. Pray that we do not become complacent with our minuscule success or satisfied with the adulation or esteem accorded us. Reforming society and its imperfections is never complete. Its ideals and standards must constantly be elevated. Along this line, let me end this address with one of my favorite prayers, composed by the late Bishop Benny Tudtud, entitled “Disturb Us O Lord.”</w:t>
      </w: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2"/>
          <w:szCs w:val="22"/>
          <w:vertAlign w:val="superscript"/>
        </w:rPr>
      </w:pPr>
      <w:r w:rsidDel="00000000" w:rsidR="00000000" w:rsidRPr="00000000">
        <w:rPr>
          <w:rtl w:val="0"/>
        </w:rPr>
      </w:r>
    </w:p>
    <w:p w:rsidR="00000000" w:rsidDel="00000000" w:rsidP="00000000" w:rsidRDefault="00000000" w:rsidRPr="00000000" w14:paraId="000001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Disturb us O Lord, </w:t>
      </w:r>
    </w:p>
    <w:p w:rsidR="00000000" w:rsidDel="00000000" w:rsidP="00000000" w:rsidRDefault="00000000" w:rsidRPr="00000000" w14:paraId="000001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we are too well-pleased with ourselves, </w:t>
      </w:r>
    </w:p>
    <w:p w:rsidR="00000000" w:rsidDel="00000000" w:rsidP="00000000" w:rsidRDefault="00000000" w:rsidRPr="00000000" w14:paraId="000001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our dreams have come true because </w:t>
      </w:r>
    </w:p>
    <w:p w:rsidR="00000000" w:rsidDel="00000000" w:rsidP="00000000" w:rsidRDefault="00000000" w:rsidRPr="00000000" w14:paraId="000001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dreamed too little, </w:t>
      </w:r>
    </w:p>
    <w:p w:rsidR="00000000" w:rsidDel="00000000" w:rsidP="00000000" w:rsidRDefault="00000000" w:rsidRPr="00000000" w14:paraId="000001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we have arrived in safety because </w:t>
      </w:r>
    </w:p>
    <w:p w:rsidR="00000000" w:rsidDel="00000000" w:rsidP="00000000" w:rsidRDefault="00000000" w:rsidRPr="00000000" w14:paraId="000001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sailed too close to the shore.</w:t>
      </w:r>
    </w:p>
    <w:p w:rsidR="00000000" w:rsidDel="00000000" w:rsidP="00000000" w:rsidRDefault="00000000" w:rsidRPr="00000000" w14:paraId="000001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Disturb us O Lord, </w:t>
      </w:r>
    </w:p>
    <w:p w:rsidR="00000000" w:rsidDel="00000000" w:rsidP="00000000" w:rsidRDefault="00000000" w:rsidRPr="00000000" w14:paraId="000001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with the abundance of things we possess, </w:t>
      </w:r>
    </w:p>
    <w:p w:rsidR="00000000" w:rsidDel="00000000" w:rsidP="00000000" w:rsidRDefault="00000000" w:rsidRPr="00000000" w14:paraId="000001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lost our thirst for the water of life, </w:t>
      </w:r>
    </w:p>
    <w:p w:rsidR="00000000" w:rsidDel="00000000" w:rsidP="00000000" w:rsidRDefault="00000000" w:rsidRPr="00000000" w14:paraId="000001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having fallen in love with time, </w:t>
      </w:r>
    </w:p>
    <w:p w:rsidR="00000000" w:rsidDel="00000000" w:rsidP="00000000" w:rsidRDefault="00000000" w:rsidRPr="00000000" w14:paraId="000001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ceased to dream of eternity, </w:t>
      </w:r>
    </w:p>
    <w:p w:rsidR="00000000" w:rsidDel="00000000" w:rsidP="00000000" w:rsidRDefault="00000000" w:rsidRPr="00000000" w14:paraId="000001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when in our efforts to build the new earth, </w:t>
      </w:r>
    </w:p>
    <w:p w:rsidR="00000000" w:rsidDel="00000000" w:rsidP="00000000" w:rsidRDefault="00000000" w:rsidRPr="00000000" w14:paraId="000001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allowed our vision of the new heaven </w:t>
      </w:r>
    </w:p>
    <w:p w:rsidR="00000000" w:rsidDel="00000000" w:rsidP="00000000" w:rsidRDefault="00000000" w:rsidRPr="00000000" w14:paraId="000001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grow dim.</w:t>
      </w:r>
    </w:p>
    <w:p w:rsidR="00000000" w:rsidDel="00000000" w:rsidP="00000000" w:rsidRDefault="00000000" w:rsidRPr="00000000" w14:paraId="0000019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Stir us O Lord, </w:t>
      </w:r>
    </w:p>
    <w:p w:rsidR="00000000" w:rsidDel="00000000" w:rsidP="00000000" w:rsidRDefault="00000000" w:rsidRPr="00000000" w14:paraId="000001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dare more boldly to venture on wider seas, </w:t>
      </w:r>
    </w:p>
    <w:p w:rsidR="00000000" w:rsidDel="00000000" w:rsidP="00000000" w:rsidRDefault="00000000" w:rsidRPr="00000000" w14:paraId="000001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storms shall show Your Majesty, </w:t>
      </w:r>
    </w:p>
    <w:p w:rsidR="00000000" w:rsidDel="00000000" w:rsidP="00000000" w:rsidRDefault="00000000" w:rsidRPr="00000000" w14:paraId="000001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losing sight of land we shall find the </w:t>
      </w:r>
    </w:p>
    <w:p w:rsidR="00000000" w:rsidDel="00000000" w:rsidP="00000000" w:rsidRDefault="00000000" w:rsidRPr="00000000" w14:paraId="000001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Stars,</w:t>
      </w:r>
    </w:p>
    <w:p w:rsidR="00000000" w:rsidDel="00000000" w:rsidP="00000000" w:rsidRDefault="00000000" w:rsidRPr="00000000" w14:paraId="000001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name of Him who pushed back the </w:t>
      </w:r>
    </w:p>
    <w:p w:rsidR="00000000" w:rsidDel="00000000" w:rsidP="00000000" w:rsidRDefault="00000000" w:rsidRPr="00000000" w14:paraId="000001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horizons of our hopes </w:t>
      </w:r>
    </w:p>
    <w:p w:rsidR="00000000" w:rsidDel="00000000" w:rsidP="00000000" w:rsidRDefault="00000000" w:rsidRPr="00000000" w14:paraId="000001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invited the brave to follow Him. Amen.</w:t>
      </w:r>
    </w:p>
    <w:p w:rsidR="00000000" w:rsidDel="00000000" w:rsidP="00000000" w:rsidRDefault="00000000" w:rsidRPr="00000000" w14:paraId="000001A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Maraming salamat po.</w:t>
      </w:r>
    </w:p>
    <w:p w:rsidR="00000000" w:rsidDel="00000000" w:rsidP="00000000" w:rsidRDefault="00000000" w:rsidRPr="00000000" w14:paraId="000001A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A6">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3</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Microchips, Modems and Media </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Invade Mount Olympus</w:t>
      </w:r>
    </w:p>
    <w:p w:rsidR="00000000" w:rsidDel="00000000" w:rsidP="00000000" w:rsidRDefault="00000000" w:rsidRPr="00000000" w14:paraId="000001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Tonight, I would like to discuss the impact of cyber technology: first, on traditional legal doctrines; second, on judicial tools and facilities; and third, on the Supreme Court's relationship with its various publics, especially the media. Otherwise stated, my topic is how have microchips, modems and media affected life on Mount Olympus?</w:t>
      </w:r>
    </w:p>
    <w:p w:rsidR="00000000" w:rsidDel="00000000" w:rsidP="00000000" w:rsidRDefault="00000000" w:rsidRPr="00000000" w14:paraId="000001A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Impact of Cyber Technology</w:t>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Three Waves </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left"/>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of Civilizations</w:t>
      </w:r>
      <w:r w:rsidDel="00000000" w:rsidR="00000000" w:rsidRPr="00000000">
        <w:rPr>
          <w:rtl w:val="0"/>
        </w:rPr>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his 1980 best seller entitled The Third Wave,’</w:t>
      </w:r>
      <w:r w:rsidDel="00000000" w:rsidR="00000000" w:rsidRPr="00000000">
        <w:rPr>
          <w:rFonts w:ascii="Georgia" w:cs="Georgia" w:eastAsia="Georgia" w:hAnsi="Georgia"/>
          <w:sz w:val="22"/>
          <w:szCs w:val="22"/>
          <w:rtl w:val="0"/>
        </w:rPr>
        <w:t xml:space="preserve"> Author Alvin Toffler divides known civilization into three main parts: “a First Wave agricultural phase, a Second Wave industrial phase and a Third Wave [information] phase x x x.” He explains that “the First Wave of change — the agricultural revolution — took thousands of years to play itself out. The Second Wave — the rise of the industrial civilization — took a mere three hundred years. Today, history is even more accelerative, and it is likely that the Third Wave will sweep across history and complete itself in a few decades. x x x. This new civilization x x x will topple bureaucracies, reduce the role of the nation-state, and give rise to semiautonomous economies in a post-imperialist world. It requires governments that are simpler, more effective, yet more democratic than any we know today. It is a civilization with its own distinctive world outlook, its own ways of dealing with time, space, logic and causality.”</w:t>
      </w:r>
    </w:p>
    <w:p w:rsidR="00000000" w:rsidDel="00000000" w:rsidP="00000000" w:rsidRDefault="00000000" w:rsidRPr="00000000" w14:paraId="000001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Twenty years ago when I first read this book, I could not imagine how possession and distribution of information could become more valuable than the production and the sale of food and machines; how intangibles like electronic data and Internet access could command higher stock prices than gold, oil and real estate. But there is more than enough evidence that the personal computer, the Internet and the “dotcom” revolution are indeed radically transforming the ways of the world — from its mundane eating habits to electronic commerce to virtual entertainment to genome mapping and even to judicial doctrines and</w:t>
      </w:r>
      <w:r w:rsidDel="00000000" w:rsidR="00000000" w:rsidRPr="00000000">
        <w:rPr>
          <w:rFonts w:ascii="Georgia" w:cs="Georgia" w:eastAsia="Georgia" w:hAnsi="Georgia"/>
          <w:sz w:val="22"/>
          <w:szCs w:val="22"/>
          <w:vertAlign w:val="superscript"/>
        </w:rPr>
        <w:footnoteReference w:customMarkFollows="0" w:id="23"/>
      </w:r>
      <w:r w:rsidDel="00000000" w:rsidR="00000000" w:rsidRPr="00000000">
        <w:rPr>
          <w:rFonts w:ascii="Georgia" w:cs="Georgia" w:eastAsia="Georgia" w:hAnsi="Georgia"/>
          <w:sz w:val="22"/>
          <w:szCs w:val="22"/>
          <w:vertAlign w:val="superscript"/>
        </w:rPr>
        <w:footnoteReference w:customMarkFollows="0" w:id="24"/>
      </w:r>
      <w:r w:rsidDel="00000000" w:rsidR="00000000" w:rsidRPr="00000000">
        <w:rPr>
          <w:rFonts w:ascii="Georgia" w:cs="Georgia" w:eastAsia="Georgia" w:hAnsi="Georgia"/>
          <w:sz w:val="22"/>
          <w:szCs w:val="22"/>
          <w:rtl w:val="0"/>
        </w:rPr>
        <w:t xml:space="preserve"> tools. Yes, the Web has convincingly proven that Internet “knowledge is power.” A few recent examples are in order.</w:t>
      </w:r>
    </w:p>
    <w:p w:rsidR="00000000" w:rsidDel="00000000" w:rsidP="00000000" w:rsidRDefault="00000000" w:rsidRPr="00000000" w14:paraId="000001B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B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Biggest Merger, Largest Retailer </w:t>
      </w:r>
    </w:p>
    <w:p w:rsidR="00000000" w:rsidDel="00000000" w:rsidP="00000000" w:rsidRDefault="00000000" w:rsidRPr="00000000" w14:paraId="000001B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and Most Powerful Economy</w:t>
      </w:r>
    </w:p>
    <w:p w:rsidR="00000000" w:rsidDel="00000000" w:rsidP="00000000" w:rsidRDefault="00000000" w:rsidRPr="00000000" w14:paraId="000001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Just two months ago in January 2000, the biggest merger in corporate history took place when the world’s largest media company, Time Warner — which itself had been born of a prior marriage among Time Publishing, Warner Communications and Turner Broadcasting — was absorbed by America Online or AOL for $162 billion in AOL stock. The combined market value of the merged conglomerate is a staggering $350 billion dollars.* That is 22 times more than the budget of the Republic of the Philippines for Year 2000. Amazingly, AOL is barely a fifteen-year-old Internet company which, only three years ago, was mired in “an operational mess.”</w:t>
      </w:r>
    </w:p>
    <w:p w:rsidR="00000000" w:rsidDel="00000000" w:rsidP="00000000" w:rsidRDefault="00000000" w:rsidRPr="00000000" w14:paraId="000001B7">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Second. The new millennium will usher in the world’s biggest retail store. No, I am not talking about Walmart or Harrod’s or Mitsukoshi. I am referring to Amazon.com, the online shopping giant of e-commerce. It promises to be the earth’s biggest seller of everything from anywhere — from safety pins to airplanes, from jeepneys of Manila to diamonds of South Africa. Strangely enough, it will sell all these without owning or operating a single store or shopping center. And yet, it guarantees the cheapest price possible and on-time delivery of all purchases. The best evidence that this info-age phenomenon will happen is the proclamation of Jeff Bezos,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Amazon.com's 35-year-old chief executive, as Time magazine’s 1999 “Person of the Year.”</w:t>
      </w:r>
    </w:p>
    <w:p w:rsidR="00000000" w:rsidDel="00000000" w:rsidP="00000000" w:rsidRDefault="00000000" w:rsidRPr="00000000" w14:paraId="000001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United States continues to be the most powerful economy in the world, not because it produces the best automobiles or the tastiest hamburgers or the sweetest apples, but because it is the global center of information technology. And American Bill Gates is the richest man outside government, not because he has a monopoly of gambling casinos or petroleum products, but because he has been able to optimize the compression of knowledge into tiny microchips and its processing through computer software he simply calls “Windows.” Even Japanese behemoth Sony bowed to the Net when it bet its future, no longer on the audio sensation Walkman, but on the e-powered Playstation 2.</w:t>
      </w:r>
    </w:p>
    <w:p w:rsidR="00000000" w:rsidDel="00000000" w:rsidP="00000000" w:rsidRDefault="00000000" w:rsidRPr="00000000" w14:paraId="000001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massive transformational shifts have changed not only the economic face of the globe, but also everything else that matters — political systems, lifestyles, work habits, sciences, philosophies and, yes, even the normally reclusive and exclusive enclave of decision making.</w:t>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Impact on Judicial Doctrines</w:t>
      </w:r>
    </w:p>
    <w:p w:rsidR="00000000" w:rsidDel="00000000" w:rsidP="00000000" w:rsidRDefault="00000000" w:rsidRPr="00000000" w14:paraId="000001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recent book, Leadership by Example, I briefly mentioned that in the new century, the Philippine judiciary “will be confronted with a new world order x x x. The cyber and space age — along with fiber optics, outer space exploration, genetic engineering, e-commerce, in-vitro fertilization, paperless communication and DNA advances — will definitely need new ways of coping.” The following are samples of the doctrinal challenges posed by the new information highway.</w:t>
      </w:r>
    </w:p>
    <w:p w:rsidR="00000000" w:rsidDel="00000000" w:rsidP="00000000" w:rsidRDefault="00000000" w:rsidRPr="00000000" w14:paraId="000001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e-commerce. Using his personal computer in Manila, Juan Biglangyaman orders from the Amazon.com central computer in Seattle a custom-made car to be manufactured in Germany and to be delivered to his girlfriend, Jane Bilmoko, who resides in Hongkong. May the bare computer order be considered a contract of sale? Will paperless electronic communication be admissible in evidence to prove the terms of the contract? In case the delivered left-hand-drive car is rejected by authorities in Hongkong, where only right-hand steering wheels are accepted, who should be held liable for the mistake? Where may one file a suit for the misdelivery of the car? Will a pleading transmitted via the Internet be legally acceptable?</w:t>
      </w:r>
    </w:p>
    <w:p w:rsidR="00000000" w:rsidDel="00000000" w:rsidP="00000000" w:rsidRDefault="00000000" w:rsidRPr="00000000" w14:paraId="000001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telemedicine. Juan Biglangyaman undergoes an executive checkup at the Makati Medical Center. Then he sends the laboratory, X-ray and CT scan results to an e-medical company, which transmits them through the Web to its worldwide network of experts, who then give him their so-called “second opinions.” Not fully satisfied, Juan consults, via video teleconferencing, one of the company’s medical specialists abroad. Questions: Is the e-medical company engaged in an illegal practice of medicine in the Philippines? In case Juan dies due to wrong diagnosis and prescription, is the e-medical company liable? How about its worldwide associates? Where and how should the suits be filed?</w:t>
      </w:r>
    </w:p>
    <w:p w:rsidR="00000000" w:rsidDel="00000000" w:rsidP="00000000" w:rsidRDefault="00000000" w:rsidRPr="00000000" w14:paraId="000001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surrogate parenthood. Who are deemed to be the legal parents of the child? What are the rights of the donor and the donee over that child? Add human cloning and we will be faced with even tougher questions like: May a person patent himself? May human tissue be regenerated for commercial purposes?</w:t>
      </w:r>
    </w:p>
    <w:p w:rsidR="00000000" w:rsidDel="00000000" w:rsidP="00000000" w:rsidRDefault="00000000" w:rsidRPr="00000000" w14:paraId="000001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e-economics. As liberalization, deregulation and globalization erase territorial frontiers, states and governments tend to surrender some of their authority and powers to the market and to the renewed energy of laissez faire. In such a situation, would the threats to civil liberties and human rights in fact shift from the government to the more bedeviling market forces that transcend geographical boundaries and political sovereignties? Several recent Supreme Court decisions tackled certain aspects of these new economic paradigms. Some of these were Tajsiada v. Angara,’ in which the Court upheld Philippine membership in the World Trade Organization; Tatad v. Secretary of Energy in which it nullified the first Oil Deregulation Law (RA 8180); and Garcia v. Corona,’ in Which it validated the second Oil Deregulation Law (RA 8479).</w:t>
      </w:r>
    </w:p>
    <w:p w:rsidR="00000000" w:rsidDel="00000000" w:rsidP="00000000" w:rsidRDefault="00000000" w:rsidRPr="00000000" w14:paraId="000001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e-media. The Supreme Court, in the very recent ABS-CBN v. Commission on Elections,” has declared that exit polls and the dissemination of their results to the public via the mass media are essential parts of the freedom of speech and expression. Therefore, they cannot be banned by the Comelec. This decision is precedent-setting, not only in the Philippines but elsewhere. I asked my legal staff to research, but they could not find a decision tackling an identical issue, written by any other credible Supreme Court in the world.”</w:t>
      </w:r>
    </w:p>
    <w:p w:rsidR="00000000" w:rsidDel="00000000" w:rsidP="00000000" w:rsidRDefault="00000000" w:rsidRPr="00000000" w14:paraId="000001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another media-fortifying Decision, Vasquez v. Court of Appeals,” the Court has ruled that truth is a complete defense in a libel case involving a public official. The avant garde Court explained that “even if the defamatory statement is false, no liability can attach if it relates to official conduct, unless the public official concerned proves that the statement was made with actual malice — that is, with knowledge that it was false or with reckless disregard of whether it was false or not x x x.” In other ~ ‘words, conviction in libel suits filed by public officials may be obtained only by proving that the defamatory words were (1) false and (2) made with the knowledge of their falsity or with a reckless disregard of whether or not they were false. This landmark Decision reversed existing jurisprudence requiring the accused to prove absence of malice in order to be entitled to an acquittal.</w:t>
      </w:r>
    </w:p>
    <w:p w:rsidR="00000000" w:rsidDel="00000000" w:rsidP="00000000" w:rsidRDefault="00000000" w:rsidRPr="00000000" w14:paraId="000001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our very limited time, I cannot exhaustively discuss the full impact of the e-age on our judicial doctrines. Let me just say that, for better or for worse, we in the judicial branch of government realize the inevitable onslaught of the cyber age and the need to adjust, and adjust speedily, to it.</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Impact on Judicial Tools</w:t>
      </w:r>
    </w:p>
    <w:p w:rsidR="00000000" w:rsidDel="00000000" w:rsidP="00000000" w:rsidRDefault="00000000" w:rsidRPr="00000000" w14:paraId="000001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proceed to the second topic of tonight’s lecture — the Court’s response to cyber intrusion. A few years ago, the High Court formed the Committee on Computerization to oversee its transition to the Third Wave. This Committee, which was once chaired by then Associate Justice Davide, is now headed by Justice Jose A.R. Melo, with me as vice-chair, and Justices Consuelo Ynares-Santiago and Sabino R. De Leon Jr. as members. To back up the Committee, the Court also created the Management Information Systems Office or MISO headed by Atty. Ivan John Enrile Uy with a full-time staff of computer geeks, Let me now enumerate the e-related tools and facilities the judiciary has acquired or is in the process of acquiring.</w:t>
      </w:r>
    </w:p>
    <w:p w:rsidR="00000000" w:rsidDel="00000000" w:rsidP="00000000" w:rsidRDefault="00000000" w:rsidRPr="00000000" w14:paraId="000001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Case Administration System or CAS, which tracks for fast and easy access to all cases in the Supreme Court from the time they are filed until they are finally disposed of.</w:t>
      </w:r>
    </w:p>
    <w:p w:rsidR="00000000" w:rsidDel="00000000" w:rsidP="00000000" w:rsidRDefault="00000000" w:rsidRPr="00000000" w14:paraId="000001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Computer-Assisted Legal Research or CALR, an electronic compilation of all Decisions of the Supreme Court from 1901 to the present. This is an ongoing project in which the electronic compilation of Decisions promulgated from January 1996 to the recent past has already been done, with the rest to be finished in two years’ time. Once completely updated, this system will (lo away with bulky volumes like the SCRA and the l'hilippine Reports.</w:t>
      </w:r>
    </w:p>
    <w:p w:rsidR="00000000" w:rsidDel="00000000" w:rsidP="00000000" w:rsidRDefault="00000000" w:rsidRPr="00000000" w14:paraId="000001C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CA">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computerization of various </w:t>
      </w:r>
      <w:r w:rsidDel="00000000" w:rsidR="00000000" w:rsidRPr="00000000">
        <w:rPr>
          <w:rFonts w:ascii="Georgia" w:cs="Georgia" w:eastAsia="Georgia" w:hAnsi="Georgia"/>
          <w:sz w:val="22"/>
          <w:szCs w:val="22"/>
          <w:rtl w:val="0"/>
        </w:rPr>
        <w:t xml:space="preserve">administrative</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processes like payrolls,' personnel recor</w:t>
      </w:r>
      <w:r w:rsidDel="00000000" w:rsidR="00000000" w:rsidRPr="00000000">
        <w:rPr>
          <w:rFonts w:ascii="Georgia" w:cs="Georgia" w:eastAsia="Georgia" w:hAnsi="Georgia"/>
          <w:sz w:val="22"/>
          <w:szCs w:val="22"/>
          <w:rtl w:val="0"/>
        </w:rPr>
        <w:t xml:space="preserve">d</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tracking, supplies and property accounting,' revenue monitoring,’ financial information and records management.!” For the curious, each of these programs is described in the footnotes to this lecture, and I shall not bore you with a verbal discussion.</w:t>
      </w:r>
    </w:p>
    <w:p w:rsidR="00000000" w:rsidDel="00000000" w:rsidP="00000000" w:rsidRDefault="00000000" w:rsidRPr="00000000" w14:paraId="000001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recent opening of the Supreme Court Internet homepage —www.supremecourt.gov.ph — through which the most recent Decisions and issuances are made accessible. In the near future, we hope to make this facility interactive to enable the public to “converse” with the Court.</w:t>
      </w:r>
    </w:p>
    <w:p w:rsidR="00000000" w:rsidDel="00000000" w:rsidP="00000000" w:rsidRDefault="00000000" w:rsidRPr="00000000" w14:paraId="000001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High Court's acquisition of 1,500 personal computers to be distributed to all regional trial courts and selected first-level courts nationwide. Through computerization, we hope to be able to administer lower courts more effectively and efficiently and thereby produce speedier and more judicious pronouncements.</w:t>
      </w:r>
    </w:p>
    <w:p w:rsidR="00000000" w:rsidDel="00000000" w:rsidP="00000000" w:rsidRDefault="00000000" w:rsidRPr="00000000" w14:paraId="000001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continuing legal education program of the Philippine Judicial Academy, including subjects like computer technology, hands-on computer training, and computer-aided legal research.</w:t>
      </w:r>
    </w:p>
    <w:p w:rsidR="00000000" w:rsidDel="00000000" w:rsidP="00000000" w:rsidRDefault="00000000" w:rsidRPr="00000000" w14:paraId="000001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Apart from these ongoing Third Wave projects, the Court has also planned to adopt a number of technological innovations which should become realities during the next five years, well within Chief Justice Davide's term. Some of these are the following:</w:t>
      </w:r>
    </w:p>
    <w:p w:rsidR="00000000" w:rsidDel="00000000" w:rsidP="00000000" w:rsidRDefault="00000000" w:rsidRPr="00000000" w14:paraId="000001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Voice or speech recognition whereby, in place of stenography, software and hardware will be used to recognize spoken words and convert them to printable or electronic format.</w:t>
      </w:r>
    </w:p>
    <w:p w:rsidR="00000000" w:rsidDel="00000000" w:rsidP="00000000" w:rsidRDefault="00000000" w:rsidRPr="00000000" w14:paraId="000001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Electronic data interchange or paperless communication, whereby orders and writs as well as pleadings will be electronically exchanged among the courts, lawyers and parties. Of course, issues of security and authenticity will have to be addressed.</w:t>
      </w:r>
    </w:p>
    <w:p w:rsidR="00000000" w:rsidDel="00000000" w:rsidP="00000000" w:rsidRDefault="00000000" w:rsidRPr="00000000" w14:paraId="000001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Electronic information kiosk, whereby case-calendaring will be made available via the Internet, with display terminals installed in public places like city halls, malls, and IBP houses.</w:t>
      </w:r>
    </w:p>
    <w:p w:rsidR="00000000" w:rsidDel="00000000" w:rsidP="00000000" w:rsidRDefault="00000000" w:rsidRPr="00000000" w14:paraId="000001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Video teleconferencing, whereby detention prisoners, physically handicapped witnesses or victims of psychologically wounding crimes will be shielded from the trauma of courtroom appearances.</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Impact on the Court's </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Relationship with Its Publics</w:t>
      </w:r>
    </w:p>
    <w:p w:rsidR="00000000" w:rsidDel="00000000" w:rsidP="00000000" w:rsidRDefault="00000000" w:rsidRPr="00000000" w14:paraId="000001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much for cyber technology and its impact on judicial tools. I will now take up our third topic, which is really the consequence of the Court's relationship with its various publics, especially the media.</w:t>
      </w:r>
    </w:p>
    <w:p w:rsidR="00000000" w:rsidDel="00000000" w:rsidP="00000000" w:rsidRDefault="00000000" w:rsidRPr="00000000" w14:paraId="000001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start by recalling briefly that in the not too distant past, courts were sacrosanct. Supreme Court justices were treated like little deities on Mount Olympus, whose pronouncements and decisions were accepted with finality by both the litigants and the general public. Magistrates were thought to possess infinite wisdom and fairness, and thus it was unsportsmanlike for litigants to question their judgments. Indeed, no sane or credible journalist dared lampoon the Supreme Court. In turn magistrates lived in hermetic isolation, took a vow of silence in the face of current political, historical and social events, and clothed their internal processes with deliberate confidentiality or secretiveness.</w:t>
      </w:r>
    </w:p>
    <w:p w:rsidR="00000000" w:rsidDel="00000000" w:rsidP="00000000" w:rsidRDefault="00000000" w:rsidRPr="00000000" w14:paraId="000001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judicial enclave has been invaded by the information revolution, and the public has raised questions about the conduct of the erstwhile untouchable dwellers of Mount Olympus. Indeed microchips, modems and media cameras have been dangled as new, effective and efficient tools for processing truth.</w:t>
      </w:r>
    </w:p>
    <w:p w:rsidR="00000000" w:rsidDel="00000000" w:rsidP="00000000" w:rsidRDefault="00000000" w:rsidRPr="00000000" w14:paraId="000001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Added to that, a new generation has arisen — young people schooled in the western ways of challenging the assumptions, the traditions and the customs of the old. These people, 30 years or younger who compose 70 percent of our population, have been raised in an atmosphere of independence and trained to criticize books and to challenge ideas. And the “people power” culture has encouraged them to question authoritarian or hierarchical impositions. After EDSA, democratic space and a libertarian spirit have pervaded the Filipino mentality and psyche.</w:t>
      </w:r>
    </w:p>
    <w:p w:rsidR="00000000" w:rsidDel="00000000" w:rsidP="00000000" w:rsidRDefault="00000000" w:rsidRPr="00000000" w14:paraId="000001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in a free society where transparency and accountability are the desirable standards of public office,!® and where the technologies of modern communications are readily available, some criticism of the judiciary is inevitable. I know that this public Vigilance is not confined to the Philippines. The same phenomenon affects almost all judicial jurisdictions in (he free world, particularly the US, Britain, Continental rope and Australia. As Justice Michael Kirby of the Australian High Court explained, “The media encourage conflict, dramatic visual images and demand instant solutions.”” Truly, the invasive power and influence of the media have penetrated the thick Walls of the judicial fortress.</w:t>
      </w:r>
    </w:p>
    <w:p w:rsidR="00000000" w:rsidDel="00000000" w:rsidP="00000000" w:rsidRDefault="00000000" w:rsidRPr="00000000" w14:paraId="000001D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DC">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z w:val="22"/>
          <w:szCs w:val="22"/>
          <w:rtl w:val="0"/>
        </w:rPr>
        <w:t xml:space="preserve">F</w:t>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our Options for </w:t>
      </w:r>
    </w:p>
    <w:p w:rsidR="00000000" w:rsidDel="00000000" w:rsidP="00000000" w:rsidRDefault="00000000" w:rsidRPr="00000000" w14:paraId="000001D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Confronting Criticisms</w:t>
      </w:r>
    </w:p>
    <w:p w:rsidR="00000000" w:rsidDel="00000000" w:rsidP="00000000" w:rsidRDefault="00000000" w:rsidRPr="00000000" w14:paraId="000001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confront this reality, the Philippine judiciary has at least four options.</w:t>
      </w:r>
    </w:p>
    <w:p w:rsidR="00000000" w:rsidDel="00000000" w:rsidP="00000000" w:rsidRDefault="00000000" w:rsidRPr="00000000" w14:paraId="000001DF">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Una, sumuko agad.</w:t>
      </w:r>
      <w:r w:rsidDel="00000000" w:rsidR="00000000" w:rsidRPr="00000000">
        <w:rPr>
          <w:rFonts w:ascii="Georgia" w:cs="Georgia" w:eastAsia="Georgia" w:hAnsi="Georgia"/>
          <w:sz w:val="22"/>
          <w:szCs w:val="22"/>
          <w:rtl w:val="0"/>
        </w:rPr>
        <w:t xml:space="preserve"> It can cave in and pander to what is popular and palatable. But that would be an abdication of the judicial function. A litigation is won, | because one side gets more cheers from the gallery, but because it is upheld by the law through a process of logic, through reasoned arguments based on legal principles and precedents. The duty of magistrates is to uphold the law regardless of the popular view. They must be independent not only of the parties to the case but also of everyone else including the President, Congress, the Church, the media and the mob.</w:t>
      </w:r>
    </w:p>
    <w:p w:rsidR="00000000" w:rsidDel="00000000" w:rsidP="00000000" w:rsidRDefault="00000000" w:rsidRPr="00000000" w14:paraId="000001E0">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Pangalawa, magmatigas at huwag pansinin. </w:t>
      </w:r>
      <w:r w:rsidDel="00000000" w:rsidR="00000000" w:rsidRPr="00000000">
        <w:rPr>
          <w:rFonts w:ascii="Georgia" w:cs="Georgia" w:eastAsia="Georgia" w:hAnsi="Georgia"/>
          <w:sz w:val="22"/>
          <w:szCs w:val="22"/>
          <w:rtl w:val="0"/>
        </w:rPr>
        <w:t xml:space="preserve">Magistrates can ignore the barrage and take refuge in Abraham Lincoln’s “if the end brings me out all right, what is said against me won’t amount to anything. If the end brings me out wrong, ten angels swearing | was right would make no difference.” Magistrates can silently suffer the indignities, even the slander, of the mob and wait for passions to die in the hope that the sorcery will go away. But this attitude is self-defeating because silence — worse, bullheadedness — is normally construed by the public to be an admission of guilt. Certainly, an unreasonable refusal to answer prima facie criticisms erodes public trust in the judicial institution.</w:t>
      </w:r>
    </w:p>
    <w:p w:rsidR="00000000" w:rsidDel="00000000" w:rsidP="00000000" w:rsidRDefault="00000000" w:rsidRPr="00000000" w14:paraId="000001E1">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Pangatlo, lumaban nang puspusan.</w:t>
      </w:r>
      <w:r w:rsidDel="00000000" w:rsidR="00000000" w:rsidRPr="00000000">
        <w:rPr>
          <w:rFonts w:ascii="Georgia" w:cs="Georgia" w:eastAsia="Georgia" w:hAnsi="Georgia"/>
          <w:sz w:val="22"/>
          <w:szCs w:val="22"/>
          <w:rtl w:val="0"/>
        </w:rPr>
        <w:t xml:space="preserve"> Jurists can answer and explain all the slings, darts and arrows flung at them. However, there are limits to what they can do in this regard. They have no expertise in public debates. Because they spend their time and effort in hearing both sides of a conflict and in searching for principles and doctrines to resolve them, they do not have the aptitude or the appetite for media battles. Joining a public discussion requires a talent different from judicial reflection and decision making. Putting one’s tongue on the ramparts is as risky as putting one’s neck on the guillotine.</w:t>
      </w:r>
      <w:r w:rsidDel="00000000" w:rsidR="00000000" w:rsidRPr="00000000">
        <w:rPr>
          <w:rFonts w:ascii="Georgia" w:cs="Georgia" w:eastAsia="Georgia" w:hAnsi="Georgia"/>
          <w:sz w:val="22"/>
          <w:szCs w:val="22"/>
          <w:vertAlign w:val="superscript"/>
        </w:rPr>
        <w:footnoteReference w:customMarkFollows="0" w:id="25"/>
      </w:r>
      <w:r w:rsidDel="00000000" w:rsidR="00000000" w:rsidRPr="00000000">
        <w:rPr>
          <w:rtl w:val="0"/>
        </w:rPr>
      </w:r>
    </w:p>
    <w:p w:rsidR="00000000" w:rsidDel="00000000" w:rsidP="00000000" w:rsidRDefault="00000000" w:rsidRPr="00000000" w14:paraId="000001E2">
      <w:pPr>
        <w:rPr>
          <w:rFonts w:ascii="Georgia" w:cs="Georgia" w:eastAsia="Georgia" w:hAnsi="Georgia"/>
          <w:sz w:val="22"/>
          <w:szCs w:val="22"/>
        </w:rPr>
      </w:pPr>
      <w:r w:rsidDel="00000000" w:rsidR="00000000" w:rsidRPr="00000000">
        <w:rPr>
          <w:rFonts w:ascii="Georgia" w:cs="Georgia" w:eastAsia="Georgia" w:hAnsi="Georgia"/>
          <w:i w:val="1"/>
          <w:iCs w:val="1"/>
          <w:sz w:val="22"/>
          <w:szCs w:val="22"/>
          <w:rtl w:val="0"/>
        </w:rPr>
        <w:t xml:space="preserve">Pang-apat, magpatulong sa marunong.</w:t>
      </w:r>
      <w:r w:rsidDel="00000000" w:rsidR="00000000" w:rsidRPr="00000000">
        <w:rPr>
          <w:rFonts w:ascii="Georgia" w:cs="Georgia" w:eastAsia="Georgia" w:hAnsi="Georgia"/>
          <w:sz w:val="22"/>
          <w:szCs w:val="22"/>
          <w:rtl w:val="0"/>
        </w:rPr>
        <w:t xml:space="preserve"> Courts may employ competent public affairs officers who can help journalists in understanding and accurately reporting their decisions and actions. The Supreme Court has opted for this fourth solution. It has recently created the Committee on Public Information, which I chair, and the Public Information Office or PIO headed by Atty. Ismael G. Khan Jr. I must hasten to add that the Committee on Public Information and the PIO will not “sanitize” news or “angle” stories. Neither will they “proselytize.” As I see it, our work is simply to tell the whole truth about the Court and its work.</w:t>
      </w:r>
    </w:p>
    <w:p w:rsidR="00000000" w:rsidDel="00000000" w:rsidP="00000000" w:rsidRDefault="00000000" w:rsidRPr="00000000" w14:paraId="000001E3">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1E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Transparency and Accountability: </w:t>
      </w:r>
    </w:p>
    <w:p w:rsidR="00000000" w:rsidDel="00000000" w:rsidP="00000000" w:rsidRDefault="00000000" w:rsidRPr="00000000" w14:paraId="000001E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The Best Option</w:t>
      </w:r>
    </w:p>
    <w:p w:rsidR="00000000" w:rsidDel="00000000" w:rsidP="00000000" w:rsidRDefault="00000000" w:rsidRPr="00000000" w14:paraId="000001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told, I believe that the spirit of transparency and accountability, which has opened windows to the judicial fortress, is still the Court’s best response to the challenge of media criticism. The Chief Justice in his now familiar program, the “Davide Watch,” says it quite plainly: “[T]he Bench must be fully accountable to the people by remaining transparent, yet not betray those aspects of the judicial process which require utmost confidentiality.” I know that the Supreme Court is one of the most inscrutable institutions in this country. To be appreciated and defended, it needs, a priori, to be understood by our people.</w:t>
      </w:r>
    </w:p>
    <w:p w:rsidR="00000000" w:rsidDel="00000000" w:rsidP="00000000" w:rsidRDefault="00000000" w:rsidRPr="00000000" w14:paraId="000001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MOPC will be pleased to know that this policy of transparency and accountability is espoused not only by the Chief Justice and me. It is shared by many other justices and judges as well. In an unprecedented act in pursuit of this policy, the Court, in cooperation with the United Nations Development Program and the National Economic and Development Authority, embarked on a broad-based nationwide initiative to listen to suggestions of various sectors on how to improve the delivery of justice. During the last eighteen months, the justices have been patiently listening to the complaints and the recommendations of more than a thousand individuals from the basic sectors, nongovernmental organizations, government units, the academe, the media, religious groups, business and the various components of the judiciary. The results of this effort are summarized, complete with a timetable for implementation over a five-year period, in “Blueprint of Action for the Judiciary,” which was launched by the Court on February 4, 2000. An executive summary of the Blueprint was included in the press kits distributed earlier.</w:t>
      </w:r>
    </w:p>
    <w:p w:rsidR="00000000" w:rsidDel="00000000" w:rsidP="00000000" w:rsidRDefault="00000000" w:rsidRPr="00000000" w14:paraId="000001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Likewise, on February 18, 2000, the High Court, together with the Asian Institute of Journalism and Communication, held a dialogue with selected leaders of the business community to discuss specific and concrete judicial reform projects.</w:t>
      </w:r>
    </w:p>
    <w:p w:rsidR="00000000" w:rsidDel="00000000" w:rsidP="00000000" w:rsidRDefault="00000000" w:rsidRPr="00000000" w14:paraId="000001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more recently, exactly a week ago on March 3, 2000, the Court, this time assisted by the World Bank, conducted a whole day “Consultation-Workshop to Identify Judicial Reform Priorities.” Attended by various segments of the justice system, this Workshop focused on the issues of judicial integrity, independence and transparency. It prioritized various reforms, from the writing of more reader-friendly decisions to the continuing education — both intellectual and ethical — of judges and lawyers and the elimination of the dreaded three “ships” in public service: kinship, friendship and relationship.</w:t>
      </w:r>
    </w:p>
    <w:p w:rsidR="00000000" w:rsidDel="00000000" w:rsidP="00000000" w:rsidRDefault="00000000" w:rsidRPr="00000000" w14:paraId="000001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mention all these to demonstrate that the Court and its members have gone to great lengths to respond to the challenges of the new century. My friends, as you may realize by now, we are firm believers in transparency, accountability and integrity in the judiciary.</w:t>
      </w:r>
    </w:p>
    <w:p w:rsidR="00000000" w:rsidDel="00000000" w:rsidP="00000000" w:rsidRDefault="00000000" w:rsidRPr="00000000" w14:paraId="000001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was why | accepted the chairmanship of our Committee on Public Information, why I have shed my vow of silence and agreed to speak before you tonight as well as in a few other fora, and why I write one book a year to report on my work as a magistrate and to open a new window to the Court.</w:t>
      </w:r>
    </w:p>
    <w:p w:rsidR="00000000" w:rsidDel="00000000" w:rsidP="00000000" w:rsidRDefault="00000000" w:rsidRPr="00000000" w14:paraId="000001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I believe that some of the heightened media focus on courts and their doings may be justified or even desirable. Incompetent, inefficient, inept, not to say corrupt, judges certainly deserve to be scrutinized and exposed, so long as the objective is truth, not vengeance or cheap entertainment at the prodding of defeated litigants in a terminated judicial combat. I also welcome fair comment on judicial decisions, provided that the decisions themselves are first objectively presented. I will not, however, countenance baseless attacks on the person, the honor, the dignity, or the alleged ulterior motives of jurists.</w:t>
      </w:r>
    </w:p>
    <w:p w:rsidR="00000000" w:rsidDel="00000000" w:rsidP="00000000" w:rsidRDefault="00000000" w:rsidRPr="00000000" w14:paraId="000001E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E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 Plea for </w:t>
      </w:r>
    </w:p>
    <w:p w:rsidR="00000000" w:rsidDel="00000000" w:rsidP="00000000" w:rsidRDefault="00000000" w:rsidRPr="00000000" w14:paraId="000001EF">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Discreet Restraint</w:t>
      </w:r>
    </w:p>
    <w:p w:rsidR="00000000" w:rsidDel="00000000" w:rsidP="00000000" w:rsidRDefault="00000000" w:rsidRPr="00000000" w14:paraId="000001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said that, I would nonetheless plead for discreet restraint in your criticisms. As I said earlier, it is my hope that the media will understand that, Generally, judges cannot answer back. At least, they cannot do so effectively. Because they are inexperienced and their access to media is inadequate, their attempts to respond may result, ironically enough, in compounding their problems and demeaning their offices. The judiciary and its members should not be likened to politicians who cater to controversy and love to see themselves in the limelight for whatever reason, whether for right or for wrong, provided their names are spelled correctly. When subjected to unwarranted, reckless and wanton attacks, the judicial institution may be permanently damaged and judicial integrity hopelessly undermined.</w:t>
      </w:r>
    </w:p>
    <w:p w:rsidR="00000000" w:rsidDel="00000000" w:rsidP="00000000" w:rsidRDefault="00000000" w:rsidRPr="00000000" w14:paraId="000001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the judiciary must stand, and stand steadfast, on its duty to decide cases according to law and reason. True also, cases are won or lost not because of popular palatability or compromise or friendship, not to mention pecuniary consideration, but because of reasoned arguments flowing from legal principles and precedents.</w:t>
      </w:r>
    </w:p>
    <w:p w:rsidR="00000000" w:rsidDel="00000000" w:rsidP="00000000" w:rsidRDefault="00000000" w:rsidRPr="00000000" w14:paraId="000001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not to say that the Court is averse to public opinion. In fact, I dare say that it is effective only as long as it retains the faith and trust of the public. Without the support of the populace, it becomes useless, as it cannot enforce by itself its own pronouncements. It does not command the army or the police or, for that matter, the “raging mob”; neither does it have the money to grease political patronage.</w:t>
      </w:r>
    </w:p>
    <w:p w:rsidR="00000000" w:rsidDel="00000000" w:rsidP="00000000" w:rsidRDefault="00000000" w:rsidRPr="00000000" w14:paraId="000001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there is a difference between the shifting winds of public emotion and long-term public trust in the institution. While critics and pressure groups may rant from time to time against some of its decisions or opinions, the Court must enjoy enough residual respect and esteem, with the constant hope that one day it will prove to be right after all. And even if its level-headed critics may disagree, they should respect it enough to concede its good faith and likewise the wisdom, the probity and the diligence with which its members have done their work. They must realize that in the very nature of our system of government, the Court's function is not to mirror popular ideas, but in fact to teach and open vistas to enlightened opinion. Like journalists and broadcasters, judges are effective only as long as they retain long-term public acceptance.</w:t>
      </w:r>
    </w:p>
    <w:p w:rsidR="00000000" w:rsidDel="00000000" w:rsidP="00000000" w:rsidRDefault="00000000" w:rsidRPr="00000000" w14:paraId="000001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All things said, it should be quite obvious to you now that the media and the judiciary are natural partners, because they are bound together by the same reasons for being — the search for truth, the protection of the people’s rights, and the defense of the basic norms of society. So, too, they are both plagued by the same difficulty: they do not have direct access to government resources or to the police and the military to enforce their opinions and judgments. And in fulfilling their duties, both the judiciary and the media appeal only to the persuasive power of the word, reason, logic and the core values of organized community.</w:t>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Epilogue</w:t>
      </w:r>
    </w:p>
    <w:p w:rsidR="00000000" w:rsidDel="00000000" w:rsidP="00000000" w:rsidRDefault="00000000" w:rsidRPr="00000000" w14:paraId="000001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Mount Olympus has been invaded by microchips, modems and media, and the lives of the gods have irreversibly been altered. Jurists who are used to the conservative, patrician, even authoritarian, ways of the past realize the need for adjustment to the “megashifts” demanded by the information age. In turn,  I ask you, the purveyors of truth and molders of Opinions, to understand the generational gap between the graying men and women of the judiciary and the Wired generation of 30 years and below which constitutes 70 percent of our population.</w:t>
      </w:r>
    </w:p>
    <w:p w:rsidR="00000000" w:rsidDel="00000000" w:rsidP="00000000" w:rsidRDefault="00000000" w:rsidRPr="00000000" w14:paraId="000001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 close this address with a plea to you, our natural partners, to help us engender an informed appreciation of judges and the rule of law, not by means of public relations hype or blind and uncritical faith, but by a thoughtful evaluation of the role of the judiciary as the last bulwark of democracy and as the final recourse of the damned. In fine, I pray that you help us uphold the integrity, the independence and the dignity of the judiciary and its members.</w:t>
      </w:r>
    </w:p>
    <w:p w:rsidR="00000000" w:rsidDel="00000000" w:rsidP="00000000" w:rsidRDefault="00000000" w:rsidRPr="00000000" w14:paraId="000001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1FA">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4</w:t>
      </w:r>
    </w:p>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Paradigms Change But Values Endure</w:t>
      </w:r>
    </w:p>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1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Dr. Josefina R. Cortes, UE president and chief academic officer, as well as Law Dean Carlos M. Ortega for inviting me to be your commencement speaker. Graduation ceremonies bring back memories of my own student days some forty years ago.</w:t>
      </w:r>
    </w:p>
    <w:p w:rsidR="00000000" w:rsidDel="00000000" w:rsidP="00000000" w:rsidRDefault="00000000" w:rsidRPr="00000000" w14:paraId="000002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you may know, I finished my law degree from neighboring Far Eastern University (FEU). I have, however, fond memories of UE, because your school was the site of the 1960 bar examinations in which I was fortunate to be one of the topnotchers. You may want to know that I nearly did not take the said examinations because a few days before the first test was given, I became sick and had to be confined at the</w:t>
      </w:r>
      <w:r w:rsidDel="00000000" w:rsidR="00000000" w:rsidRPr="00000000">
        <w:rPr>
          <w:rFonts w:ascii="Georgia" w:cs="Georgia" w:eastAsia="Georgia" w:hAnsi="Georgia"/>
          <w:sz w:val="22"/>
          <w:szCs w:val="22"/>
          <w:vertAlign w:val="superscript"/>
        </w:rPr>
        <w:footnoteReference w:customMarkFollows="0" w:id="26"/>
      </w:r>
      <w:r w:rsidDel="00000000" w:rsidR="00000000" w:rsidRPr="00000000">
        <w:rPr>
          <w:rFonts w:ascii="Georgia" w:cs="Georgia" w:eastAsia="Georgia" w:hAnsi="Georgia"/>
          <w:sz w:val="22"/>
          <w:szCs w:val="22"/>
          <w:rtl w:val="0"/>
        </w:rPr>
        <w:t xml:space="preserve"> FEU Hospital, which was then located at N. Reyes Street just a block from here. I remember, on that first day, I had to walk over flooded R. Papa Street from the FEU Hospital to the UE gate in Lepanto Street, now known as Sergio Loyola Street. A typhoon hit the city and the street was knee-deep in water. I am grateful to my law dean at the time, Dr. Jovito R. Salonga who was later elected senate president of the Republic, for encouraging me to go on with the examinations in spite of illness and misfortune.</w:t>
      </w:r>
    </w:p>
    <w:p w:rsidR="00000000" w:rsidDel="00000000" w:rsidP="00000000" w:rsidRDefault="00000000" w:rsidRPr="00000000" w14:paraId="000002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congratulate all of you, dear graduates, on your victory at this turning point in your lives. Let me also felicitate your parents who, like my own father and mother, persevered and sacrificed hard-earned money to be able to provide their children with quality education, a reassuring first step in facing the real world out there.</w:t>
      </w:r>
    </w:p>
    <w:p w:rsidR="00000000" w:rsidDel="00000000" w:rsidP="00000000" w:rsidRDefault="00000000" w:rsidRPr="00000000" w14:paraId="00000202">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20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The Megashift to the </w:t>
      </w:r>
    </w:p>
    <w:p w:rsidR="00000000" w:rsidDel="00000000" w:rsidP="00000000" w:rsidRDefault="00000000" w:rsidRPr="00000000" w14:paraId="0000020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Information Age</w:t>
      </w:r>
    </w:p>
    <w:p w:rsidR="00000000" w:rsidDel="00000000" w:rsidP="00000000" w:rsidRDefault="00000000" w:rsidRPr="00000000" w14:paraId="000002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Dear graduates, you are indeed very special because you are finishing your schooling at the turn of the new century and the new millennium. In this sense, you should really be called millennial graduates, an honor that comes only once every one thousand years. As you leave the portals of your beloved UE, you will be stepping into a new era, a new civilization referred to as the information age or the e-age. According to John Naisbitt in his book Megatrends,' the world is now rapidly transforming — he calls it a “megashift” — from an industrial community to an information society. He explains that prosperity and</w:t>
      </w:r>
      <w:r w:rsidDel="00000000" w:rsidR="00000000" w:rsidRPr="00000000">
        <w:rPr>
          <w:rFonts w:ascii="Georgia" w:cs="Georgia" w:eastAsia="Georgia" w:hAnsi="Georgia"/>
          <w:sz w:val="22"/>
          <w:szCs w:val="22"/>
          <w:vertAlign w:val="superscript"/>
        </w:rPr>
        <w:footnoteReference w:customMarkFollows="0" w:id="27"/>
      </w:r>
      <w:r w:rsidDel="00000000" w:rsidR="00000000" w:rsidRPr="00000000">
        <w:rPr>
          <w:rFonts w:ascii="Georgia" w:cs="Georgia" w:eastAsia="Georgia" w:hAnsi="Georgia"/>
          <w:sz w:val="22"/>
          <w:szCs w:val="22"/>
          <w:rtl w:val="0"/>
        </w:rPr>
        <w:t xml:space="preserve"> economic well-being will depend no longer on machines and traditional industries but on the processing, the possession and the distribution of information. Significantly, Peter Drucker? adds that “the central workforce in the knowledge society will consist of highly specialized people.”</w:t>
      </w:r>
    </w:p>
    <w:p w:rsidR="00000000" w:rsidDel="00000000" w:rsidP="00000000" w:rsidRDefault="00000000" w:rsidRPr="00000000" w14:paraId="000002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past, we read of success stories of great visionaries and entrepreneurs like John Rockefeller who became an icon because of petroleum, like Cornelius Vanderbilt because of the railroad, and like Henry Ford because of the automobile. But now we have new e-age pioneers who made their mega fortunes by taking advantage of the new opportunities offered by computers, the Internet and the dotcom revolution. William H. Gates, by founding and nurturing the computer software giant Microsoft, became the richest man in the world at age 45. His net worth is pegged at about $85 billion. His yearly earnings alone, estimated at $20 billion, are enough to completely fund the budget of the Philippines for the year 2000. Rivaling him are John Morgridge and John Chambers of Cisco Systems, Inc. which, some people claim, has now replaced Microsoft as the most valuable company in the world.</w:t>
      </w:r>
    </w:p>
    <w:p w:rsidR="00000000" w:rsidDel="00000000" w:rsidP="00000000" w:rsidRDefault="00000000" w:rsidRPr="00000000" w14:paraId="000002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Alongside them are Gordon Moore and Bob Noyce, the men behind Intel, the world’s largest producer of microchips — the “brains” of the information age. Coming up very fast is 35-year-old Jeff Bezos, the chief executive of Amazon.com which promises to be the biggest retailer in the world without owning or Operating a single store or shopping center,</w:t>
      </w:r>
      <w:r w:rsidDel="00000000" w:rsidR="00000000" w:rsidRPr="00000000">
        <w:rPr>
          <w:rFonts w:ascii="Georgia" w:cs="Georgia" w:eastAsia="Georgia" w:hAnsi="Georgia"/>
          <w:sz w:val="22"/>
          <w:szCs w:val="22"/>
          <w:vertAlign w:val="superscript"/>
        </w:rPr>
        <w:footnoteReference w:customMarkFollows="0" w:id="28"/>
      </w:r>
      <w:r w:rsidDel="00000000" w:rsidR="00000000" w:rsidRPr="00000000">
        <w:rPr>
          <w:rFonts w:ascii="Georgia" w:cs="Georgia" w:eastAsia="Georgia" w:hAnsi="Georgia"/>
          <w:sz w:val="22"/>
          <w:szCs w:val="22"/>
          <w:vertAlign w:val="superscript"/>
        </w:rPr>
        <w:footnoteReference w:customMarkFollows="0" w:id="29"/>
      </w:r>
      <w:r w:rsidDel="00000000" w:rsidR="00000000" w:rsidRPr="00000000">
        <w:rPr>
          <w:rFonts w:ascii="Georgia" w:cs="Georgia" w:eastAsia="Georgia" w:hAnsi="Georgia"/>
          <w:sz w:val="22"/>
          <w:szCs w:val="22"/>
          <w:rtl w:val="0"/>
        </w:rPr>
        <w:t xml:space="preserve"> but which will sell and deliver anything from anywhere via their Internet website. In the same e-age billionaires’ league are Stephen Case of America Online, Michael Dell of Dell Computer Corporation, and Charles Schwab of Charles Schwab Corporation.’</w:t>
      </w:r>
    </w:p>
    <w:p w:rsidR="00000000" w:rsidDel="00000000" w:rsidP="00000000" w:rsidRDefault="00000000" w:rsidRPr="00000000" w14:paraId="0000020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09">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Effect of the Information </w:t>
      </w:r>
    </w:p>
    <w:p w:rsidR="00000000" w:rsidDel="00000000" w:rsidP="00000000" w:rsidRDefault="00000000" w:rsidRPr="00000000" w14:paraId="0000020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Age on Lives and Careers</w:t>
      </w:r>
    </w:p>
    <w:p w:rsidR="00000000" w:rsidDel="00000000" w:rsidP="00000000" w:rsidRDefault="00000000" w:rsidRPr="00000000" w14:paraId="000002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book, The Road Ahead; Bill Gates explains that in the near future, miniature but extra-powerful computers as small as wallets will become available and will replace the many things people carry in their bags or use at home and in their offices. It will serve the function of money, credit card, checkbook, traveler’s check, address book, note pad, reading material, camera, TV, video recorder, tape recorder, cellular phone, pager, concert ticket, map, compass, calculator, thermometer, heart rate sensor, barometer, scanner and even a loud whistle to summon help.</w:t>
      </w:r>
    </w:p>
    <w:p w:rsidR="00000000" w:rsidDel="00000000" w:rsidP="00000000" w:rsidRDefault="00000000" w:rsidRPr="00000000" w14:paraId="000002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 cutting-edge technological innovations will have tremendous impact not only on your leisure but also on your careers. As young lawyers, dentists, thinkers, managers, scientists and other professionals, you will have to cope with fast-changing times.</w:t>
      </w:r>
    </w:p>
    <w:p w:rsidR="00000000" w:rsidDel="00000000" w:rsidP="00000000" w:rsidRDefault="00000000" w:rsidRPr="00000000" w14:paraId="0000020D">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20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Law, Dentistry and Education</w:t>
      </w:r>
    </w:p>
    <w:p w:rsidR="00000000" w:rsidDel="00000000" w:rsidP="00000000" w:rsidRDefault="00000000" w:rsidRPr="00000000" w14:paraId="000002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lawyers, laws and court processes will radically change. To meet the challenges of paperless communications and scientific advances in ascertaining facts, court procedures and the rules of</w:t>
      </w:r>
      <w:r w:rsidDel="00000000" w:rsidR="00000000" w:rsidRPr="00000000">
        <w:rPr>
          <w:rFonts w:ascii="Georgia" w:cs="Georgia" w:eastAsia="Georgia" w:hAnsi="Georgia"/>
          <w:sz w:val="22"/>
          <w:szCs w:val="22"/>
          <w:vertAlign w:val="superscript"/>
        </w:rPr>
        <w:footnoteReference w:customMarkFollows="0" w:id="30"/>
      </w:r>
      <w:r w:rsidDel="00000000" w:rsidR="00000000" w:rsidRPr="00000000">
        <w:rPr>
          <w:rFonts w:ascii="Georgia" w:cs="Georgia" w:eastAsia="Georgia" w:hAnsi="Georgia"/>
          <w:sz w:val="22"/>
          <w:szCs w:val="22"/>
          <w:vertAlign w:val="superscript"/>
        </w:rPr>
        <w:footnoteReference w:customMarkFollows="0" w:id="31"/>
      </w:r>
      <w:r w:rsidDel="00000000" w:rsidR="00000000" w:rsidRPr="00000000">
        <w:rPr>
          <w:rFonts w:ascii="Georgia" w:cs="Georgia" w:eastAsia="Georgia" w:hAnsi="Georgia"/>
          <w:sz w:val="22"/>
          <w:szCs w:val="22"/>
          <w:rtl w:val="0"/>
        </w:rPr>
        <w:t xml:space="preserve"> evidence will be amended radically. Electronic commerce and new economic paradigms like deregulation, privatization and liberalization will need new doctrines in commercial, political and international law. Recent discoveries in DNA, surrogate parenthood and human cloning will alter our traditional concepts of civil and criminal law.</w:t>
      </w:r>
    </w:p>
    <w:p w:rsidR="00000000" w:rsidDel="00000000" w:rsidP="00000000" w:rsidRDefault="00000000" w:rsidRPr="00000000" w14:paraId="000002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dentistry, new scientific and informational discoveries will render obsolete some of the dental equipment we know today. When I was a teenager some 50 years ago, I dreaded going to the clinic of the then young dentist Rufino Achacoso, because his pedalpowered dental drills frayed my nerves. These days I still see the graying Dr. Achacoso, but this time I am no longer nervous because he can bore holes in molars and imbed new teeth into jawbones without inflicting pain. I am told that one day soon, the dental surgeon we know today may become obsolete, because tooth decay and gum disease may be totally prevented.</w:t>
      </w:r>
    </w:p>
    <w:p w:rsidR="00000000" w:rsidDel="00000000" w:rsidP="00000000" w:rsidRDefault="00000000" w:rsidRPr="00000000" w14:paraId="000002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same is true with other professions. Science and information technology will accelerate knowledge, and you will need to keep up all the time. According to our Ambassador to the US, Ernesto M. Maceda,‘ this year alone 1.6 million new “infotech” jobs will be created by American companies. More than one half of them will be available to non-Americans. Essentially, the job categories are database and software developers, programmers, technical writers, digital media specialists and systems integrators. If you have not heard of these jobs, it is time to know them and in fact to specialize in them. Indeed, as the information revolution matures, new opportunities and higher standards in traditional ones will have to be met. In the face of these onslaughts on your careers, what advice can I offer you on your graduation day?</w:t>
      </w:r>
    </w:p>
    <w:p w:rsidR="00000000" w:rsidDel="00000000" w:rsidP="00000000" w:rsidRDefault="00000000" w:rsidRPr="00000000" w14:paraId="000002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may find this strange. But to meet the challenges of new paradigms, I advise you to retain, practise and internalize old values. This is because paradigms change but values endure. These values can be summarized by three Es: EXCELLENCE, ETHICS and ETERNITY. To help you remember I will coin an acronym, ExEE (pronounced “Excy”). Let me explain each one of these Es.</w:t>
      </w:r>
    </w:p>
    <w:p w:rsidR="00000000" w:rsidDel="00000000" w:rsidP="00000000" w:rsidRDefault="00000000" w:rsidRPr="00000000" w14:paraId="0000021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Excellence and </w:t>
      </w:r>
    </w:p>
    <w:p w:rsidR="00000000" w:rsidDel="00000000" w:rsidP="00000000" w:rsidRDefault="00000000" w:rsidRPr="00000000" w14:paraId="0000021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Self-fulfillment</w:t>
      </w:r>
    </w:p>
    <w:p w:rsidR="00000000" w:rsidDel="00000000" w:rsidP="00000000" w:rsidRDefault="00000000" w:rsidRPr="00000000" w14:paraId="000002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Excellence is a value that demands the best performance from all of us all the time. True, not everyone has been endowed with the same amount of gray matter or artistic talent or motor skill or athletic prowess, but it is everyone’s responsibility to develop to the maximum whatever natural gift one has been given by the Lord. By becoming experts in our chosen lines or careers, we become self-confident and self-assured. Excellence in everything we say or do becomes our source of self-dignity, self-worth and self-fulfillment.</w:t>
      </w:r>
    </w:p>
    <w:p w:rsidR="00000000" w:rsidDel="00000000" w:rsidP="00000000" w:rsidRDefault="00000000" w:rsidRPr="00000000" w14:paraId="000002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Excellence need not always be achieved with Latin honors during graduation. It can be attained even by the most ordinary graduate. It can be the product of enterprise arising from mundane activities, such as finding a need and filling it, or it can be the result of sheer passion. Let me give you an example.</w:t>
      </w:r>
    </w:p>
    <w:p w:rsidR="00000000" w:rsidDel="00000000" w:rsidP="00000000" w:rsidRDefault="00000000" w:rsidRPr="00000000" w14:paraId="000002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3M, the giant US adhesive company, there was a very ordinary employee named Art Fry. During his off hours, he sang in a choir in his local church. He discovered to his dismay that the bits of paper used to mark the church hymns kept falling out of the books. He yearned for an adhesive-backed paper that would stick as long as necessary, but would leave no trace when removed. With this little background, he suggested to his employer the creation of this simple yellow paper device which is now called “Post It” note pad.’ Thus began a new $300 million business for 3M, and for Art Fry an instant place in the company’s honor roll.</w:t>
      </w:r>
    </w:p>
    <w:p w:rsidR="00000000" w:rsidDel="00000000" w:rsidP="00000000" w:rsidRDefault="00000000" w:rsidRPr="00000000" w14:paraId="0000021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1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 Passion </w:t>
      </w:r>
    </w:p>
    <w:p w:rsidR="00000000" w:rsidDel="00000000" w:rsidP="00000000" w:rsidRDefault="00000000" w:rsidRPr="00000000" w14:paraId="0000021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for Excellence</w:t>
      </w:r>
    </w:p>
    <w:p w:rsidR="00000000" w:rsidDel="00000000" w:rsidP="00000000" w:rsidRDefault="00000000" w:rsidRPr="00000000" w14:paraId="000002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story shows that excellence, innovation and creativity need not be sourced only from formal schooling. Verily, after these graduation ceremonies, most of you will no longer re-enroll to obtain another degree. Instead, you will face the real world. To advance in the information society, however, you will need to constantly study and specialize. And you will soon realize that learning is not something you do only in classrooms or only under the tutelage of professors. True, the e-age demands constant updating. But the computer and the Internet will open new vistas and quicker ways to educate yourselves.</w:t>
      </w:r>
    </w:p>
    <w:p w:rsidR="00000000" w:rsidDel="00000000" w:rsidP="00000000" w:rsidRDefault="00000000" w:rsidRPr="00000000" w14:paraId="000002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example, if you are curious why the cost of gasoline seems to be always increasing, you can get answers from CD-ROMs available today, or directly from the Internet. They will provide not only valuable text materials, but also accompanying interactive photos, charts, diagrams, videos and animations</w:t>
      </w:r>
      <w:r w:rsidDel="00000000" w:rsidR="00000000" w:rsidRPr="00000000">
        <w:rPr>
          <w:rFonts w:ascii="Georgia" w:cs="Georgia" w:eastAsia="Georgia" w:hAnsi="Georgia"/>
          <w:sz w:val="22"/>
          <w:szCs w:val="22"/>
          <w:vertAlign w:val="superscript"/>
        </w:rPr>
        <w:footnoteReference w:customMarkFollows="0" w:id="32"/>
      </w:r>
      <w:r w:rsidDel="00000000" w:rsidR="00000000" w:rsidRPr="00000000">
        <w:rPr>
          <w:rFonts w:ascii="Georgia" w:cs="Georgia" w:eastAsia="Georgia" w:hAnsi="Georgia"/>
          <w:sz w:val="22"/>
          <w:szCs w:val="22"/>
          <w:rtl w:val="0"/>
        </w:rPr>
        <w:t xml:space="preserve"> explaining how oil is drilled, transported, refined, segregated, priced and delivered. You can learn much faster from these new media than if you merely read passive books or even attended occasional lectures.</w:t>
      </w:r>
    </w:p>
    <w:p w:rsidR="00000000" w:rsidDel="00000000" w:rsidP="00000000" w:rsidRDefault="00000000" w:rsidRPr="00000000" w14:paraId="000002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point is: in the new millennium you should not stop learning after you step out of college. Whether you opt to pursue further graduate studies or learn on your own, you must develop a passion for excellence, a habit of moving on, of always being ahead in learning, training and experience.</w:t>
      </w:r>
    </w:p>
    <w:p w:rsidR="00000000" w:rsidDel="00000000" w:rsidP="00000000" w:rsidRDefault="00000000" w:rsidRPr="00000000" w14:paraId="0000021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0">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Ethics, Source </w:t>
      </w:r>
    </w:p>
    <w:p w:rsidR="00000000" w:rsidDel="00000000" w:rsidP="00000000" w:rsidRDefault="00000000" w:rsidRPr="00000000" w14:paraId="00000221">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of True Success</w:t>
      </w:r>
    </w:p>
    <w:p w:rsidR="00000000" w:rsidDel="00000000" w:rsidP="00000000" w:rsidRDefault="00000000" w:rsidRPr="00000000" w14:paraId="000002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the second E which stands for ethics. Every profession has a code of ethics. All these codes, or canons as we prefer to call them in the legal profession, are in turn based on character ethic,’ on “old-fashioned” principles like integrity, humility, fidelity, courage, prudence and hard work. These are basic norms that must be internalized as the primary sources of true success and enduring happiness. All great persons, heroes and saints have integrated these principles deep within themselves and have depended on them in times of stress and crisis.</w:t>
      </w:r>
    </w:p>
    <w:p w:rsidR="00000000" w:rsidDel="00000000" w:rsidP="00000000" w:rsidRDefault="00000000" w:rsidRPr="00000000" w14:paraId="000002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 Change in Men, </w:t>
      </w:r>
    </w:p>
    <w:p w:rsidR="00000000" w:rsidDel="00000000" w:rsidP="00000000" w:rsidRDefault="00000000" w:rsidRPr="00000000" w14:paraId="0000022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Not a Change of Men</w:t>
      </w:r>
    </w:p>
    <w:p w:rsidR="00000000" w:rsidDel="00000000" w:rsidP="00000000" w:rsidRDefault="00000000" w:rsidRPr="00000000" w14:paraId="000002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to change society, to change our government, what we need is not just a change of men, but a change in men. A change in men is possible only if people accept and practise these ethical values, if</w:t>
      </w:r>
      <w:r w:rsidDel="00000000" w:rsidR="00000000" w:rsidRPr="00000000">
        <w:rPr>
          <w:rFonts w:ascii="Georgia" w:cs="Georgia" w:eastAsia="Georgia" w:hAnsi="Georgia"/>
          <w:sz w:val="22"/>
          <w:szCs w:val="22"/>
          <w:vertAlign w:val="superscript"/>
        </w:rPr>
        <w:footnoteReference w:customMarkFollows="0" w:id="33"/>
      </w:r>
      <w:r w:rsidDel="00000000" w:rsidR="00000000" w:rsidRPr="00000000">
        <w:rPr>
          <w:rFonts w:ascii="Georgia" w:cs="Georgia" w:eastAsia="Georgia" w:hAnsi="Georgia"/>
          <w:sz w:val="22"/>
          <w:szCs w:val="22"/>
          <w:rtl w:val="0"/>
        </w:rPr>
        <w:t xml:space="preserve"> they begin the change from inside their hearts, if they change their old habits and embrace ethical principles and values.</w:t>
      </w:r>
    </w:p>
    <w:p w:rsidR="00000000" w:rsidDel="00000000" w:rsidP="00000000" w:rsidRDefault="00000000" w:rsidRPr="00000000" w14:paraId="000002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people are intrigued when they see others become rich, famous or talked about as role models; or when they simply have happy homes, happy marriages and successful children. So they ask, “How did you do it? Give me some quick advice so I can solve my own predicaments and succeed like you. Is there a motivating seminar or yoga class you can recommend?”</w:t>
      </w:r>
    </w:p>
    <w:p w:rsidR="00000000" w:rsidDel="00000000" w:rsidP="00000000" w:rsidRDefault="00000000" w:rsidRPr="00000000" w14:paraId="000002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Motivational speeches and quick-fix solutions, like Band Aid and aspirin, have their limited uses to ease the pain or symptoms, but the real solution lies deep inside each one of us — patiently cultivating and actually living the basic ethical values I mentioned earlier.</w:t>
      </w:r>
    </w:p>
    <w:p w:rsidR="00000000" w:rsidDel="00000000" w:rsidP="00000000" w:rsidRDefault="00000000" w:rsidRPr="00000000" w14:paraId="000002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final analysis, what we are communicates far more eloquently than anything we say or do.” In the words of Emerson, “What you are shouts so loudly in my ears I cannot hear what you say.”</w:t>
      </w:r>
    </w:p>
    <w:p w:rsidR="00000000" w:rsidDel="00000000" w:rsidP="00000000" w:rsidRDefault="00000000" w:rsidRPr="00000000" w14:paraId="000002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a swindler cannot talk about integrity, a chatterbox cannot teach about contemplative life, and an atheist cannot preach about God.</w:t>
      </w:r>
    </w:p>
    <w:p w:rsidR="00000000" w:rsidDel="00000000" w:rsidP="00000000" w:rsidRDefault="00000000" w:rsidRPr="00000000" w14:paraId="000002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people we trust because we know their character; because we know them to be honest, fair and gentle. They may not be eloquent, they may not know public relations techniques, they may not know how to polish our egos, but we trust them because they have integrity and fidelity.</w:t>
      </w:r>
    </w:p>
    <w:p w:rsidR="00000000" w:rsidDel="00000000" w:rsidP="00000000" w:rsidRDefault="00000000" w:rsidRPr="00000000" w14:paraId="0000022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2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Eternity Is Our </w:t>
      </w:r>
    </w:p>
    <w:p w:rsidR="00000000" w:rsidDel="00000000" w:rsidP="00000000" w:rsidRDefault="00000000" w:rsidRPr="00000000" w14:paraId="0000022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Final Destiny</w:t>
      </w:r>
    </w:p>
    <w:p w:rsidR="00000000" w:rsidDel="00000000" w:rsidP="00000000" w:rsidRDefault="00000000" w:rsidRPr="00000000" w14:paraId="000002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the third and final E, which stands for eternity. Never for a moment believe that our life on earth is the only life we have been gifted with. Rather, believe that there is life after death, that there is eternity where our final destiny lies. Graduates and friends, let me assure you: God watches over all of us and awaits us in eternity. We may not see or hear Him, but He is present here today. He is amongst us, above us to inspire us, before us to lead us, beside us to guide us, behind us to protect us, and within us — in our hearts and our spirits — to possess us and bring us to His everlasting Kingdom.</w:t>
      </w:r>
    </w:p>
    <w:p w:rsidR="00000000" w:rsidDel="00000000" w:rsidP="00000000" w:rsidRDefault="00000000" w:rsidRPr="00000000" w14:paraId="000002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Have faith in God. Many times we pray and ask God for what we want — for a good career, for a passing grade, for a reciprocated love, for a healing of some illness, for a car and even for a house. Sometimes when we do not get what we want, we feel embittered and doubt God’s power and providence. But our God is an infinitely intelligent and powerful God. He knows our needs better than we do. He will always provide all things good for us — in His own time and in His own way. As God has Himself said in the Bible, in the book of Isaiah:</w:t>
      </w:r>
    </w:p>
    <w:p w:rsidR="00000000" w:rsidDel="00000000" w:rsidP="00000000" w:rsidRDefault="00000000" w:rsidRPr="00000000" w14:paraId="000002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thoughts are not your thoughts, </w:t>
      </w:r>
    </w:p>
    <w:p w:rsidR="00000000" w:rsidDel="00000000" w:rsidP="00000000" w:rsidRDefault="00000000" w:rsidRPr="00000000" w14:paraId="000002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my ways are not your ways; </w:t>
      </w:r>
    </w:p>
    <w:p w:rsidR="00000000" w:rsidDel="00000000" w:rsidP="00000000" w:rsidRDefault="00000000" w:rsidRPr="00000000" w14:paraId="000002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high as the heavens are above the earth, </w:t>
      </w:r>
    </w:p>
    <w:p w:rsidR="00000000" w:rsidDel="00000000" w:rsidP="00000000" w:rsidRDefault="00000000" w:rsidRPr="00000000" w14:paraId="000002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high are my ways above your ways, </w:t>
      </w:r>
    </w:p>
    <w:p w:rsidR="00000000" w:rsidDel="00000000" w:rsidP="00000000" w:rsidRDefault="00000000" w:rsidRPr="00000000" w14:paraId="000002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my thoughts above your thoughts</w:t>
      </w:r>
    </w:p>
    <w:p w:rsidR="00000000" w:rsidDel="00000000" w:rsidP="00000000" w:rsidRDefault="00000000" w:rsidRPr="00000000" w14:paraId="0000023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Epilogue</w:t>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Dear graduates, let me summarize my message today. As you leave the portals of your beloved UE, you will be facing a rapidly changing world, a world which will demand a new mind set and require a lot of hard work. If you are able to meet its challenges, the world will accord you fortune and fame. It is a world that will offer you an opportunity to live not only for the here and now, but also for the hereafter and forever. But it may also bring difficulties, headaches and predicaments. In your frustration, pain and angst, you will meet counselors, motivators and pseudo experts who will advise you on how to confront these new worldly paradigms, standards and theories of working, living and leisuring. In the end, however, what will truly serve you, save you and enable you to succeed and to live a life worth living, hot only in this life but also in the next, are these three £8 — excellence, ethics and eternity. In short, ExEE.</w:t>
      </w:r>
    </w:p>
    <w:p w:rsidR="00000000" w:rsidDel="00000000" w:rsidP="00000000" w:rsidRDefault="00000000" w:rsidRPr="00000000" w14:paraId="000002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Someday, twenty or thirty years from now, while you bask at the summit of your own respective careers, it is my hope that in sharing the secret of your success with your children, you will tell them something like this: “I succeeded in my life and career because during My graduation day on April 25, 2000, I heard, believed and then practised the three Es or ExEE message from Mir commencement speaker. I believed him when he said that paradigms change but values endure. Since then, my life changed from within and success came Naturally,”</w:t>
      </w:r>
    </w:p>
    <w:p w:rsidR="00000000" w:rsidDel="00000000" w:rsidP="00000000" w:rsidRDefault="00000000" w:rsidRPr="00000000" w14:paraId="000002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3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5</w:t>
      </w:r>
    </w:p>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Excellence Is Not Enough</w:t>
      </w:r>
    </w:p>
    <w:p w:rsidR="00000000" w:rsidDel="00000000" w:rsidP="00000000" w:rsidRDefault="00000000" w:rsidRPr="00000000" w14:paraId="000002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Thank you, Dr. Sonia Yuson de Leon, president of the Phi Kappa Phi Honor Society, for inviting me to be your guest speaker in today’s Round Table Conference. I met Toti and her husband Gus during the late Fifties, when both were UP scholars and leaders of the Student Catholic Action. Then as now, they have been devoted to the call of the intellect and of the spirit.</w:t>
      </w:r>
    </w:p>
    <w:p w:rsidR="00000000" w:rsidDel="00000000" w:rsidP="00000000" w:rsidRDefault="00000000" w:rsidRPr="00000000" w14:paraId="00000243">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As some of you may know, this is my second time to appear before Phi Kappa Phi; the first was on March 15, 1994, during your Diamond Year Round Table Symposium. You made me sweat and blush that time; nonetheless, I always consider it a great honor to be “roasted” by the intellectual elite of our country. And so here I am again, ready for your fire and coal.</w:t>
      </w:r>
      <w:r w:rsidDel="00000000" w:rsidR="00000000" w:rsidRPr="00000000">
        <w:rPr>
          <w:rtl w:val="0"/>
        </w:rPr>
      </w:r>
    </w:p>
    <w:p w:rsidR="00000000" w:rsidDel="00000000" w:rsidP="00000000" w:rsidRDefault="00000000" w:rsidRPr="00000000" w14:paraId="000002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in its search for the “Person of the Century,” Time magazine came up with three finalists; first, Franklin D. Roosevelt who embodied the triumph of freedom over totalitarianism; second, Mohandas Gandhi who represented the crusade for civil and individual liberties; and third, Albert Einstein who personified advances in science and technology. All three were great nominees, but I think the eventual choice of Einstein was a triumph of pure excellence.</w:t>
      </w:r>
    </w:p>
    <w:p w:rsidR="00000000" w:rsidDel="00000000" w:rsidP="00000000" w:rsidRDefault="00000000" w:rsidRPr="00000000" w14:paraId="000002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Undoubtedly, the contribution to civilization of the first two can never be overestimated in terms of humanizing man, but I believe that Einstein’s most famous equation in all of physics — energy equals mass multiplied by the speed of light squared or E=mc² — and his space-time discoveries provide a glimpse of the divine: the more we learn of the cosmos, the more we know that there is much more we do not know.</w:t>
      </w:r>
    </w:p>
    <w:p w:rsidR="00000000" w:rsidDel="00000000" w:rsidP="00000000" w:rsidRDefault="00000000" w:rsidRPr="00000000" w14:paraId="000002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Einstein is known for his intellectual probe not only of the vast universe, but also of the minute atom; and light quanta which provide underpinnings for television, laser, the semi-conductor and, yes, the microchip — the “brain” of the new millennium. In this sense, Einstein and his successors are credited with the founding of the information age which now directly influences our lifestyles, habits, careers, social mores, cultures and even philosophies. I can spend the whole day theoretically explaining the impact of the computer, the Internet and the “dotcom” revolution, but that will bore you. Let me then illustrate some of these changes in the e-society in a more personal and experiential way.</w:t>
      </w:r>
    </w:p>
    <w:p w:rsidR="00000000" w:rsidDel="00000000" w:rsidP="00000000" w:rsidRDefault="00000000" w:rsidRPr="00000000" w14:paraId="00000247">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48">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Personal Experiences </w:t>
      </w:r>
    </w:p>
    <w:p w:rsidR="00000000" w:rsidDel="00000000" w:rsidP="00000000" w:rsidRDefault="00000000" w:rsidRPr="00000000" w14:paraId="00000249">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in the e-Society</w:t>
      </w:r>
    </w:p>
    <w:p w:rsidR="00000000" w:rsidDel="00000000" w:rsidP="00000000" w:rsidRDefault="00000000" w:rsidRPr="00000000" w14:paraId="000002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 Christmas season (1999), my wife and I visited our children and grandchildren in the United States. You see, four of our five children live and work in New York City. Even while visiting that big distant city, | was up-to-date on Philippine current events, because the newscast “The World Tonight” was available on New York cable TV. Even more amazing, I could instantly read the latest news items appearing on our national dailies by simply accessing the Internet homepages of the Inquirer, the Star, or the Bulletin. In fact, I was able to read the news earlier than most Philippine readers.</w:t>
      </w:r>
    </w:p>
    <w:p w:rsidR="00000000" w:rsidDel="00000000" w:rsidP="00000000" w:rsidRDefault="00000000" w:rsidRPr="00000000" w14:paraId="000002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You see, the news stories of these dailies are automatically posted on the Internet as they are being composed. By 12:00 midnight, Philippine time, all the stories are already written and are in the process of being printed by rolling printing presses. Hence, while in New York I was able to read the contents of the major Manila newspapers at 12:00 noon, New York time, which was 1:00 a.m. Manila time — hours before Philippine readers could purchase their printed copies. One day, I called a friend at 4:00 a.m., Manila time, and he was surprised I could quote verbatim over the phone the news headlines for that day.</w:t>
      </w:r>
    </w:p>
    <w:p w:rsidR="00000000" w:rsidDel="00000000" w:rsidP="00000000" w:rsidRDefault="00000000" w:rsidRPr="00000000" w14:paraId="000002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Christmas, my entire family planned to go to DisneyWorld in Florida. We were billeted at the Coronado Resort, which was a gigantic complex composed of several hotel buildings built around an artificial lake. Upon check-in, we were each given a</w:t>
      </w:r>
      <w:r w:rsidDel="00000000" w:rsidR="00000000" w:rsidRPr="00000000">
        <w:rPr>
          <w:rFonts w:ascii="Georgia" w:cs="Georgia" w:eastAsia="Georgia" w:hAnsi="Georgia"/>
          <w:sz w:val="22"/>
          <w:szCs w:val="22"/>
          <w:vertAlign w:val="superscript"/>
        </w:rPr>
        <w:footnoteReference w:customMarkFollows="0" w:id="34"/>
      </w:r>
      <w:r w:rsidDel="00000000" w:rsidR="00000000" w:rsidRPr="00000000">
        <w:rPr>
          <w:rFonts w:ascii="Georgia" w:cs="Georgia" w:eastAsia="Georgia" w:hAnsi="Georgia"/>
          <w:sz w:val="22"/>
          <w:szCs w:val="22"/>
          <w:vertAlign w:val="superscript"/>
        </w:rPr>
        <w:footnoteReference w:customMarkFollows="0" w:id="35"/>
      </w:r>
      <w:r w:rsidDel="00000000" w:rsidR="00000000" w:rsidRPr="00000000">
        <w:rPr>
          <w:rFonts w:ascii="Georgia" w:cs="Georgia" w:eastAsia="Georgia" w:hAnsi="Georgia"/>
          <w:sz w:val="22"/>
          <w:szCs w:val="22"/>
          <w:rtl w:val="0"/>
        </w:rPr>
        <w:t xml:space="preserve"> small plastic card, similar to a credit card, which enabled us to access and enjoy all the one thousand and one facilities of the Magic Kingdom. It allowed us to charge any meal or shopping; to gain entry to any of the exhibition halls, amusement centers and studio rides in the various theme parks; to rent battery-operated people movers, motorboats and quadcycles; and to buy or use practically anything in DisneyWorld, a virtual entertainment city larger than Makati.</w:t>
      </w:r>
    </w:p>
    <w:p w:rsidR="00000000" w:rsidDel="00000000" w:rsidP="00000000" w:rsidRDefault="00000000" w:rsidRPr="00000000" w14:paraId="000002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May this year (2000), my wife and I toured Turkey for two weeks. I was amazed that through my mobile phone issued in Manila, I could call and send text messages anywhere and at any time during our bus tour of more than 2,000 kilometers in that country.</w:t>
      </w:r>
    </w:p>
    <w:p w:rsidR="00000000" w:rsidDel="00000000" w:rsidP="00000000" w:rsidRDefault="00000000" w:rsidRPr="00000000" w14:paraId="0000024E">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4F">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Research Made </w:t>
      </w:r>
    </w:p>
    <w:p w:rsidR="00000000" w:rsidDel="00000000" w:rsidP="00000000" w:rsidRDefault="00000000" w:rsidRPr="00000000" w14:paraId="00000250">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z w:val="22"/>
          <w:szCs w:val="22"/>
          <w:rtl w:val="0"/>
        </w:rPr>
        <w:t xml:space="preserve">E</w:t>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asy in the e-Age</w:t>
      </w:r>
    </w:p>
    <w:p w:rsidR="00000000" w:rsidDel="00000000" w:rsidP="00000000" w:rsidRDefault="00000000" w:rsidRPr="00000000" w14:paraId="000002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Decades ago, I was taught in school that if I wanted information on a specific topic, I needed to research volumes of encyclopedia with millions of words and thousands of illustrations, This method of research has been rendered obsolete by Encarta, a single-ounce CD-Rom,‘ which includes “26,000 topics, nine million words of text, eight hours of sound, 7,000 photographs, 800 maps, 250 interactive charts and 100 animations and video clips. It costs less than $100.”</w:t>
      </w:r>
    </w:p>
    <w:p w:rsidR="00000000" w:rsidDel="00000000" w:rsidP="00000000" w:rsidRDefault="00000000" w:rsidRPr="00000000" w14:paraId="000002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Encarta and its CD-Rom cousins will be phased out, once broad-band fiber optics are connected to home computers. By that time, the Internet will become the source of libraries, current events, movie, sports, shopping and entertainment; yes, it will have information on every phase of life, work and leisure.</w:t>
      </w:r>
    </w:p>
    <w:p w:rsidR="00000000" w:rsidDel="00000000" w:rsidP="00000000" w:rsidRDefault="00000000" w:rsidRPr="00000000" w14:paraId="000002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face of these informational and technological advances, our country, sadly enough, is still struggling in its agricultural and industrial transformation. Its socio-economic and political systems are still mired in the same maladies that have plagued it for over a century: poverty, rebellion, corruption and criminality. It seems that these maladies have even worsened over the decades, resulting in stagnation in our economic, social, cultural and political lives.</w:t>
      </w:r>
    </w:p>
    <w:p w:rsidR="00000000" w:rsidDel="00000000" w:rsidP="00000000" w:rsidRDefault="00000000" w:rsidRPr="00000000" w14:paraId="000002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their conference theme, the International Honor Society of Phi Kappa Phi and the Civil Service Commission have singled out “Excellence in Government Service” as a major solution to our national ills and as the “software,” as it were, to propel us into the e-age. I partially agree. I believe however, that excellence should not be confined to government, but to anything or everything we say or do even as plain citizens and as private individuals. More than that, I say that excellence is not enough. I explained during my commencement address last April 26, 2000, before graduates of the University of the East, that aside from excellence we need two other E words; namely, ethics and eternity. Let me take up each of these three Es.</w:t>
      </w:r>
    </w:p>
    <w:p w:rsidR="00000000" w:rsidDel="00000000" w:rsidP="00000000" w:rsidRDefault="00000000" w:rsidRPr="00000000" w14:paraId="0000025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56">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 Passion </w:t>
      </w:r>
    </w:p>
    <w:p w:rsidR="00000000" w:rsidDel="00000000" w:rsidP="00000000" w:rsidRDefault="00000000" w:rsidRPr="00000000" w14:paraId="00000257">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for Excellence</w:t>
      </w:r>
      <w:r w:rsidDel="00000000" w:rsidR="00000000" w:rsidRPr="00000000">
        <w:rPr>
          <w:rtl w:val="0"/>
        </w:rPr>
      </w:r>
    </w:p>
    <w:p w:rsidR="00000000" w:rsidDel="00000000" w:rsidP="00000000" w:rsidRDefault="00000000" w:rsidRPr="00000000" w14:paraId="00000258">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According to the Merriam-Webster International Dictionary, excellence “indicates a high degree or</w:t>
      </w:r>
      <w:r w:rsidDel="00000000" w:rsidR="00000000" w:rsidRPr="00000000">
        <w:rPr>
          <w:rFonts w:ascii="Georgia" w:cs="Georgia" w:eastAsia="Georgia" w:hAnsi="Georgia"/>
          <w:sz w:val="22"/>
          <w:szCs w:val="22"/>
          <w:vertAlign w:val="superscript"/>
          <w:rtl w:val="0"/>
        </w:rPr>
        <w:t xml:space="preserve"> </w:t>
      </w:r>
      <w:r w:rsidDel="00000000" w:rsidR="00000000" w:rsidRPr="00000000">
        <w:rPr>
          <w:rFonts w:ascii="Georgia" w:cs="Georgia" w:eastAsia="Georgia" w:hAnsi="Georgia"/>
          <w:sz w:val="22"/>
          <w:szCs w:val="22"/>
          <w:rtl w:val="0"/>
        </w:rPr>
        <w:t xml:space="preserve">highest degree of good qualities; of qualities that make for especial worth or merit, x x x.” It is synonymous with “virtue or perfection.”</w:t>
      </w:r>
    </w:p>
    <w:p w:rsidR="00000000" w:rsidDel="00000000" w:rsidP="00000000" w:rsidRDefault="00000000" w:rsidRPr="00000000" w14:paraId="000002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Excellence is a value that demands the best performance from all of us all the time. True, not everyone has been endowed with the same amount of gray matter or artistic talent or motor skill or athletic prowess, but it is our responsibility to develop to the maximum whatever natural gift we have been given by the Lord. By becoming experts in our chosen lines or careers, we become self-confident and self-assured. Excellence in everything we say or do becomes our source of self-dignity, self-worth and self-fulfillment.</w:t>
      </w:r>
    </w:p>
    <w:p w:rsidR="00000000" w:rsidDel="00000000" w:rsidP="00000000" w:rsidRDefault="00000000" w:rsidRPr="00000000" w14:paraId="000002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Again, I would like to speak intimately from the heart. Let me relate my only son’s quest for excellence. After high school, he finished a four-year course in management engineering in Ateneo, then he honed his piano talent with a bachelor’s degree in music from UP, summa cum laude. Later, he took advantage of a German government scholarship and finished a graduate piano course in Munich. After his German studies, he went to Stanford University for further studies — this time no longer in music, but in the sentences. After a year, he obtained a master’s degree i) Operations research. Not satisfied, he took up another master’s degree and, after several more years of studying, graduated in June 1999 with a Ph.D. in Engineering Economic Systems with the coveted Stanford Centennial Award for excellence as a teaching Assistant.</w:t>
      </w:r>
    </w:p>
    <w:p w:rsidR="00000000" w:rsidDel="00000000" w:rsidP="00000000" w:rsidRDefault="00000000" w:rsidRPr="00000000" w14:paraId="000002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all those long years of schooling, I frankly began to worry about him, because he might have been overdoing his search for academic excellence. I thought that seventeen years of studying after high school and finishing two bachelor’s and three master’# degrees and then a doctoral degree simply took too long. I thought that instead of just enrolling in various universities, however great, he should have spent half of those seventeen years to build a career, a family and a niche in the real world.</w:t>
      </w:r>
    </w:p>
    <w:p w:rsidR="00000000" w:rsidDel="00000000" w:rsidP="00000000" w:rsidRDefault="00000000" w:rsidRPr="00000000" w14:paraId="000002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thinking about my own student days. After high school, I took up only two years of preparatory law and four years of legal studies. Thereafter | plunged immediately into building my career = starting as a lowly associate at the law office of my former dean, at the same time teaching law and dabbling in business. At age 36, I was already fairly established: I had my own modest law firm, my own little business, my wife and five young children, my own house and my first Mercedes Benz.’ I continued to inch up slowly in my career ladder until I reached the summit as a Supreme Court justice.</w:t>
      </w:r>
    </w:p>
    <w:p w:rsidR="00000000" w:rsidDel="00000000" w:rsidP="00000000" w:rsidRDefault="00000000" w:rsidRPr="00000000" w14:paraId="000002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worried that at the same age of 36, my only son would just be out of school and just about to begin his career, still single and still penniless, while many _ of his high school chums were already well-settled in their own careers, homes and family lives.</w:t>
      </w:r>
    </w:p>
    <w:p w:rsidR="00000000" w:rsidDel="00000000" w:rsidP="00000000" w:rsidRDefault="00000000" w:rsidRPr="00000000" w14:paraId="000002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my fears suddenly vanished when, right out of Stanford, my son was swamped with tempting offers. Unlike me, his entrance into his chosen career did not begin at the bottom, but immediately at the top — as vice president for information technology at the New York-based Bear Stearns, one of the biggest investment banks in the United States. Now I no-</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t>
      </w:r>
      <w:r w:rsidDel="00000000" w:rsidR="00000000" w:rsidRPr="00000000">
        <w:rPr>
          <w:rFonts w:ascii="Georgia" w:cs="Georgia" w:eastAsia="Georgia" w:hAnsi="Georgia"/>
          <w:i w:val="0"/>
          <w:iCs w:val="0"/>
          <w:smallCaps w:val="0"/>
          <w:strike w:val="0"/>
          <w:color w:val="000000"/>
          <w:sz w:val="22"/>
          <w:szCs w:val="22"/>
          <w:u w:val="none"/>
          <w:shd w:fill="auto" w:val="clear"/>
          <w:vertAlign w:val="superscript"/>
        </w:rPr>
        <w:footnoteReference w:customMarkFollows="0" w:id="36"/>
      </w:r>
      <w:r w:rsidDel="00000000" w:rsidR="00000000" w:rsidRPr="00000000">
        <w:rPr>
          <w:rtl w:val="0"/>
        </w:rPr>
      </w:r>
    </w:p>
    <w:p w:rsidR="00000000" w:rsidDel="00000000" w:rsidP="00000000" w:rsidRDefault="00000000" w:rsidRPr="00000000" w14:paraId="000002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longer worry. I now know he will have his own career, family and home at his own pace and his own time, in a manner I hope the Phi Kappa Phi, of which he is a member, will be proud of. He had his own way and I had mine.</w:t>
      </w:r>
    </w:p>
    <w:p w:rsidR="00000000" w:rsidDel="00000000" w:rsidP="00000000" w:rsidRDefault="00000000" w:rsidRPr="00000000" w14:paraId="000002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do our contrasting career paths prove? I believe they show that there are various ways of achieving excellence. My son’s career path was one of undertaking long formal education and then beginning right at the top of his chosen profession; mine consisted of taking up a short basic schooling, then starting at the bottom of my chosen field, climbing the ladder step by step until finally reaching the top. Which is the better way? You tell me!</w:t>
      </w:r>
    </w:p>
    <w:p w:rsidR="00000000" w:rsidDel="00000000" w:rsidP="00000000" w:rsidRDefault="00000000" w:rsidRPr="00000000" w14:paraId="00000262">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26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Excellence in the Humanities, </w:t>
      </w:r>
      <w:r w:rsidDel="00000000" w:rsidR="00000000" w:rsidRPr="00000000">
        <w:rPr>
          <w:rtl w:val="0"/>
        </w:rPr>
      </w:r>
    </w:p>
    <w:p w:rsidR="00000000" w:rsidDel="00000000" w:rsidP="00000000" w:rsidRDefault="00000000" w:rsidRPr="00000000" w14:paraId="0000026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Specialization in Careers</w:t>
      </w:r>
    </w:p>
    <w:p w:rsidR="00000000" w:rsidDel="00000000" w:rsidP="00000000" w:rsidRDefault="00000000" w:rsidRPr="00000000" w14:paraId="000002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Whatever be your answer to my last question, the point is: excellence in the highly accelerative e-age is a must. “Education [is] the center of the knowledge society and schooling its key institution.” Social thinkers from Wells to Toynbee have repeatedly argued that the global society is in a race between education and catastrophe. Those stakes become higher as the new century dawns, because the computer, the Internet and the dotcom mania have compressed the earth into one global village where one’s fate is determined by one’s ability to cope.</w:t>
      </w:r>
    </w:p>
    <w:p w:rsidR="00000000" w:rsidDel="00000000" w:rsidP="00000000" w:rsidRDefault="00000000" w:rsidRPr="00000000" w14:paraId="000002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need a general background in the humanities, social sciences, history and current events, even as we specialize in a chosen field. This combination of</w:t>
      </w:r>
      <w:r w:rsidDel="00000000" w:rsidR="00000000" w:rsidRPr="00000000">
        <w:rPr>
          <w:rFonts w:ascii="Georgia" w:cs="Georgia" w:eastAsia="Georgia" w:hAnsi="Georgia"/>
          <w:sz w:val="22"/>
          <w:szCs w:val="22"/>
          <w:vertAlign w:val="superscript"/>
        </w:rPr>
        <w:footnoteReference w:customMarkFollows="0" w:id="37"/>
      </w:r>
      <w:r w:rsidDel="00000000" w:rsidR="00000000" w:rsidRPr="00000000">
        <w:rPr>
          <w:rFonts w:ascii="Georgia" w:cs="Georgia" w:eastAsia="Georgia" w:hAnsi="Georgia"/>
          <w:sz w:val="22"/>
          <w:szCs w:val="22"/>
          <w:vertAlign w:val="superscript"/>
        </w:rPr>
        <w:footnoteReference w:customMarkFollows="0" w:id="38"/>
      </w:r>
      <w:r w:rsidDel="00000000" w:rsidR="00000000" w:rsidRPr="00000000">
        <w:rPr>
          <w:rFonts w:ascii="Georgia" w:cs="Georgia" w:eastAsia="Georgia" w:hAnsi="Georgia"/>
          <w:sz w:val="22"/>
          <w:szCs w:val="22"/>
          <w:rtl w:val="0"/>
        </w:rPr>
        <w:t xml:space="preserve"> excellence in the arts, literature and the humanities in general, combined with specialized knowledge in one discipline is not really new. In describing an ideal magistrate, one of the most eminent jurists in the United States, Judge Learned Hand, declared:</w:t>
      </w:r>
    </w:p>
    <w:p w:rsidR="00000000" w:rsidDel="00000000" w:rsidP="00000000" w:rsidRDefault="00000000" w:rsidRPr="00000000" w14:paraId="000002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 venture to believe that it is as important to a judge called upon to pass on a question of constitutional law, to have a bowing acquaintance with Acton and Maitland, with Thucydides, Gibbon and Carlyle, with Homer, Dante, Shakespeare and Milton, with Machiavelli, Montaigne and Rabelais, with Plato, Bacon, Hume and Kant as with books that have been specifically written on the subject. For in such matters, everything turns upon the spirit in which he approaches the question before him. The words he must construe are empty vessels into which he can pour nearly everything he will. Men do not gather figs of thistles, nor supply institutions from judges whose outlook is limited by parish or class. They must be aware that there are before them more than verbal problems; more than final solutions cast in generalizations of universal applicability. They must be aware of the changing social tensions in every society which make it an organism; which demand new schemata of application; which will disrupt it, if rigidly confined.””°</w:t>
      </w:r>
    </w:p>
    <w:p w:rsidR="00000000" w:rsidDel="00000000" w:rsidP="00000000" w:rsidRDefault="00000000" w:rsidRPr="00000000" w14:paraId="000002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dare say that a similar statement can be made of a good physician, scientist, philosopher, thinker or educator. Excellence demands a combination of deep general knowledge and a mastery of a particular or specialized branch of knowledge. In short, excellence</w:t>
      </w:r>
      <w:r w:rsidDel="00000000" w:rsidR="00000000" w:rsidRPr="00000000">
        <w:rPr>
          <w:rFonts w:ascii="Georgia" w:cs="Georgia" w:eastAsia="Georgia" w:hAnsi="Georgia"/>
          <w:sz w:val="22"/>
          <w:szCs w:val="22"/>
          <w:vertAlign w:val="superscript"/>
        </w:rPr>
        <w:footnoteReference w:customMarkFollows="0" w:id="39"/>
      </w:r>
      <w:r w:rsidDel="00000000" w:rsidR="00000000" w:rsidRPr="00000000">
        <w:rPr>
          <w:rFonts w:ascii="Georgia" w:cs="Georgia" w:eastAsia="Georgia" w:hAnsi="Georgia"/>
          <w:sz w:val="22"/>
          <w:szCs w:val="22"/>
          <w:rtl w:val="0"/>
        </w:rPr>
        <w:t xml:space="preserve"> in the humanities and specialization in a career are demanded by the e-society.</w:t>
      </w:r>
    </w:p>
    <w:p w:rsidR="00000000" w:rsidDel="00000000" w:rsidP="00000000" w:rsidRDefault="00000000" w:rsidRPr="00000000" w14:paraId="000002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6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Ethical Principles, </w:t>
      </w:r>
    </w:p>
    <w:p w:rsidR="00000000" w:rsidDel="00000000" w:rsidP="00000000" w:rsidRDefault="00000000" w:rsidRPr="00000000" w14:paraId="0000026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Not Image-Building Tactics</w:t>
      </w:r>
    </w:p>
    <w:p w:rsidR="00000000" w:rsidDel="00000000" w:rsidP="00000000" w:rsidRDefault="00000000" w:rsidRPr="00000000" w14:paraId="000002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the second E which stands for ethics. Every profession has a code of ethics. All these codes, or canons as we prefer to call them in the legal profession, are in turn based on character ethic, on “old-fashioned” principles like integrity, humility, fidelity, courage, prudence and hard work. These are basic norms that must be internalized as the primary sources of true success and enduring happiness. All great persons, heroes and saints have integrated these principles deep within themselves and have depended on them in times of stress and crisis.</w:t>
      </w:r>
    </w:p>
    <w:p w:rsidR="00000000" w:rsidDel="00000000" w:rsidP="00000000" w:rsidRDefault="00000000" w:rsidRPr="00000000" w14:paraId="000002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must, however, distinguish ethical values from image-building tactics. Nowadays, we frequently hear of public personalities who are advised to change their images in order to win elections and public acceptance. So, they employ so-called public relations experts who manipulate and sometimes deceive others to promote their clients’ interests. Some public figures are projected as great orators, when they merely read or memorize ghost-written speeches; others are pictured as charitable persons giving food to flood victims and Alri to the poor, when in truth they are merely dishing out crumbs from ill-gotten money; still others are hailed as war heroes, when they were nowhere near the battle sites; and there are those who are promoted as model husbands or wives and parents, when all the</w:t>
      </w:r>
      <w:r w:rsidDel="00000000" w:rsidR="00000000" w:rsidRPr="00000000">
        <w:rPr>
          <w:rFonts w:ascii="Georgia" w:cs="Georgia" w:eastAsia="Georgia" w:hAnsi="Georgia"/>
          <w:sz w:val="22"/>
          <w:szCs w:val="22"/>
          <w:vertAlign w:val="superscript"/>
          <w:rtl w:val="0"/>
        </w:rPr>
        <w:t xml:space="preserve"> </w:t>
      </w:r>
      <w:r w:rsidDel="00000000" w:rsidR="00000000" w:rsidRPr="00000000">
        <w:rPr>
          <w:rFonts w:ascii="Georgia" w:cs="Georgia" w:eastAsia="Georgia" w:hAnsi="Georgia"/>
          <w:sz w:val="22"/>
          <w:szCs w:val="22"/>
          <w:rtl w:val="0"/>
        </w:rPr>
        <w:t xml:space="preserve">while they are cohabiting with several lovers with whom they have several children.</w:t>
      </w:r>
    </w:p>
    <w:p w:rsidR="00000000" w:rsidDel="00000000" w:rsidP="00000000" w:rsidRDefault="00000000" w:rsidRPr="00000000" w14:paraId="000002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duplicity is fundamentally flawed. People will eventually see through it. It cannot be the source of success. Truth will always triumph, and deception will be discovered and condemned. At the very least, those who seek recourse to it know that they are not what they pretend to be. Hence, they feel hollow and cheap. In the language of the young, they are “plastic.”</w:t>
      </w:r>
    </w:p>
    <w:p w:rsidR="00000000" w:rsidDel="00000000" w:rsidP="00000000" w:rsidRDefault="00000000" w:rsidRPr="00000000" w14:paraId="0000026F">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1">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 Change in Men </w:t>
      </w:r>
    </w:p>
    <w:p w:rsidR="00000000" w:rsidDel="00000000" w:rsidP="00000000" w:rsidRDefault="00000000" w:rsidRPr="00000000" w14:paraId="00000272">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More Than a Change of Men</w:t>
      </w:r>
    </w:p>
    <w:p w:rsidR="00000000" w:rsidDel="00000000" w:rsidP="00000000" w:rsidRDefault="00000000" w:rsidRPr="00000000" w14:paraId="000002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to change society, to change our government, what we need is not just a change of men but a change in men. A change in persons is possible only if they accept and practise these ethical values, if they begin the change from inside their hearts, if they change their old habits and embrace ethical principles and values.</w:t>
      </w:r>
    </w:p>
    <w:p w:rsidR="00000000" w:rsidDel="00000000" w:rsidP="00000000" w:rsidRDefault="00000000" w:rsidRPr="00000000" w14:paraId="000002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 people are intrigued when they see others become rich, famous or talked about as role models; or when they simply have happy homes, happy marriages and successful children. So they ask, “How did you do it? Give me some quick advice so I can solve my own predicaments and succeed like you. Is there a motivating seminar or yoga class you can recommend?”</w:t>
      </w:r>
    </w:p>
    <w:p w:rsidR="00000000" w:rsidDel="00000000" w:rsidP="00000000" w:rsidRDefault="00000000" w:rsidRPr="00000000" w14:paraId="000002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Motivational speeches and quick-fix solutions, like Band Aid and aspirin, have their limited uses in easing pain or its symptoms, but the real solution lies deep inside each of us — patiently cultivating and actually living the basic ethical values I mentioned earlier.</w:t>
      </w:r>
    </w:p>
    <w:p w:rsidR="00000000" w:rsidDel="00000000" w:rsidP="00000000" w:rsidRDefault="00000000" w:rsidRPr="00000000" w14:paraId="000002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final analysis, what we are communicates far more eloquently than anything we say or do. In the words of Emerson, “What you are shouts so loudly in my ears I cannot hear what you say.” Indeed, a swindler cannot talk about integrity, a chatterbox cannot teach about contemplative life, and an atheist cannot preach about God.</w:t>
      </w:r>
    </w:p>
    <w:p w:rsidR="00000000" w:rsidDel="00000000" w:rsidP="00000000" w:rsidRDefault="00000000" w:rsidRPr="00000000" w14:paraId="000002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people we trust because we know their character, because we know them to be honest, fair and gentle. They may not be eloquent, they may not know public relations techniques, they may not know how to polish our egos, but we trust them because they have integrity and fidelity.</w:t>
      </w:r>
    </w:p>
    <w:p w:rsidR="00000000" w:rsidDel="00000000" w:rsidP="00000000" w:rsidRDefault="00000000" w:rsidRPr="00000000" w14:paraId="0000027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79">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Eternity — Our </w:t>
      </w:r>
    </w:p>
    <w:p w:rsidR="00000000" w:rsidDel="00000000" w:rsidP="00000000" w:rsidRDefault="00000000" w:rsidRPr="00000000" w14:paraId="0000027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Final Destiny</w:t>
      </w:r>
    </w:p>
    <w:p w:rsidR="00000000" w:rsidDel="00000000" w:rsidP="00000000" w:rsidRDefault="00000000" w:rsidRPr="00000000" w14:paraId="000002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discuss the third and final E, which stands for eternity. I was born and raised poor. I sold newspapers, shined shoes and peddled textbooks to my classmates to support my education. I could not study in the school of my choice, UP, because my father could not afford the then 15-centavo bus fare between UP Diliman and our rented apartment in Cataluña Street, Sampaloc, Manila. I was educated in public elementary and high schools and in a nonsectarian university, FEU. In short, I had no catechetical background. My education was purely secular. My real introduction to God came rather late in my life — only some 15 years ago.</w:t>
      </w:r>
    </w:p>
    <w:p w:rsidR="00000000" w:rsidDel="00000000" w:rsidP="00000000" w:rsidRDefault="00000000" w:rsidRPr="00000000" w14:paraId="000002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now I know and I believe. Just as there are human and physical laws, there are also spiritual laws. And just as there are consequences for violations of</w:t>
      </w:r>
      <w:r w:rsidDel="00000000" w:rsidR="00000000" w:rsidRPr="00000000">
        <w:rPr>
          <w:rFonts w:ascii="Georgia" w:cs="Georgia" w:eastAsia="Georgia" w:hAnsi="Georgia"/>
          <w:sz w:val="22"/>
          <w:szCs w:val="22"/>
          <w:vertAlign w:val="superscript"/>
        </w:rPr>
        <w:footnoteReference w:customMarkFollows="0" w:id="40"/>
      </w:r>
      <w:r w:rsidDel="00000000" w:rsidR="00000000" w:rsidRPr="00000000">
        <w:rPr>
          <w:rFonts w:ascii="Georgia" w:cs="Georgia" w:eastAsia="Georgia" w:hAnsi="Georgia"/>
          <w:sz w:val="22"/>
          <w:szCs w:val="22"/>
          <w:rtl w:val="0"/>
        </w:rPr>
        <w:t xml:space="preserve"> human and physical laws, there are penalties for the transgression of God’s commands. For example, civil laws protect contracts, and a party who breaks them may be liable for damages. In the same manner, one who injures another violates criminal laws and is jailed as a consequence. So too, a violation of the laws of physics impels consequences; hence, when one jumps out of a window, one falls in accordance with the law of gravity.</w:t>
      </w:r>
    </w:p>
    <w:p w:rsidR="00000000" w:rsidDel="00000000" w:rsidP="00000000" w:rsidRDefault="00000000" w:rsidRPr="00000000" w14:paraId="000002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spiritual laws operate on our spirits, whether we like it or not. When we transgress the Ten Commandments or the Beatitudes proclaimed by our Lord Jesus, our spirits suffer the necessary consequences by being damned in eternity. Just as there are reparations for violations of human and physical laws, there is also salvation from our sins — by repentance, restitution and reformation."</w:t>
      </w:r>
    </w:p>
    <w:p w:rsidR="00000000" w:rsidDel="00000000" w:rsidP="00000000" w:rsidRDefault="00000000" w:rsidRPr="00000000" w14:paraId="000002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Never for a moment believe that our lives on earth are the only ones we have been gifted with. Rather, believe that there is life after death, that there is eternity where our final destiny lies. Friends, let me assure you: God watches over all of us and awaits us in eternity. We may not see or hear Him, but He is present here today. He is amongst us, above us to inspire us, before us to lead us, beside us to guide us, behind us to protect us, and within us - in our hearts and our spirits - to possess us and bring us to His everlasting Kingdom.</w:t>
      </w:r>
    </w:p>
    <w:p w:rsidR="00000000" w:rsidDel="00000000" w:rsidP="00000000" w:rsidRDefault="00000000" w:rsidRPr="00000000" w14:paraId="0000027F">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80">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Accountability and </w:t>
      </w:r>
    </w:p>
    <w:p w:rsidR="00000000" w:rsidDel="00000000" w:rsidP="00000000" w:rsidRDefault="00000000" w:rsidRPr="00000000" w14:paraId="00000281">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Transparency in Public Service</w:t>
      </w:r>
    </w:p>
    <w:p w:rsidR="00000000" w:rsidDel="00000000" w:rsidP="00000000" w:rsidRDefault="00000000" w:rsidRPr="00000000" w14:paraId="000002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your conference theme is not only about excellence (to which I add ethics and eternity), but also about accountability and transparency in public service. I fully agree this time: indeed, public officials, as distinguished from private citizens, must be infused not only with excellence, ethics and eternity, but also with transparency in their public and private lives. Even for the competent and the well-meaning, transparency is a must and a burden. In public service, there is no such thing as a private deal, no such thing as an under-the-table transaction. The Constitution and the law subject to scrutiny all transactions involving public interest and impose transparency and accountability as desirable standards of public service.</w:t>
      </w:r>
    </w:p>
    <w:p w:rsidR="00000000" w:rsidDel="00000000" w:rsidP="00000000" w:rsidRDefault="00000000" w:rsidRPr="00000000" w14:paraId="000002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in its Declaration of Principles and State Policies, the Constitution mandates that “[s]ubject to reasonable conditions prescribed by law, the State adopts and implements a policy of full public disclosure of all its transactions involving public interest.” It also recognizes “[t]he right of the people to information on matters of public concern” and, in more commanding language, it ordains that “[p]ublic officers and employees must at all times be accountable to the people x x x.”</w:t>
      </w:r>
    </w:p>
    <w:p w:rsidR="00000000" w:rsidDel="00000000" w:rsidP="00000000" w:rsidRDefault="00000000" w:rsidRPr="00000000" w14:paraId="000002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Ethical Standards Law (RA 6713) imposes penal and administrative sanctions on government officials who violate disclosure provisions</w:t>
      </w:r>
      <w:r w:rsidDel="00000000" w:rsidR="00000000" w:rsidRPr="00000000">
        <w:rPr>
          <w:rFonts w:ascii="Georgia" w:cs="Georgia" w:eastAsia="Georgia" w:hAnsi="Georgia"/>
          <w:sz w:val="22"/>
          <w:szCs w:val="22"/>
          <w:vertAlign w:val="superscript"/>
        </w:rPr>
        <w:footnoteReference w:customMarkFollows="0" w:id="41"/>
      </w:r>
      <w:r w:rsidDel="00000000" w:rsidR="00000000" w:rsidRPr="00000000">
        <w:rPr>
          <w:rFonts w:ascii="Georgia" w:cs="Georgia" w:eastAsia="Georgia" w:hAnsi="Georgia"/>
          <w:sz w:val="22"/>
          <w:szCs w:val="22"/>
          <w:vertAlign w:val="superscript"/>
        </w:rPr>
        <w:footnoteReference w:customMarkFollows="0" w:id="42"/>
      </w:r>
      <w:r w:rsidDel="00000000" w:rsidR="00000000" w:rsidRPr="00000000">
        <w:rPr>
          <w:rFonts w:ascii="Georgia" w:cs="Georgia" w:eastAsia="Georgia" w:hAnsi="Georgia"/>
          <w:sz w:val="22"/>
          <w:szCs w:val="22"/>
          <w:vertAlign w:val="superscript"/>
        </w:rPr>
        <w:footnoteReference w:customMarkFollows="0" w:id="43"/>
      </w:r>
      <w:r w:rsidDel="00000000" w:rsidR="00000000" w:rsidRPr="00000000">
        <w:rPr>
          <w:rFonts w:ascii="Georgia" w:cs="Georgia" w:eastAsia="Georgia" w:hAnsi="Georgia"/>
          <w:sz w:val="22"/>
          <w:szCs w:val="22"/>
          <w:rtl w:val="0"/>
        </w:rPr>
        <w:t xml:space="preserve"> of the Constitution and specific provisions of this law. Such sanctions include fine, imprisonment, dismissal from office and disqualification from holding future public positions.</w:t>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Epilogue: GG=TE³</w:t>
      </w:r>
    </w:p>
    <w:p w:rsidR="00000000" w:rsidDel="00000000" w:rsidP="00000000" w:rsidRDefault="00000000" w:rsidRPr="00000000" w14:paraId="000002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last twenty-five or so minutes, I have tried to discuss what I believe are the essentials of good governance; namely, excellence, ethics and eternity, with a liberal dose of transparency. To help you remember, I have coined a formula or equation reminiscent of Einstein; thus, “GG=TE³” or good governance equals transparency multiplied by excellence, ethics and eternity.</w:t>
      </w:r>
    </w:p>
    <w:p w:rsidR="00000000" w:rsidDel="00000000" w:rsidP="00000000" w:rsidRDefault="00000000" w:rsidRPr="00000000" w14:paraId="000002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I conclude, I would like to propose a practical discussion topic for all of you or even a project for Phi Kappa Phi and the Civil Service Commission. Perhaps, as a distinct result of this conference, you could conduct a Search for Ideal Public Servants, past and present, who personify our equation of GG=TE³. Off-hand, I can start the search by proposing former Senate President Jovito R. Salonga.</w:t>
      </w:r>
    </w:p>
    <w:p w:rsidR="00000000" w:rsidDel="00000000" w:rsidP="00000000" w:rsidRDefault="00000000" w:rsidRPr="00000000" w14:paraId="000002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Senator Salonga is excellent. He was Number One in the bar examinations, finished his Bachelor of Laws at UP, his Master of Laws at Harvard, and his doctorate at Yale with honors; was elected three times as senator and, in each election, he was Number One in the list of winners. He was very ethical both in the practice of his profession and in his conduct as a public official. Upon reassuming public office after the EDSA revolution, he voluntarily dissolved his very prestigious law office; he did not merely take a leave of absence, as others did. He believes in eternity — he is a leader of the Cosmopolitan Church and a firm follower of our Lord Jesus Christ in thought, word and deed. He could have enriched himself — no, not at the expense of the public treasury, but by his practice of law; nonetheless, he chose to be poor by giving his legal services for free to the disadvantaged and oppressed, even up to now that he has retired from active public and professional life. And, yes, he is an ardent advocate of transparency and accountability; in fact, while he was a senator he authored the Ethical Standards Law.</w:t>
      </w:r>
    </w:p>
    <w:p w:rsidR="00000000" w:rsidDel="00000000" w:rsidP="00000000" w:rsidRDefault="00000000" w:rsidRPr="00000000" w14:paraId="000002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was my professor and dean in law school, but more than that, my guru in a life worth living, both for the here and now, as well as for the hereafter and forever. That we are of different religious faiths, he being a devout Protestant and I a fledgling Catholic, has not adversely affected our more than four decades of enriching friendship and my own regard and esteem for him as the personification of the equation GG=TE’.</w:t>
      </w:r>
    </w:p>
    <w:p w:rsidR="00000000" w:rsidDel="00000000" w:rsidP="00000000" w:rsidRDefault="00000000" w:rsidRPr="00000000" w14:paraId="000002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close my address with a hope and a prayer that each one of you in the audience today —- some 300 strong — will demand from our public officials an approximation of GG=TE. It is also my hope that you will be able to prepare an honor roll of TE? officials, reminiscent of Longfellow’s “Psalm of Life,” which we memorized in high school:</w:t>
      </w:r>
    </w:p>
    <w:p w:rsidR="00000000" w:rsidDel="00000000" w:rsidP="00000000" w:rsidRDefault="00000000" w:rsidRPr="00000000" w14:paraId="000002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Lives of great men all remind us </w:t>
      </w:r>
    </w:p>
    <w:p w:rsidR="00000000" w:rsidDel="00000000" w:rsidP="00000000" w:rsidRDefault="00000000" w:rsidRPr="00000000" w14:paraId="000002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can make our life sublime </w:t>
      </w:r>
    </w:p>
    <w:p w:rsidR="00000000" w:rsidDel="00000000" w:rsidP="00000000" w:rsidRDefault="00000000" w:rsidRPr="00000000" w14:paraId="000002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And, departing, leave behind us </w:t>
      </w:r>
    </w:p>
    <w:p w:rsidR="00000000" w:rsidDel="00000000" w:rsidP="00000000" w:rsidRDefault="00000000" w:rsidRPr="00000000" w14:paraId="000002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Footprints on the sands of time.</w:t>
      </w:r>
    </w:p>
    <w:p w:rsidR="00000000" w:rsidDel="00000000" w:rsidP="00000000" w:rsidRDefault="00000000" w:rsidRPr="00000000" w14:paraId="0000029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9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6</w:t>
      </w:r>
    </w:p>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e-Values for the e-Age and Beyond</w:t>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Dr. Alejandro R. Roces, CAP chairman, for inviting me to join this journey to honor President Sergio Osmena. Truth to tell, however, I believe that the guest speaker today should be Dr. Roces, who has devoted a lifetime teaching the values that make life sublime. I first met him over forty years ago, when he was dean of the Institute of Arts and Sciences of Far Eastern University (FEU), where I was a student of law at the time.</w:t>
      </w:r>
    </w:p>
    <w:p w:rsidR="00000000" w:rsidDel="00000000" w:rsidP="00000000" w:rsidRDefault="00000000" w:rsidRPr="00000000" w14:paraId="000002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I did not have the privilege of being his classroom pupil, nonetheless, my youthful aspirations for a place in society were influenced by his words and example. You see, he was a dominant figure in the FEU where he espoused his ideals of the truly educated person — one bred in the humanities, anchored on values, and moved by principles. In other words, to him the educated person is the cultured person.</w:t>
      </w:r>
      <w:r w:rsidDel="00000000" w:rsidR="00000000" w:rsidRPr="00000000">
        <w:rPr>
          <w:rFonts w:ascii="Georgia" w:cs="Georgia" w:eastAsia="Georgia" w:hAnsi="Georgia"/>
          <w:sz w:val="22"/>
          <w:szCs w:val="22"/>
          <w:vertAlign w:val="superscript"/>
        </w:rPr>
        <w:footnoteReference w:customMarkFollows="0" w:id="44"/>
      </w:r>
      <w:r w:rsidDel="00000000" w:rsidR="00000000" w:rsidRPr="00000000">
        <w:rPr>
          <w:rFonts w:ascii="Georgia" w:cs="Georgia" w:eastAsia="Georgia" w:hAnsi="Georgia"/>
          <w:sz w:val="22"/>
          <w:szCs w:val="22"/>
          <w:vertAlign w:val="superscript"/>
        </w:rPr>
        <w:footnoteReference w:customMarkFollows="0" w:id="45"/>
      </w:r>
      <w:r w:rsidDel="00000000" w:rsidR="00000000" w:rsidRPr="00000000">
        <w:rPr>
          <w:rtl w:val="0"/>
        </w:rPr>
      </w:r>
    </w:p>
    <w:p w:rsidR="00000000" w:rsidDel="00000000" w:rsidP="00000000" w:rsidRDefault="00000000" w:rsidRPr="00000000" w14:paraId="000002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Dr. Roces was my benefactor and coach in my several battles for campus leadership. In 1957, I invited him to be adviser of the National Union of Students (the largest organization of students in the Philippines up to now) which, along with a number of others, I ‘organized. As a team, we collaborated to reform student movements in the country. Indeed, I so esteemed Dr. Roces that my wife and I asked him to be our wedding sponsor in 1961. Since then, I have had the honor of calling him Ninong Anding. —</w:t>
      </w:r>
    </w:p>
    <w:p w:rsidR="00000000" w:rsidDel="00000000" w:rsidP="00000000" w:rsidRDefault="00000000" w:rsidRPr="00000000" w14:paraId="000002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Being my ninong, mentor and friend were not to be his only appellations. He likewise caught the admiration of then President Diosdado Macapagal, who named him his secretary of education. But high office did not end our relationship; he fortified it by appointing me his legal counsel. I shall always be grateful to him for entrusting delicate responsibilities to me as early as then, even if I had just passed the bar examinations during the previous year. I can go on and on reminiscing about Ninong Anding, but I will reserve that for another occasion when, perhaps, the theme of my address would be the life and times of CAP Chair Alejandro R. Roces.</w:t>
      </w:r>
    </w:p>
    <w:p w:rsidR="00000000" w:rsidDel="00000000" w:rsidP="00000000" w:rsidRDefault="00000000" w:rsidRPr="00000000" w14:paraId="0000029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9C">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Fundamental Questions </w:t>
      </w:r>
    </w:p>
    <w:p w:rsidR="00000000" w:rsidDel="00000000" w:rsidP="00000000" w:rsidRDefault="00000000" w:rsidRPr="00000000" w14:paraId="0000029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of Being and Living</w:t>
      </w:r>
    </w:p>
    <w:p w:rsidR="00000000" w:rsidDel="00000000" w:rsidP="00000000" w:rsidRDefault="00000000" w:rsidRPr="00000000" w14:paraId="000002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meantime, let me tell you of another interesting man. About six weeks ago, I watched a televised biography of Aristotle Onassis over the Hallmark Entertainment Network, Channel 38 on Sky Cable TV. Onassis, the Greek shipping tycoon, was considered the world’s wealthiest person during the early 1970s. Divorced from his first wife, he later married the world’s best loved and most popular beauty at that time, Jacqueline Kennedy, the widow of the late US President John F. Kennedy. Aside from her, however, he publicly cavorted with several other women, among them the famous Soprano Maria Callas. As a mega-businessman, he brushed shoulders with many heads of state who openly solicited investments and favors from him and his companies. And as a power broker, he enjoyed all the banalities and excitements that possessions, positions and perversions could bring.</w:t>
      </w:r>
    </w:p>
    <w:p w:rsidR="00000000" w:rsidDel="00000000" w:rsidP="00000000" w:rsidRDefault="00000000" w:rsidRPr="00000000" w14:paraId="000002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spite of all these worldly trappings, he died a broken man in 1975, because his material treasures and pleasures did not bring him love, peace, fulfillment or a sense of accomplishment that he longed for; he did not find the answers to the fundamental questions that all of us are confronted with; namely, Who am I? Why was I born? Where am I headed for? How do I get there?</w:t>
      </w:r>
    </w:p>
    <w:p w:rsidR="00000000" w:rsidDel="00000000" w:rsidP="00000000" w:rsidRDefault="00000000" w:rsidRPr="00000000" w14:paraId="000002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all of us at one time or another have asked ourselves these basic questions of life, and unless we can satisfy them, we will feel empty, listless and purposeless. Our lives will be endless journeys of ups and downs, but not of vision and direction; of hunger and gluttony, but not of wellness; of drunkenness and lucid intervals, but not of sobriety; of injury and recovery, but not of healing; of trying to be, but never of being; of always chasing carnal pleasures, but never catching lasting joy; and of forever wanting something, but never being fulfilled. It is my purpose today to lead you to some answers to these basic quests. Let me begin with something fundamental.</w:t>
      </w:r>
    </w:p>
    <w:p w:rsidR="00000000" w:rsidDel="00000000" w:rsidP="00000000" w:rsidRDefault="00000000" w:rsidRPr="00000000" w14:paraId="000002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Humans are rational beings. They are cousins to animals in their needs to procure food and feed themselves, to enjoy sex and procreate, and indeed to exploit nature and obtain sensual pleasures. But all these activities — eating, having sex and obtaining pleasure — merely satisfy their animal and not their rational or divine natures. The stark reality is this: the satisfaction of their ultimate longings depends on the fulfillment of their rationality and divinity, not of their carnality and sensuality.</w:t>
      </w:r>
    </w:p>
    <w:p w:rsidR="00000000" w:rsidDel="00000000" w:rsidP="00000000" w:rsidRDefault="00000000" w:rsidRPr="00000000" w14:paraId="000002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Stated otherwise, the truth is that as long as we work and live only to eat, to have sex and to enjoy sensual pleasures, as long as we pursue only the things that matter to our carnal nature, we will always be afflicted, broken and crushed. But when we aspire to reach our rational and divine nature, we find ultimate joy, peace and fulfillment. Indeed, what we generally refer to as values are the traits that elevate us from mere existence to life on high, from frustration to satisfaction. They are called values because they are born of man’s higher self, of his valuable rationality and divinity. And more than that, values transform people and make them attain real happiness, greatness, heroism and even sainthood.</w:t>
      </w:r>
    </w:p>
    <w:p w:rsidR="00000000" w:rsidDel="00000000" w:rsidP="00000000" w:rsidRDefault="00000000" w:rsidRPr="00000000" w14:paraId="000002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What then are these values that we must develop and cultivate? Let me discuss what I consider the most important three: excellence, ethics and eternity.</w:t>
      </w:r>
    </w:p>
    <w:p w:rsidR="00000000" w:rsidDel="00000000" w:rsidP="00000000" w:rsidRDefault="00000000" w:rsidRPr="00000000" w14:paraId="000002A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A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Excellence Is Competence, </w:t>
      </w:r>
    </w:p>
    <w:p w:rsidR="00000000" w:rsidDel="00000000" w:rsidP="00000000" w:rsidRDefault="00000000" w:rsidRPr="00000000" w14:paraId="000002A6">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Dedication to Duty, and </w:t>
      </w:r>
    </w:p>
    <w:p w:rsidR="00000000" w:rsidDel="00000000" w:rsidP="00000000" w:rsidRDefault="00000000" w:rsidRPr="00000000" w14:paraId="000002A7">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Hard Work Put Together</w:t>
      </w:r>
    </w:p>
    <w:p w:rsidR="00000000" w:rsidDel="00000000" w:rsidP="00000000" w:rsidRDefault="00000000" w:rsidRPr="00000000" w14:paraId="000002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is excellence. This connotes not merely competence, but also dedication to duty, and hard work put together. It means not only being skillful, but also being able to cultivate our talent or skill to the highest degree possible.</w:t>
      </w:r>
    </w:p>
    <w:p w:rsidR="00000000" w:rsidDel="00000000" w:rsidP="00000000" w:rsidRDefault="00000000" w:rsidRPr="00000000" w14:paraId="000002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Excellence is not confined to scholarly pursuits. It applies to everything we say and do. God has gifted us with various skills and talents — literary, musical, athletic and artistic. Some of us are teachers, soldiers, or lawyers; others are computer programmers; many are plain ordinary workers. But whatever we may be, our responsibility to ourselves and to one another is to develop to the maximum whatever skill or talent the Lord has given us.</w:t>
      </w:r>
    </w:p>
    <w:p w:rsidR="00000000" w:rsidDel="00000000" w:rsidP="00000000" w:rsidRDefault="00000000" w:rsidRPr="00000000" w14:paraId="000002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illustrate. Every weekend I try to reward my tired body with a good massage, and I always go to a blind masseur named Larry, because he has mastered the art and knows how to press the right muscle with the right pressure. Whenever I want a haircut, I go to my favorite barber; by the same token, I patronize my old tailor all the time. They are not exactly the cheapest in town, but I go to them anyway and give them generous tips besides. It is not just the monetary payment that gets them going, so says my barber and my tailor, but the esteem I give them because of their expertise. The same can be said of doctors, lawyers, teachers, economists, businessmen and public servants. By becoming excellent in their chosen lines of work, they become self-confident and self-assured. Excellence in everything they say and do becomes their source of self-dignity, self-worth and self-fulfillment.</w:t>
      </w:r>
    </w:p>
    <w:p w:rsidR="00000000" w:rsidDel="00000000" w:rsidP="00000000" w:rsidRDefault="00000000" w:rsidRPr="00000000" w14:paraId="000002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the truly educated, excellence demands an understanding and appreciation of the arts, history, literature and the humanities in general, and the mastery of a particular discipline or specialized branch of knowledge. In short, excellence in the humanities and specialization in a career are the earmarks of the educated person.</w:t>
      </w:r>
    </w:p>
    <w:p w:rsidR="00000000" w:rsidDel="00000000" w:rsidP="00000000" w:rsidRDefault="00000000" w:rsidRPr="00000000" w14:paraId="000002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Hard work characterizes all successful men and women, of ages past and present, in the Philippines and around the world. We all have heard of our own Toribio Teodoro, of India’s Mohandas Gandhi, and of America’s Thomas Edison who said: “Genius is ninety-nine percent perspiration and one percent inspiration.”</w:t>
      </w:r>
    </w:p>
    <w:p w:rsidR="00000000" w:rsidDel="00000000" w:rsidP="00000000" w:rsidRDefault="00000000" w:rsidRPr="00000000" w14:paraId="000002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recent interview with Asiaweek?, Diosdado “Dado” Banatao, 54-year-old native of Iguig, Northern Luzon, who is acclaimed as one of California’s most successful entrepreneurs in the computer industry and who, according to UP President Francisco Nemenzo, is now richer than the venerable Ayala family, revealed his success secret in two words: “hard work.” He further explained, “For every success, there are 100 or 200 failures.” But the success-driven person is not discouraged. He simply plods on and on. He strives even harder with each failure.</w:t>
      </w:r>
    </w:p>
    <w:p w:rsidR="00000000" w:rsidDel="00000000" w:rsidP="00000000" w:rsidRDefault="00000000" w:rsidRPr="00000000" w14:paraId="000002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Truly, there is no substitute for devotion to excellence; no replacement for hard work and high performance, no alternative to believing in ourselves and in our capacity to ride over tragedy and defeat. Some of us lose heart after a few disappointments and failures: a failed subject in school, a frustrated love affair, a lost job, a missed opportunity, Many times, however, adversities and misfortunes are really preludes to greater victory. Let me illustrate that with a little story.</w:t>
      </w:r>
    </w:p>
    <w:p w:rsidR="00000000" w:rsidDel="00000000" w:rsidP="00000000" w:rsidRDefault="00000000" w:rsidRPr="00000000" w14:paraId="000002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the Middle Ages, there lived a farmer, his wife, and their only son who was twenty years old. One day the farmer’s horse ran away to the nearby mountains. So, his neighbors went to him and told:</w:t>
      </w:r>
      <w:r w:rsidDel="00000000" w:rsidR="00000000" w:rsidRPr="00000000">
        <w:rPr>
          <w:rFonts w:ascii="Georgia" w:cs="Georgia" w:eastAsia="Georgia" w:hAnsi="Georgia"/>
          <w:sz w:val="22"/>
          <w:szCs w:val="22"/>
          <w:vertAlign w:val="superscript"/>
        </w:rPr>
        <w:footnoteReference w:customMarkFollows="0" w:id="46"/>
      </w:r>
      <w:r w:rsidDel="00000000" w:rsidR="00000000" w:rsidRPr="00000000">
        <w:rPr>
          <w:rFonts w:ascii="Georgia" w:cs="Georgia" w:eastAsia="Georgia" w:hAnsi="Georgia"/>
          <w:sz w:val="22"/>
          <w:szCs w:val="22"/>
          <w:rtl w:val="0"/>
        </w:rPr>
        <w:t xml:space="preserve"> him, “Bad luck for you, your horse is gone. Now you and your family will starve because you can no longer till the fields.” The farmer replied, “Good luck? Bad luck? Who knows? I will just keep on doing my best.” Three days later, the horse returned with nine other wild horses from the mountain. The villagers again trooped to the farmer and said, “Good luck for you. Now you have ten horses.” The farmer replied, “Good luck? Bad luck? Who knows? I will just keep trying my best.” A few days later, the farmer’s only son mounted one of the wild horses which, however, threw him off. Alas, he broke his left leg. Again the villagers told the farmer, “Bad luck for you. With a broken leg, your son is useless in your farm.” The farmer replied, “Good luck? Bad luck? Who knows? I will just keep doing my best!” A week later, the kingdom went to war and the king conscripted all the able-bodied young men in the village except, of course, the disabled son of the farmer. The kingdom lost the war, and all the young men from the village died. And all the villagers again visited the farmer and chorused, “Good luck for you. You are the only villager with a son to inherit your farm.” And the farmer replied, “Good luck? Bad luck? Who knows? I will just keep on doing my best.”</w:t>
      </w:r>
    </w:p>
    <w:p w:rsidR="00000000" w:rsidDel="00000000" w:rsidP="00000000" w:rsidRDefault="00000000" w:rsidRPr="00000000" w14:paraId="000002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Friends, like our farmer, we are besieged by events outside our control. But let us not be frustrated, let us not give up, let us not be overtaken by them. Let us be like the farmer: no matter what happens, whether good or bad, we will continue doing our best, continue to be excellent, continue to persevere in our good work, continue to believe in ourselves, continue to believe in our ultimate victory.</w:t>
      </w:r>
    </w:p>
    <w:p w:rsidR="00000000" w:rsidDel="00000000" w:rsidP="00000000" w:rsidRDefault="00000000" w:rsidRPr="00000000" w14:paraId="000002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us be like St. Paul who inspired Christian communities with his determination to rise above tragedy and his faith in his ultimate victory. Let me quote from his Second Letter to the Corinthians:</w:t>
      </w:r>
    </w:p>
    <w:p w:rsidR="00000000" w:rsidDel="00000000" w:rsidP="00000000" w:rsidRDefault="00000000" w:rsidRPr="00000000" w14:paraId="000002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afflicted in every way possible, but we are not crushed; Full of doubts, we never despair. We are persecuted but never abandoned; We are struck down but never destroyed.</w:t>
      </w:r>
    </w:p>
    <w:p w:rsidR="00000000" w:rsidDel="00000000" w:rsidP="00000000" w:rsidRDefault="00000000" w:rsidRPr="00000000" w14:paraId="000002B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Ethics Is Rooted in </w:t>
      </w:r>
    </w:p>
    <w:p w:rsidR="00000000" w:rsidDel="00000000" w:rsidP="00000000" w:rsidRDefault="00000000" w:rsidRPr="00000000" w14:paraId="000002B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Integrity, Honesty and Truth</w:t>
      </w:r>
    </w:p>
    <w:p w:rsidR="00000000" w:rsidDel="00000000" w:rsidP="00000000" w:rsidRDefault="00000000" w:rsidRPr="00000000" w14:paraId="000002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value I recommend is ethics which is rooted in personal integrity. By integrity I refer not only to honesty but also to truth. A person of integrity acts in accordance with what is true and honest regardless of personal consequences. To act with integrity is to act with moral courage. This involves not only theoretical bravery in battle but, a priori, a purity of spirit and a clarity of conscience. For only one who is pure of heart and clear of mind can act with integrity.</w:t>
      </w:r>
    </w:p>
    <w:p w:rsidR="00000000" w:rsidDel="00000000" w:rsidP="00000000" w:rsidRDefault="00000000" w:rsidRPr="00000000" w14:paraId="000002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good guide on how to act with integrity is our professions’ codes of ethics, or canons as we prefer to call them in the legal profession. These codes are based on “old-fashioned” principles like courage, humility, fidelity, and prudence — basic norms that must be internalized as the primary sources of personal success and enduring happiness.</w:t>
      </w:r>
    </w:p>
    <w:p w:rsidR="00000000" w:rsidDel="00000000" w:rsidP="00000000" w:rsidRDefault="00000000" w:rsidRPr="00000000" w14:paraId="000002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government leaders, the ethical standard is contained in Republic Act No. 6713 entitled “An Act Establishing a Code of Conduct and Ethical Standards for Public Officials and Employees x x x.”</w:t>
      </w:r>
      <w:r w:rsidDel="00000000" w:rsidR="00000000" w:rsidRPr="00000000">
        <w:rPr>
          <w:rFonts w:ascii="Georgia" w:cs="Georgia" w:eastAsia="Georgia" w:hAnsi="Georgia"/>
          <w:sz w:val="22"/>
          <w:szCs w:val="22"/>
          <w:vertAlign w:val="superscript"/>
        </w:rPr>
        <w:footnoteReference w:customMarkFollows="0" w:id="47"/>
      </w:r>
      <w:r w:rsidDel="00000000" w:rsidR="00000000" w:rsidRPr="00000000">
        <w:rPr>
          <w:rtl w:val="0"/>
        </w:rPr>
      </w:r>
    </w:p>
    <w:p w:rsidR="00000000" w:rsidDel="00000000" w:rsidP="00000000" w:rsidRDefault="00000000" w:rsidRPr="00000000" w14:paraId="000002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law begins with a declaration of policy that “public officials and employees shall at all times be accountable to the people and shall discharge their duties with utmost responsibility, integrity, competence and loyalty, act with patriotism and justice, lead modest lives and uphold public interest over private interest.”</w:t>
      </w:r>
    </w:p>
    <w:p w:rsidR="00000000" w:rsidDel="00000000" w:rsidP="00000000" w:rsidRDefault="00000000" w:rsidRPr="00000000" w14:paraId="000002B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B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Double Standards, Duplicity </w:t>
      </w:r>
    </w:p>
    <w:p w:rsidR="00000000" w:rsidDel="00000000" w:rsidP="00000000" w:rsidRDefault="00000000" w:rsidRPr="00000000" w14:paraId="000002BC">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and Pretension Degrade Self and Society</w:t>
      </w:r>
    </w:p>
    <w:p w:rsidR="00000000" w:rsidDel="00000000" w:rsidP="00000000" w:rsidRDefault="00000000" w:rsidRPr="00000000" w14:paraId="000002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our world of shortcuts and make believe, society has bastardized ethics into public relations techniques. Instead of emphasizing the Ethical Standards Law, our so-called leaders display double standards — one for kin and friends, another for the rest of mankind; engage in double speak or talk of one thing and do quite another; and employ so-called “spin doctors” who try to create an image of public acceptability for them without their changing old habits and ways. Hence, they are projected as great orators, when they merely memorize ghost-written speeches they barely understand; as charitable persons giving alms to the poor, when in truth they are merely dishing out crumbs from ill-gotten money; and as model spouses or parents, when all the while they cohabit with several lovers with whom they have several children.</w:t>
      </w:r>
    </w:p>
    <w:p w:rsidR="00000000" w:rsidDel="00000000" w:rsidP="00000000" w:rsidRDefault="00000000" w:rsidRPr="00000000" w14:paraId="000002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duplicity is fundamentally flawed. Instead of being a beacon of success and happiness, pretension is really a source of anxiety and frustration, because the subject knows that the public image is false or dishonest. It does not represent reality. Yes, duplicity is the opposite of integrity. It is a malaise that befuddles the inner fabric of society and is the cause of many national ills. The game of pretend has been used as a substitute for integrity. Asa result, our character as a people has been subverted.</w:t>
      </w:r>
    </w:p>
    <w:p w:rsidR="00000000" w:rsidDel="00000000" w:rsidP="00000000" w:rsidRDefault="00000000" w:rsidRPr="00000000" w14:paraId="000002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interesting to note that more than 90 percent of our people are Christians who profess to know, to follow and to serve Jesus Christ, the God who preached that the truth shall set us free; the God who condemned violence, adultery, selfishness and corruption. Stated in more secular language, we note that our core institutions in the Philippines are theoretically unassailable as they are well-rooted. Thus, our people are devoted to democracy, our media is free, Our non-government groups are militant, our economy liberalized and our judiciary independent.</w:t>
      </w:r>
    </w:p>
    <w:p w:rsidR="00000000" w:rsidDel="00000000" w:rsidP="00000000" w:rsidRDefault="00000000" w:rsidRPr="00000000" w14:paraId="000002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Why, then, is our country one of the poorest, most graft-ridden and most violent in this part of the world? The Catholic Church’s answer to this question is that Christians lead dichotomized lives: they are Christians only in their thoughts, but not in their actions; Christians only in their faith, but not in their deeds; Christians only while worshipping inside the churches, but not while working in their offices.</w:t>
      </w:r>
    </w:p>
    <w:p w:rsidR="00000000" w:rsidDel="00000000" w:rsidP="00000000" w:rsidRDefault="00000000" w:rsidRPr="00000000" w14:paraId="000002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secular language, our leaders live duplicitous lives — lives engendered by public relations techniques, not by ethics; by pretension, not by truth; by deceit, not by integrity. The result is not only personal disillusionment of the individual, but degradation of society as well.</w:t>
      </w:r>
    </w:p>
    <w:p w:rsidR="00000000" w:rsidDel="00000000" w:rsidP="00000000" w:rsidRDefault="00000000" w:rsidRPr="00000000" w14:paraId="000002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solution? A return to ethics — to the “old-fashioned” ethical values of integrity, courage, hard work, humility, honor and rectitude. To change society, to change our government, what we need is not just a change of leaders during periodic elections, but a change in leaders from the inside out. The change we are looking for embraces the whole person — head, heart, hands and feet: head, so as to know which traits and habits have to be reformed; heart, so as to have the will and the courage to change; and hands and feet, so as to actually implement the reforms willed.</w:t>
      </w:r>
    </w:p>
    <w:p w:rsidR="00000000" w:rsidDel="00000000" w:rsidP="00000000" w:rsidRDefault="00000000" w:rsidRPr="00000000" w14:paraId="000002C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C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Eternity Is our </w:t>
      </w:r>
    </w:p>
    <w:p w:rsidR="00000000" w:rsidDel="00000000" w:rsidP="00000000" w:rsidRDefault="00000000" w:rsidRPr="00000000" w14:paraId="000002C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Final Destiny</w:t>
      </w:r>
    </w:p>
    <w:p w:rsidR="00000000" w:rsidDel="00000000" w:rsidP="00000000" w:rsidRDefault="00000000" w:rsidRPr="00000000" w14:paraId="000002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my third recommended value is faith in eternity as our final destiny. Never for a moment think that our lives on earth are the only ones we have been gifted with. Rather, believe that there is life after death, that there is eternity where our final destiny lies.</w:t>
      </w:r>
    </w:p>
    <w:p w:rsidR="00000000" w:rsidDel="00000000" w:rsidP="00000000" w:rsidRDefault="00000000" w:rsidRPr="00000000" w14:paraId="000002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there are human and physical laws, there are also spiritual laws. And just as there are consequences for violations of human and physical laws, there are penalties for the transgression of God's commands. For example, civil laws protect contracts, and a party who breaks them may be liable for damages. In the same manner, one who injures another violates criminal laws and is jailed as a consequence. So, too, a violation of the laws of physics impels consequences; hence, when one jumps out of a window, one falls in accordance with the law of gravity.</w:t>
      </w:r>
    </w:p>
    <w:p w:rsidR="00000000" w:rsidDel="00000000" w:rsidP="00000000" w:rsidRDefault="00000000" w:rsidRPr="00000000" w14:paraId="000002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spiritual laws operate on our spirits, whether we like it or not. When we transgress the Ten Commandments or the Beatitudes proclaimed by our Lord Jesus, our spirits suffer the necessary consequences by being damned in eternity. Just as there are reparations for violations of human and physical laws, there is also salvation from our sins — by repentance, restitution and reformation.</w:t>
      </w:r>
    </w:p>
    <w:p w:rsidR="00000000" w:rsidDel="00000000" w:rsidP="00000000" w:rsidRDefault="00000000" w:rsidRPr="00000000" w14:paraId="000002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Ten Commandments are negative directions given to us. They represent what should not be done, like “You shall not have strange gods before me” or “You shall not steal” or “You shall not covet your neighbor’s wife.” On the other hand, the Beatitudes* are our Lord Jesus’ positive pronouncements on what we should be, like being “poor in spirit,” becoming “peacemakers,” or “hungering for holiness.”</w:t>
      </w:r>
    </w:p>
    <w:p w:rsidR="00000000" w:rsidDel="00000000" w:rsidP="00000000" w:rsidRDefault="00000000" w:rsidRPr="00000000" w14:paraId="000002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shall not go into details of these commands of the Christian faith, because this address is not about Christianity. In fact, 1am addressing the same plea to our Muslim, Jewish and other God-loving brothers and sisters to follow their own faiths and credos. The point I am driving at is that every religion recognizes an eternal Power greater and mightier than ourselves, who watches over all of us, silently listens to everything we say, and is the quiet witness to everything we do.</w:t>
      </w:r>
    </w:p>
    <w:p w:rsidR="00000000" w:rsidDel="00000000" w:rsidP="00000000" w:rsidRDefault="00000000" w:rsidRPr="00000000" w14:paraId="000002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words of a former president of the Czech Republic, Vaclav Havel, who is regarded as one of the foremost intellectuals of our time, “the whole history of the cosmos, and especially of life, is mysteriously recorded in the inner workings of human beings. This history is projected into man’s creation and is, x x x something that joins us together far more than we think.” He explained, and I quote from him again:</w:t>
      </w:r>
    </w:p>
    <w:p w:rsidR="00000000" w:rsidDel="00000000" w:rsidP="00000000" w:rsidRDefault="00000000" w:rsidRPr="00000000" w14:paraId="000002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[S]omewhere in the foundation of most religions and cultures, though they may take a thousand and one forms, [we find] common elements [like] respect for what transcends us, whether we mean the mystery of Being or a moral order that stands above us; certain imperatives that come to us from heaven, or from nature, or from our own hearts, a belief that our deeds will live after us; respect for our neighbors, for our families, for certain natural authorities; for human dignity in general and for nature; and a sense of solidarity and benevolence toward guests who come with good intentions.”°</w:t>
      </w:r>
    </w:p>
    <w:p w:rsidR="00000000" w:rsidDel="00000000" w:rsidP="00000000" w:rsidRDefault="00000000" w:rsidRPr="00000000" w14:paraId="000002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humankind is bound together by faith in a Transcendental Being, without which one is bound to forget that one is not God. Without this belief in transcendence, civilizations and cultures will collapse. Humans would be no different from animals which rule by might and not by right.</w:t>
      </w:r>
    </w:p>
    <w:p w:rsidR="00000000" w:rsidDel="00000000" w:rsidP="00000000" w:rsidRDefault="00000000" w:rsidRPr="00000000" w14:paraId="000002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firmly assure you, ladies and gentlemen: God is present with us today, here and now in this very auditorium. He is amongst us, above us to inspire us, before us to lead us, beside us to guide us, behind us to protect us, and within us — in our hearts and our spirits — to possess us and bring us to His everlasting Kingdom.</w:t>
      </w:r>
    </w:p>
    <w:p w:rsidR="00000000" w:rsidDel="00000000" w:rsidP="00000000" w:rsidRDefault="00000000" w:rsidRPr="00000000" w14:paraId="000002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friends, I have discussed thus far what I consider the three most important values in life: excellence, ethics and eternity. I should however add that there is a fourth one, and this is transparency. It is particularly important for government leaders. In public service, there is no such thing as a private deal, no such thing as an under-the-table transaction. The Constitution and the law subject to scrutiny all</w:t>
      </w:r>
      <w:r w:rsidDel="00000000" w:rsidR="00000000" w:rsidRPr="00000000">
        <w:rPr>
          <w:rFonts w:ascii="Georgia" w:cs="Georgia" w:eastAsia="Georgia" w:hAnsi="Georgia"/>
          <w:sz w:val="22"/>
          <w:szCs w:val="22"/>
          <w:vertAlign w:val="superscript"/>
        </w:rPr>
        <w:footnoteReference w:customMarkFollows="0" w:id="48"/>
      </w:r>
      <w:r w:rsidDel="00000000" w:rsidR="00000000" w:rsidRPr="00000000">
        <w:rPr>
          <w:rFonts w:ascii="Georgia" w:cs="Georgia" w:eastAsia="Georgia" w:hAnsi="Georgia"/>
          <w:sz w:val="22"/>
          <w:szCs w:val="22"/>
          <w:rtl w:val="0"/>
        </w:rPr>
        <w:t xml:space="preserve"> transactions involving public interest and impose transparency as a desirable standard of public service. But because most of us in this Forum are not public servants, I will not take up transparency any further.</w:t>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Epilogue: e-Values </w:t>
      </w:r>
    </w:p>
    <w:p w:rsidR="00000000" w:rsidDel="00000000" w:rsidP="00000000" w:rsidRDefault="00000000" w:rsidRPr="00000000" w14:paraId="000002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Are Immutable</w:t>
      </w:r>
    </w:p>
    <w:p w:rsidR="00000000" w:rsidDel="00000000" w:rsidP="00000000" w:rsidRDefault="00000000" w:rsidRPr="00000000" w14:paraId="000002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Ladies and gentlemen, let me now put an epilogue to my message today. As we cross to the twenty-first century and the third millennium, civilization is also at the threshold of a new age — the electronic age or simply the e-age. In everything we do, everywhere we go, we encounter the tremendous changes wrought by the e-revolution. The agricultural and the industrial ages are being phased out, and the e-age is here. We now live in a new world — the world of e-commerce, e-health, e-media, e-medicine and even e-law. Truly, the personal computer, the Internet, and the dotcom mania are changing our way of living, relaxing and working.</w:t>
      </w:r>
    </w:p>
    <w:p w:rsidR="00000000" w:rsidDel="00000000" w:rsidP="00000000" w:rsidRDefault="00000000" w:rsidRPr="00000000" w14:paraId="000002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while I welcome the e-age of new technologies and learning, at the same time I advocate the old e-values of excellence, ethics and eternity. Unlike the e-paradigms of the electronic age, these e-values have been with mankind since time began and have worked wonders since then. In this e-age of changing habits and standards, I say that the e-values are timeless. They are still relevant today as they were yesterday. In fact I dare say that they will be with us for all time; indeed, they are the e-values for the e-age and beyond. Let them be our constant and continuing guides on how to attain a life worth living for the here and now, and for the hereafter and forever.</w:t>
      </w:r>
    </w:p>
    <w:p w:rsidR="00000000" w:rsidDel="00000000" w:rsidP="00000000" w:rsidRDefault="00000000" w:rsidRPr="00000000" w14:paraId="000002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end this address, let me go back to its beginning. At the start of this talk, I expressed the hope of being able to help you answer four basic questions: Who am I? Why was I born? Where am I headed for? How do I get there? By this time, you must already know the answers, but I will verbalize them for all of us in this manner:</w:t>
      </w:r>
    </w:p>
    <w:p w:rsidR="00000000" w:rsidDel="00000000" w:rsidP="00000000" w:rsidRDefault="00000000" w:rsidRPr="00000000" w14:paraId="000002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Who are we? We are all children of one and the same God, one and the same Almighty Eternal Power and Transcendental Being.</w:t>
      </w:r>
    </w:p>
    <w:p w:rsidR="00000000" w:rsidDel="00000000" w:rsidP="00000000" w:rsidRDefault="00000000" w:rsidRPr="00000000" w14:paraId="000002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Why were we born? We were all born to love, honor and obey Him, who created us in His own image. Where are we headed for? We are all headed for a reunion with Him, our Lord and Creator. And how do we get there? We will all reach our destiny by believing, internalizing and practising daily, throughout our temporal lives on earth — at home, in</w:t>
      </w:r>
    </w:p>
    <w:p w:rsidR="00000000" w:rsidDel="00000000" w:rsidP="00000000" w:rsidRDefault="00000000" w:rsidRPr="00000000" w14:paraId="000002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offices, in our leisure, everywhere and all the time — the e-values of excellence, ethics and eternity.</w:t>
      </w:r>
    </w:p>
    <w:p w:rsidR="00000000" w:rsidDel="00000000" w:rsidP="00000000" w:rsidRDefault="00000000" w:rsidRPr="00000000" w14:paraId="000002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Part II</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UNANIMITY</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Prologue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previous two volumes, Battles in the Supreme Court (1998) and Leadership by Example (1999), I explained the collegial nature of the Supreme Court and the independence enjoyed by its members in deliberating and voting on issues. And to illustrate these two aspects, I extensively discussed the cases in which the members wrote opposing opinions.</w:t>
      </w:r>
    </w:p>
    <w:p w:rsidR="00000000" w:rsidDel="00000000" w:rsidP="00000000" w:rsidRDefault="00000000" w:rsidRPr="00000000" w14:paraId="000002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many colleagues in the judiciary and elsewhere have asked me thenceforth to also include a few of my important ponencias in which the Court was unanimous. Indeed, many of these cases, while unanimous in the end, were discussed and debated quite extensively, sometimes passionately, in the beginning. In fact, some were initially greeted with questions, doubts or even dissents. In the end, after discussions and clarifications, unanimity prevailed.</w:t>
      </w:r>
    </w:p>
    <w:p w:rsidR="00000000" w:rsidDel="00000000" w:rsidP="00000000" w:rsidRDefault="00000000" w:rsidRPr="00000000" w14:paraId="000002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“unanimity” cases reported in Part II of this book were promulgated mostly during my first three years in office; that is, from October 10, 1995 to October 10, 1998. Whenever relevant, however, I tried to connect some of them with recent developments, like the newly promulgated Revised Rules on Criminal Procedure (effective December 1, 2000) or with newer jurisprudence which affected, modified or strengthened them.</w:t>
      </w:r>
    </w:p>
    <w:p w:rsidR="00000000" w:rsidDel="00000000" w:rsidP="00000000" w:rsidRDefault="00000000" w:rsidRPr="00000000" w14:paraId="000002F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7</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Ty v. Trampe: </w:t>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Validity of Increases in </w:t>
      </w:r>
    </w:p>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Real Estate Taxes</w:t>
      </w:r>
    </w:p>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New appointees to the Supreme Court are usually greeted by incumbent members with a mixture of genuine welcome and cautious evaluation. They are welcomed as new colleagues, new coequals in the delicate and awesome task of delivering justice with finality — one that cannot be passed upon, modified or reversed by any other government entity. They are made to feel at home, treated with esteem and showered with attention.</w:t>
      </w:r>
    </w:p>
    <w:p w:rsidR="00000000" w:rsidDel="00000000" w:rsidP="00000000" w:rsidRDefault="00000000" w:rsidRPr="00000000" w14:paraId="000002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same time, the new entrants are unobtrusively scrutinized in many subconscious ways: the way they converse, discuss, write and conduct themselves both publicly and privately. Many times, some justices are assigned to brief them on the SC’s unique processes, functions and routines.’ ' | was fortunate to have been briefed by Justice Jose A.R. Melo, an amiable</w:t>
      </w:r>
      <w:r w:rsidDel="00000000" w:rsidR="00000000" w:rsidRPr="00000000">
        <w:rPr>
          <w:rFonts w:ascii="Georgia" w:cs="Georgia" w:eastAsia="Georgia" w:hAnsi="Georgia"/>
          <w:sz w:val="22"/>
          <w:szCs w:val="22"/>
          <w:vertAlign w:val="superscript"/>
        </w:rPr>
        <w:footnoteReference w:customMarkFollows="0" w:id="49"/>
      </w:r>
      <w:r w:rsidDel="00000000" w:rsidR="00000000" w:rsidRPr="00000000">
        <w:rPr>
          <w:rFonts w:ascii="Georgia" w:cs="Georgia" w:eastAsia="Georgia" w:hAnsi="Georgia"/>
          <w:sz w:val="22"/>
          <w:szCs w:val="22"/>
          <w:rtl w:val="0"/>
        </w:rPr>
        <w:t xml:space="preserve"> But most especially watched are their first ponencias, their first dissents, their first questions during oral arguments and a myriad of other firsts, even their first meals with their “brethren.”</w:t>
      </w:r>
    </w:p>
    <w:p w:rsidR="00000000" w:rsidDel="00000000" w:rsidP="00000000" w:rsidRDefault="00000000" w:rsidRPr="00000000" w14:paraId="000002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Knowing this mix of welcome-cum-evaluation that the justices heap on new colleagues, I had to carefully prepare my first ponencia — one that I thought should be not only jurisprudentially significant, but at the same time written well enough to be accepted or concurred in by the fourteen other justices. Thus, I chose Ty v. Trampe* as my initial Decision. Fortunately, it carried the enthusiastic unanimous concurrence of the full Court. Hence, I thought I passed my first major test to win the respect of my colleagues.</w:t>
      </w:r>
    </w:p>
    <w:p w:rsidR="00000000" w:rsidDel="00000000" w:rsidP="00000000" w:rsidRDefault="00000000" w:rsidRPr="00000000" w14:paraId="000002FB">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Here are the facts of that case.</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C">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2FD">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2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January 6, 1994, the municipal assessor of Pasig, Metro Manila (now Pasig City) sent petitioners a Notice of Assessment of their real properties located therein. It was based on a new Schedule of Market Values prepared by the assessor and approved by the finance secretary. At bottom, the new assessments increased real estate taxes from 418 to 570 percent.</w:t>
      </w:r>
    </w:p>
    <w:p w:rsidR="00000000" w:rsidDel="00000000" w:rsidP="00000000" w:rsidRDefault="00000000" w:rsidRPr="00000000" w14:paraId="000002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29, 1994, petitioners filed, before the Regional Trial Court of the National Capital Judicial Region, a Petition to declare the new increased tax assessments null and void and to enjoin the collection of real estate taxes based on said assessments on the ground that the assessor had not followed the requirements of Presidential Decree (PD) 921. Ina Decision dated July 14, 1994, then Judge Aurelio C.</w:t>
      </w:r>
      <w:r w:rsidDel="00000000" w:rsidR="00000000" w:rsidRPr="00000000">
        <w:rPr>
          <w:rFonts w:ascii="Georgia" w:cs="Georgia" w:eastAsia="Georgia" w:hAnsi="Georgia"/>
          <w:sz w:val="22"/>
          <w:szCs w:val="22"/>
          <w:vertAlign w:val="superscript"/>
        </w:rPr>
        <w:footnoteReference w:customMarkFollows="0" w:id="50"/>
      </w:r>
      <w:r w:rsidDel="00000000" w:rsidR="00000000" w:rsidRPr="00000000">
        <w:rPr>
          <w:rtl w:val="0"/>
        </w:rPr>
      </w:r>
    </w:p>
    <w:p w:rsidR="00000000" w:rsidDel="00000000" w:rsidP="00000000" w:rsidRDefault="00000000" w:rsidRPr="00000000" w14:paraId="000003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Trampe (now retired) denied the Petition on the ground that Republic Act (RA) 7160, otherwise known as the Local Government Code of 1991, had already repealed the Decree. |</w:t>
      </w:r>
    </w:p>
    <w:p w:rsidR="00000000" w:rsidDel="00000000" w:rsidP="00000000" w:rsidRDefault="00000000" w:rsidRPr="00000000" w14:paraId="0000030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Main Issue</w:t>
      </w:r>
    </w:p>
    <w:p w:rsidR="00000000" w:rsidDel="00000000" w:rsidP="00000000" w:rsidRDefault="00000000" w:rsidRPr="00000000" w14:paraId="000003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Did the Local Government Code of 1991 repeal the provisions of PD 921, thus validating the increased real estate taxes being imposed and collected in the Municipality (now City) of Pasig?</w:t>
      </w:r>
    </w:p>
    <w:p w:rsidR="00000000" w:rsidDel="00000000" w:rsidP="00000000" w:rsidRDefault="00000000" w:rsidRPr="00000000" w14:paraId="0000030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05">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Court's Ruling</w:t>
      </w:r>
    </w:p>
    <w:p w:rsidR="00000000" w:rsidDel="00000000" w:rsidP="00000000" w:rsidRDefault="00000000" w:rsidRPr="00000000" w14:paraId="000003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the Local Government Code of 1991 did not repeal PD 921. It was undisputed that the new Schedule of Market Values and Assessments had been prepared solely by the assessor in accordance with RA 7160, but in contravention of PD 921 which required, in the preparation of the Schedule, joint action by all the city and the municipal assessors in the Metropolitan Manila area.</w:t>
      </w:r>
    </w:p>
    <w:p w:rsidR="00000000" w:rsidDel="00000000" w:rsidP="00000000" w:rsidRDefault="00000000" w:rsidRPr="00000000" w14:paraId="000003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obvious from Section 534 of RA 7160 that PD 921 was neither expressly nor impliedly repealed by the former.</w:t>
      </w:r>
    </w:p>
    <w:p w:rsidR="00000000" w:rsidDel="00000000" w:rsidP="00000000" w:rsidRDefault="00000000" w:rsidRPr="00000000" w14:paraId="000003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 7160 has a repealing provision (Section 534) which enumerates the statutes revoked. If the intention of the members of the legislature were to abrogate PD 921, they would have included it in that Section, as when they expressly stated that several other presidential decrees had no more force and effect. Hence, any repeal or modification of PD 921 was possible only under paragraph “f” of said Section 534, which reads: “(f) All general and special laws, acts, city charters, decrees, executive orders, proclamations and administrative regulations, part or parts thereof which are inconsistent with any of the provisions of the Code are hereby repealed or modified accordingly.”</w:t>
      </w:r>
    </w:p>
    <w:p w:rsidR="00000000" w:rsidDel="00000000" w:rsidP="00000000" w:rsidRDefault="00000000" w:rsidRPr="00000000" w14:paraId="000003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particular provision partakes of the nature of a general repealing provision. It is a basic rule of statutory construction that repeals by implication are not favored or allowed, unless the two laws are convincingly and unambiguously demonstrated to be so clearly repugnant and patently inconsistent that they cannot coexist. This principle is based on the rationale that the will of the legislature cannot be overturned by the judicial function of construction and interpretation. The function of a court is not to take the place of Congress in repealing statutes, but to try to harmonize seeming conflicts in the laws and to resolve doubts in favor of their validity and coexistence.</w:t>
      </w:r>
    </w:p>
    <w:p w:rsidR="00000000" w:rsidDel="00000000" w:rsidP="00000000" w:rsidRDefault="00000000" w:rsidRPr="00000000" w14:paraId="000003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 7160 and PD 921 are two laws not coextensive or mutually inclusive in their scope and purpose. While the former covers all governmental functions delegated to local government units all over the country, the latter embraces only the Metropolitan Manila area and is limited to the administration of financial services therein, especially the assessment and the collection of real estate tax.</w:t>
      </w:r>
    </w:p>
    <w:p w:rsidR="00000000" w:rsidDel="00000000" w:rsidP="00000000" w:rsidRDefault="00000000" w:rsidRPr="00000000" w14:paraId="000003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ruling out an implied repeal, the Court compared the two laws in this wise:</w:t>
      </w:r>
    </w:p>
    <w:p w:rsidR="00000000" w:rsidDel="00000000" w:rsidP="00000000" w:rsidRDefault="00000000" w:rsidRPr="00000000" w14:paraId="000003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“Presidential Decree No. 921 was promulgated on 12 April 1976, with the aim</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of, inter alia, evolving ‘a progressive revenue raising program that will not unduly burden the tax-payers... ‘in Metropolitan Manila.? Hence, it provided for the ‘administration of local financial services in Metropolitan Manila’ only, and for this purpose, divided the area into four Local Treasury and Assessment Districts, regulated the duties and functions of the treasurers and assessors in the cities and municipalities in said area and spelled out the process of assessing, imposing and distributing the proceeds of real estate taxes therein.</w:t>
      </w:r>
    </w:p>
    <w:p w:rsidR="00000000" w:rsidDel="00000000" w:rsidP="00000000" w:rsidRDefault="00000000" w:rsidRPr="00000000" w14:paraId="000003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the other hand, Republic Act No. 7160, otherwise known and cited as the ‘Local Government Code of 1991,” took effect on 01 January 1992.° It declared ‘genuine and meaningful local autonomy’ as a policy of the state. Such policy was meant to decentralize government ‘powers, authority, responsibilities and resources’ from the national government to the local government units ‘to enable them to attain their fullest development as self-reliant communities and make them more effective partners in the attainment of national goals.’ In the formulation and implementation of policies and measures on local autonomy, ‘(l)ocal government units may group themselves, consolidate or coordinate their efforts, services, and resources for purposes commonly beneficial to them.”</w:t>
      </w:r>
    </w:p>
    <w:p w:rsidR="00000000" w:rsidDel="00000000" w:rsidP="00000000" w:rsidRDefault="00000000" w:rsidRPr="00000000" w14:paraId="000003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above, it is clear that the two laws are not co-extensive and mutually inclusive in their scope and purpose. While R.A. 7160 covers almost all governmental functions delegated to local government units all over the country, P.D. 921 embraces only the Metropolitan Manila area and is limited to the administration of financial services therein, especially the assessment and collection of real estate (and some other local) taxes.</w:t>
      </w:r>
    </w:p>
    <w:p w:rsidR="00000000" w:rsidDel="00000000" w:rsidP="00000000" w:rsidRDefault="00000000" w:rsidRPr="00000000" w14:paraId="000003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“Coming down to specifics, Sec. 9 of P.D. 921 requires that the schedule of values of real properties in the Metropolitan Manila area shall be prepared jointly by the city assessors in the districts created therein; while Sec. 212 of R.A. 7160 states that the schedule shall be prepared ‘by the provincial, city and municipal assessors of the municipalities within the Metropolitan Manila Area for the different classes of real property situated in their respective local government units for enactment by ordinance of the sanggunian concerned. x x x.’</w:t>
      </w:r>
    </w:p>
    <w:p w:rsidR="00000000" w:rsidDel="00000000" w:rsidP="00000000" w:rsidRDefault="00000000" w:rsidRPr="00000000" w14:paraId="000003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obvious that harmony in these provisions is not only possible, but in fact desirable, necessary and consistent with the legislative intent and policy.”</w:t>
      </w:r>
    </w:p>
    <w:p w:rsidR="00000000" w:rsidDel="00000000" w:rsidP="00000000" w:rsidRDefault="00000000" w:rsidRPr="00000000" w14:paraId="000003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its cavalier disregard of several doctrines when it rendered its judgment, the lower court was chided in the Epilogue thus:</w:t>
      </w:r>
    </w:p>
    <w:p w:rsidR="00000000" w:rsidDel="00000000" w:rsidP="00000000" w:rsidRDefault="00000000" w:rsidRPr="00000000" w14:paraId="000003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this Tribunal would be remiss in its duty as guardian of the judicial branch if we let pass unnoticed the ease by which the Respondent Judge consigned ‘to the statutes’ graveyard’ a legislative enactment ‘together with the (three) decisions of the Supreme Court’ promulgated jointly and unanimously en banc. An elementary regard for the sacredness of laws and the stability of judicial doctrines laid down by superior authority should have constrained him to be more circumspect in rendering his decision and to spell out carefully and precisely the reasons for his decision to invalidate such acts, instead of imperiously decreeing an implied repeal. He knows or should have known the legal precedents against implied repeals. The Respondent Judge, in his Decision, did not even make an attempt to try to reconcile or harmonize the laws involved. Instead, he just unceremoniously swept them and this Court’s decisions into the dustbin of ‘judicial history.’ In his future acts and decisions, he is admonished to be more judicious in setting aside established laws, doctrines and precedents.”</w:t>
      </w:r>
    </w:p>
    <w:p w:rsidR="00000000" w:rsidDel="00000000" w:rsidP="00000000" w:rsidRDefault="00000000" w:rsidRPr="00000000" w14:paraId="00000313">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8</w:t>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First Philippine International Bank </w:t>
      </w:r>
    </w:p>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v. Court of Appeals: </w:t>
      </w:r>
    </w:p>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Honoring a Perfected Contract</w:t>
      </w:r>
    </w:p>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was uplifted intellectually and morally by the enthusiastic support that my fourteen colleagues gave me in unanimously carrying my first ponencia in </w:t>
      </w:r>
      <w:r w:rsidDel="00000000" w:rsidR="00000000" w:rsidRPr="00000000">
        <w:rPr>
          <w:rFonts w:ascii="Georgia" w:cs="Georgia" w:eastAsia="Georgia" w:hAnsi="Georgia"/>
          <w:i w:val="1"/>
          <w:iCs w:val="1"/>
          <w:sz w:val="22"/>
          <w:szCs w:val="22"/>
          <w:rtl w:val="0"/>
        </w:rPr>
        <w:t xml:space="preserve">Ty v. Trampe</w:t>
      </w:r>
      <w:r w:rsidDel="00000000" w:rsidR="00000000" w:rsidRPr="00000000">
        <w:rPr>
          <w:rFonts w:ascii="Georgia" w:cs="Georgia" w:eastAsia="Georgia" w:hAnsi="Georgia"/>
          <w:sz w:val="22"/>
          <w:szCs w:val="22"/>
          <w:rtl w:val="0"/>
        </w:rPr>
        <w:t xml:space="preserve">. Encouraged and motivated, I promised myself that I would work hard to reduce my initial case load of about a thousand cases’ to a more manageable level. I had written Ty v.</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Trampe in December 1995; in the following month I wrote sixteen other decisions, but I believe the most significant was First Philippine International: Bank v. Court of Appeals.</w:t>
      </w:r>
    </w:p>
    <w:p w:rsidR="00000000" w:rsidDel="00000000" w:rsidP="00000000" w:rsidRDefault="00000000" w:rsidRPr="00000000" w14:paraId="0000031B">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1C">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Producers Bank of the Philippines, later renamed First Philippine International Bank, acquired six parcels of land previously owned by BYME Investment and Development Corporation. The original plaintiffs in the trial court, Demetrio Demetria and Jose O. Janolo, wanted to purchase the property. They met with the bank’s Property Management Department manager, Mercurio Rivera, to initiate negotiations for that purpose. In August 1987, Janolo, following the advice of Rivera, made a formal purchase offer of P3.5 million through a letter dated August 30, 1987. Rivera answered, stating that the bank’s price was B5.5 million. On September 17, 1987, Janolo made a counter offer of P4.25 million. On September 28, 1987, plaintiffs met with Luis Co, the senior vice president of the bank. Rivera and a BYME lawyer attended the meeting. On September 30, 1987, Janolo sent the bank a letter stating that, in accordance with their agreement during the September 28, 1987 meeting, he was accepting the latter’s offer to sell the parcels of land at P5.5 million.</w:t>
      </w:r>
    </w:p>
    <w:p w:rsidR="00000000" w:rsidDel="00000000" w:rsidP="00000000" w:rsidRDefault="00000000" w:rsidRPr="00000000" w14:paraId="000003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4, 1987, the regular conservator of the bank (which had been placed under conservatorship by the Central Bank) was replaced by acting Conservator Leonida T. Encarnacion, who wrote to Demetria stating that “their proposal to buy” was being studied by a “newly created committee.”</w:t>
      </w:r>
      <w:r w:rsidDel="00000000" w:rsidR="00000000" w:rsidRPr="00000000">
        <w:rPr>
          <w:rFonts w:ascii="Georgia" w:cs="Georgia" w:eastAsia="Georgia" w:hAnsi="Georgia"/>
          <w:sz w:val="22"/>
          <w:szCs w:val="22"/>
          <w:vertAlign w:val="superscript"/>
        </w:rPr>
        <w:footnoteReference w:customMarkFollows="0" w:id="51"/>
      </w:r>
      <w:r w:rsidDel="00000000" w:rsidR="00000000" w:rsidRPr="00000000">
        <w:rPr>
          <w:rtl w:val="0"/>
        </w:rPr>
      </w:r>
    </w:p>
    <w:p w:rsidR="00000000" w:rsidDel="00000000" w:rsidP="00000000" w:rsidRDefault="00000000" w:rsidRPr="00000000" w14:paraId="000003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Thereafter, Demetria and Janolo made numerous demands, insisting that there was already a perfected sale agreement. The bank rejected these demands, arguing that Rivera’s dealings were unauthorized. The bank refused to receive either the payment or the letter and, instead, openly advertised the parcels of land for sale. Thus, on May 16, 1988, plaintiffs filed a suit for specific performance.</w:t>
      </w:r>
    </w:p>
    <w:p w:rsidR="00000000" w:rsidDel="00000000" w:rsidP="00000000" w:rsidRDefault="00000000" w:rsidRPr="00000000" w14:paraId="000003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11, 1992, during the pendency of the above proceedings in the Court of Appeals, Henry Co and several other stockholders of the bank filed with the RTC a derivative suit against the plaintiffs to declare any perfected sale of the property as unenforceable.</w:t>
      </w:r>
    </w:p>
    <w:p w:rsidR="00000000" w:rsidDel="00000000" w:rsidP="00000000" w:rsidRDefault="00000000" w:rsidRPr="00000000" w14:paraId="000003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Main Issues</w:t>
      </w:r>
    </w:p>
    <w:p w:rsidR="00000000" w:rsidDel="00000000" w:rsidP="00000000" w:rsidRDefault="00000000" w:rsidRPr="00000000" w14:paraId="000003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Did the derivative suit constitute forum shopping?</w:t>
      </w:r>
    </w:p>
    <w:p w:rsidR="00000000" w:rsidDel="00000000" w:rsidP="00000000" w:rsidRDefault="00000000" w:rsidRPr="00000000" w14:paraId="000003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Was there a perfected contract of sale?</w:t>
      </w:r>
    </w:p>
    <w:p w:rsidR="00000000" w:rsidDel="00000000" w:rsidP="00000000" w:rsidRDefault="00000000" w:rsidRPr="00000000" w14:paraId="000003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Was the Bank Conservator’s repudiation sufficient to overturn the contract, assuming it had been perfected?</w:t>
      </w:r>
    </w:p>
    <w:p w:rsidR="00000000" w:rsidDel="00000000" w:rsidP="00000000" w:rsidRDefault="00000000" w:rsidRPr="00000000" w14:paraId="0000032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27">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Yes, there was forum shopping. Forum shopping obtains whenever, as a result of an adverse opinion in one forum, a party seeks a favorable opinion in another, other than by appeal or certiorari. The principle applies not only to suits filed in the courts, but also to litigations commenced in the courts while an administrative proceeding is pending.</w:t>
      </w:r>
    </w:p>
    <w:p w:rsidR="00000000" w:rsidDel="00000000" w:rsidP="00000000" w:rsidRDefault="00000000" w:rsidRPr="00000000" w14:paraId="000003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there thus existed an identity of parties — or at least such parties who represented the same interests in both actions — as well as an identity of rights asserted and relief prayed for, the relief being founded on the same facts. The identity of the two preceding particulars was between the action before the CA and later this Court, on the one hand, and the derivative one filed with the RTC, on the other. This identity was such that any judgment rendered in the other action would, regardless of which party was successful, amount to res judicata in the action under consideration.</w:t>
      </w:r>
    </w:p>
    <w:p w:rsidR="00000000" w:rsidDel="00000000" w:rsidP="00000000" w:rsidRDefault="00000000" w:rsidRPr="00000000" w14:paraId="000003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On the question whether there was a perfected contract, it was beyond cavil that the object of the transaction was the six (6) parcels of land owned by the bank, which clearly intended to sell the property. As testified to by Deputy Conservator Jose Entereso, the bank was looking for buyers of the property. Definitely, the plaintiffs wanted to purchase the property, and it was precisely for this purpose that they met with Rivera, manager of the Property Management Department of the bank, in early August 1987. The procedure for the sale of acquired assets, as well as the nature and the scope of his authority on the matter, was clearly delineated in his testimony. Moreover, from the evidence found by the Court of Appeals, it was obvious that he had apparent or implied authority to act for the Bank in the matter of selling its acquired assets.</w:t>
      </w:r>
    </w:p>
    <w:p w:rsidR="00000000" w:rsidDel="00000000" w:rsidP="00000000" w:rsidRDefault="00000000" w:rsidRPr="00000000" w14:paraId="000003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case turned on the doctrine of apparent authority of officers to act on what the bank held out to the public as matters within their normal authority. Furthermore, the fact that during the September 28, 1987 meeting, the parties perfected a contract of sale - as found by the trial court and affirmed by the CA — was deemed by the Court to be “consistent with human experience, truth and good faith.”</w:t>
      </w:r>
    </w:p>
    <w:p w:rsidR="00000000" w:rsidDel="00000000" w:rsidP="00000000" w:rsidRDefault="00000000" w:rsidRPr="00000000" w14:paraId="000003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No, under Section 28-A® of the Central Bank (CB) Law, a CB-appointed Conservator of a distressed bank could not repudiate the Contract of Sale validly entered into by management. The Court reasoned inter alia:</w:t>
      </w:r>
    </w:p>
    <w:p w:rsidR="00000000" w:rsidDel="00000000" w:rsidP="00000000" w:rsidRDefault="00000000" w:rsidRPr="00000000" w14:paraId="000003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[While admittedly, the Central Bank law gives vast and far-reaching powers to the conservator of a bank, it must be pointed out that such powers must be related to the ‘(preservation of) the assets of the bank, (the reorganization of) the management thereof and (the restoration of) its viability.’ Such powers, enormous and extensive as they are, cannot extend to the post-facto repudiation of perfected transactions; otherwise they would infringe against the non-impairment clause of the Constitution.‘ If the legislature itself</w:t>
      </w:r>
      <w:r w:rsidDel="00000000" w:rsidR="00000000" w:rsidRPr="00000000">
        <w:rPr>
          <w:rFonts w:ascii="Georgia" w:cs="Georgia" w:eastAsia="Georgia" w:hAnsi="Georgia"/>
          <w:sz w:val="22"/>
          <w:szCs w:val="22"/>
          <w:vertAlign w:val="superscript"/>
        </w:rPr>
        <w:footnoteReference w:customMarkFollows="0" w:id="52"/>
      </w:r>
      <w:r w:rsidDel="00000000" w:rsidR="00000000" w:rsidRPr="00000000">
        <w:rPr>
          <w:rFonts w:ascii="Georgia" w:cs="Georgia" w:eastAsia="Georgia" w:hAnsi="Georgia"/>
          <w:sz w:val="22"/>
          <w:szCs w:val="22"/>
          <w:vertAlign w:val="superscript"/>
        </w:rPr>
        <w:footnoteReference w:customMarkFollows="0" w:id="53"/>
      </w:r>
      <w:r w:rsidDel="00000000" w:rsidR="00000000" w:rsidRPr="00000000">
        <w:rPr>
          <w:rFonts w:ascii="Georgia" w:cs="Georgia" w:eastAsia="Georgia" w:hAnsi="Georgia"/>
          <w:sz w:val="22"/>
          <w:szCs w:val="22"/>
          <w:vertAlign w:val="superscript"/>
        </w:rPr>
        <w:footnoteReference w:customMarkFollows="0" w:id="54"/>
      </w:r>
      <w:r w:rsidDel="00000000" w:rsidR="00000000" w:rsidRPr="00000000">
        <w:rPr>
          <w:rFonts w:ascii="Georgia" w:cs="Georgia" w:eastAsia="Georgia" w:hAnsi="Georgia"/>
          <w:sz w:val="22"/>
          <w:szCs w:val="22"/>
          <w:rtl w:val="0"/>
        </w:rPr>
        <w:t xml:space="preserve"> u cannot revoke an existing valid contract, how can it delegate such non-existent powers to the conservator under Section 28-A of said law?</w:t>
      </w:r>
    </w:p>
    <w:p w:rsidR="00000000" w:rsidDel="00000000" w:rsidP="00000000" w:rsidRDefault="00000000" w:rsidRPr="00000000" w14:paraId="000003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“Obviously, therefore, Section 28-A merely gives the conservator power to revoke contracts that are, under existing law, deemed to be defective — i.e., void, voidable, unenforceable or rescissible. Hence, the conservator merely takes the place of a bank’s board of directors. What the said board cannot do — such as repudiating a contract validly entered into under the doctrine of implied authority — the conservator cannot do either. Ineluctably, his power is not unilateral and he cannot simply repudiate valid obligations of the bank. His authority would be only to bring court actions to assail such contracts — as he has already done so in the instant case. A contrary understanding of the law would simply not be permitted by the Constitution. Neither by common sense. To rule otherwise would be to enable a failing bank to become solvent, at the expense of third parties, by simply getting the conservator to unilaterally revoke all previous dealings which had in one way or another come to be considered unfavorable to the bank, yielding nothing to perfected contractual rights or vested interests of the third parties who had dealt with the bank.”</w:t>
      </w:r>
    </w:p>
    <w:p w:rsidR="00000000" w:rsidDel="00000000" w:rsidP="00000000" w:rsidRDefault="00000000" w:rsidRPr="00000000" w14:paraId="000003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Epilogue, the Decision expressed its sympathy for the distressed situation of the bank. But respect for the “rule of law and blind justice” must be upheld. Said the Court: “We are not unmindful of the tenacious plea that the petitioner bank is operating abnormally under a government-appointed conservator and ‘there is need to rehabilitate the bank in order to get it back on its feet x x x as many people depend on (it) for investments, deposits and well as employment. As of June 1987, the bank’s overdraft with the Central Bank had already reached P1.023 billion.... and there were (other) offers to buy the subject properties for a substantial amount of money.”</w:t>
      </w:r>
    </w:p>
    <w:p w:rsidR="00000000" w:rsidDel="00000000" w:rsidP="00000000" w:rsidRDefault="00000000" w:rsidRPr="00000000" w14:paraId="000003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we do not deny our sympathy for this distressed bank, at the same time, the Court cannot emotionally close its eyes to overriding considerations of substantive and procedural law, like respect for perfected contracts, non-impairment of obligations and sanctions against forum-shopping, which must be upheld under the rule of law and blind justice.</w:t>
      </w:r>
    </w:p>
    <w:p w:rsidR="00000000" w:rsidDel="00000000" w:rsidP="00000000" w:rsidRDefault="00000000" w:rsidRPr="00000000" w14:paraId="000003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cannot just gloss over private respondent’s submission that, while the subject properties may currently command a much higher-price, it is equally true that at the time of the transaction in 1987, the price agreed upon of P5.5 million was reasonable, considering that the bank acquired these properties at a foreclosure sale for no more than P3.5 million. That the bank pro-</w:t>
      </w:r>
      <w:r w:rsidDel="00000000" w:rsidR="00000000" w:rsidRPr="00000000">
        <w:rPr>
          <w:rFonts w:ascii="Georgia" w:cs="Georgia" w:eastAsia="Georgia" w:hAnsi="Georgia"/>
          <w:sz w:val="22"/>
          <w:szCs w:val="22"/>
          <w:vertAlign w:val="superscript"/>
        </w:rPr>
        <w:footnoteReference w:customMarkFollows="0" w:id="55"/>
      </w:r>
      <w:r w:rsidDel="00000000" w:rsidR="00000000" w:rsidRPr="00000000">
        <w:rPr>
          <w:rFonts w:ascii="Georgia" w:cs="Georgia" w:eastAsia="Georgia" w:hAnsi="Georgia"/>
          <w:sz w:val="22"/>
          <w:szCs w:val="22"/>
          <w:vertAlign w:val="superscript"/>
        </w:rPr>
        <w:footnoteReference w:customMarkFollows="0" w:id="56"/>
      </w:r>
      <w:r w:rsidDel="00000000" w:rsidR="00000000" w:rsidRPr="00000000">
        <w:rPr>
          <w:rFonts w:ascii="Georgia" w:cs="Georgia" w:eastAsia="Georgia" w:hAnsi="Georgia"/>
          <w:sz w:val="22"/>
          <w:szCs w:val="22"/>
          <w:rtl w:val="0"/>
        </w:rPr>
        <w:t xml:space="preserve"> crastinated and refused to honor its commitment to sell cannot now be used by it to promote its own advantage, to enable it to escape its binding obligation and to reap the benefits of the increase in land values. To rule in favor of the bank simply because the property in question has [exponentially] accelerated in price during the long period of litigation is to reward lawlessness and delays in the fulfillment of binding contracts. Certainly, the Court cannot stamp its imprimatur on such outrageous proposition.”</w:t>
      </w:r>
    </w:p>
    <w:p w:rsidR="00000000" w:rsidDel="00000000" w:rsidP="00000000" w:rsidRDefault="00000000" w:rsidRPr="00000000" w14:paraId="000003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case would have ended with that Epilogue. But the bank, unyielding in defeat, filed two Motions for Reconsideration, the second of which even blamed the Court for its financial malaise. In response, I quote our Resolution dated July, 17, 1996, disposing of the Second Motion for Reconsideration thus:</w:t>
      </w:r>
    </w:p>
    <w:p w:rsidR="00000000" w:rsidDel="00000000" w:rsidP="00000000" w:rsidRDefault="00000000" w:rsidRPr="00000000" w14:paraId="000003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paragraph 7 of the Resolution dated April 7, 1988 of the Court En Banc, ‘(w)here the Court has resolved to deny a motion for reconsideration and decrees the denial to be final, no motion for leave to file a second motion for reconsideration shall be entertained.’ Inasmuch as the (first) Motion for Reconsideration dated February 15, 1996 has been denied with finality per our Resolution dated March 4, 1996, it follows that the Omnibus Motion as well as the Second Motion for Reconsideration should be DENIED outright. Even the presence of ‘new grounds’ or ‘newly discovered errors’ are not sufficient grounds therefor, because ‘litigations must come to an end at some point’, i.e. in this case, after a Motion for Reconsideration is denied with finality. This Court stressed this principle in a Resolution in G.R. No. 109645, entitled Ortigas and Company Limited Partnership vs. Judge Tirso Velasco, et al., promulgated on March 4, 1996, as follows:</w:t>
      </w:r>
    </w:p>
    <w:p w:rsidR="00000000" w:rsidDel="00000000" w:rsidP="00000000" w:rsidRDefault="00000000" w:rsidRPr="00000000" w14:paraId="00000334">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‘A second motion for reconsideration is forbidden except for extraordinary persuasive reasons, and only upon express leave first obtained. The propriety or acceptability of such a second motion for reconsideration is not contingent upon the averment of ‘new’ grounds to assail the judgment, i.e., grounds other than those therefor presented and rejected. Otherwise, attainment of finality of a judgment might be staved off indefinitely, depending on the party’s ingeniousness or cleverness in conceiving and formulating ‘additional flaws’ or ‘newly discovered errors’ therein, or thinking up some injury or prejudice to the rights of the movant for reconsideration. ‘Piecemeal’ impugnation of a judgment by successive motions for reconsideration is anathema, being precluded by the salutary axiom that a party seeking the setting aside of a judgment, act or proceeding must set out in his motion all the grounds therefor, and those not so included are deemed waived and cease to be available for subsequent motions.</w:t>
      </w:r>
      <w:r w:rsidDel="00000000" w:rsidR="00000000" w:rsidRPr="00000000">
        <w:rPr>
          <w:rtl w:val="0"/>
        </w:rPr>
      </w:r>
    </w:p>
    <w:p w:rsidR="00000000" w:rsidDel="00000000" w:rsidP="00000000" w:rsidRDefault="00000000" w:rsidRPr="00000000" w14:paraId="000003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all litigation must come to an end at some point, in accordance with established rules of procedure and jurisprudence. As a matter of practice and policy, courts must dispose of every case as promptly as possible; and in fulfillment of their role in the administration of justice, they should brook no delay in the termination of cases by stratagems or maneuverings of parties or their lawyers. The Court recently had occasion to reaffirm these basic postulates in In Re Joaquin T. Borromeo, viz.:</w:t>
      </w:r>
    </w:p>
    <w:p w:rsidR="00000000" w:rsidDel="00000000" w:rsidP="00000000" w:rsidRDefault="00000000" w:rsidRPr="00000000" w14:paraId="000003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x x x of the essence of the judicial function that at some point, litigation must end. Hence, after the procedures and processes for lawsuits have been undergone, and the mode of review set by law have been exhausted or terminated, no further ventilation of the same subject matter is allowed. To be sure, there may be, on the part of the losing parties, continuing dis-agreement with the verdict, and the conclusions therein embodied. This is of no moment, indeed, is to be expected, but it is not their will, but the Court’s, which must prevail; and, to repeat, public policy demands that at some definite time, _ the issues must be laid to rest and the court’s dispositions thereon</w:t>
      </w:r>
    </w:p>
    <w:p w:rsidR="00000000" w:rsidDel="00000000" w:rsidP="00000000" w:rsidRDefault="00000000" w:rsidRPr="00000000" w14:paraId="000003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125 accorded absolute finality (with voluminous citations, including Garbo v. Court of Appeals, 226 SCRA 250, G.R. No. 100474, September 10, 1993; GSIS v. Gines, 219 SCRA 724, G.R. No. 85273, March 9, 1993; Gesulgon ¥. NLRC, 219 SCRA 561, G.R. 90349 March 5, 1993; Paramount Insurance Corporation v. Japson, 211 SCRA 879, G.R. No. 68073, July 29, 1992; Cachola v. CA, 208 SCRA 496, G.R. No. 97822, May 7, 1992; Enriquez v. C.A., 202 SCRA 487, GR. No. 83720, October 4, 1991; Alvendia v. IAC, 181 SCRA 252, G.R. No. 72138, January 22, 1990, etc.). As observed by this Court in Rheem of the Philippines v. Ferrer, a 1967 decision (20 SCRA 441, 444), a party ‘may think highly of his intellectual endowment. That is his privilege. And he may suffer frustration at what he feels is others’ lack of it. This is his misfortune. Some such frame of mind, however, should not be allowed to harden into a belief that he may attack a court's decision in words calculated to jettison the time-honored aphorism that courts are the temples of right.’</w:t>
      </w:r>
    </w:p>
    <w:p w:rsidR="00000000" w:rsidDel="00000000" w:rsidP="00000000" w:rsidRDefault="00000000" w:rsidRPr="00000000" w14:paraId="000003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 that as it may, we still decided to take a last look at the case, particularly the matters raised in the proposed second motion for reconsideration, not to reverse the foregoing doctrines [or] even to make an exception</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thereto but to satisfy ourselves that justice is a{cc]orded all parties. After a meticulous review of said matters and a judicious deliberation by the Court, we have come to the ineluctable conclusion that our Decision should remain and the said motions be denied.</w:t>
      </w:r>
    </w:p>
    <w:p w:rsidR="00000000" w:rsidDel="00000000" w:rsidP="00000000" w:rsidRDefault="00000000" w:rsidRPr="00000000" w14:paraId="000003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proposed second motion for reconsideration basically raises four points: (1) there was no forum shopping, (2) neither was there a perfected nor enforceable contract of sale, (3) the Conservator had power to revoke acts of the previous management, and (4) the sale of the subject properties will create ‘grave injuries,’ particularly to petitioner bank which will ‘be made liable to pay capital gains tax of about P12.625 million (exclusive of documentary stamp tax) which is twice higher than the purchase price.’</w:t>
      </w:r>
    </w:p>
    <w:p w:rsidR="00000000" w:rsidDel="00000000" w:rsidP="00000000" w:rsidRDefault="00000000" w:rsidRPr="00000000" w14:paraId="000003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“Anent petitioners’ insistence that there was no forum shopping, suffice it to say that the disquisition in pages 13 to 27 of the Decision is more than sufficient to refute this contention. We have already explained why Victronics is not applicable here and [we] will not repeat such explanation.</w:t>
      </w:r>
    </w:p>
    <w:p w:rsidR="00000000" w:rsidDel="00000000" w:rsidP="00000000" w:rsidRDefault="00000000" w:rsidRPr="00000000" w14:paraId="000003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question of whether or not there was an actual meeting of minds on the sale, we refer back to the facts of the case. While there could be some argument about the authority of Mercurio Rivera as well as the conclusiveness of the transaction up to his level, all such doubts were resolved during the meeting of the parties on September 28,</w:t>
      </w:r>
    </w:p>
    <w:p w:rsidR="00000000" w:rsidDel="00000000" w:rsidP="00000000" w:rsidRDefault="00000000" w:rsidRPr="00000000" w14:paraId="000003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127 1987 attended by Luis Co, a senior management officer and stockholder of the Bank. The letter of Janolo dated September 30, 1987 ‘accepting’ the ‘offer’ of the Bank at the ‘total price of PESOS: FIVE MILLION FIVE HUNDRED THOUSAND (P5,500,000.00)’ swept away any such argument(s] or doubts about the perfection of the contract. Be it noted that this letter was never even replied to by the bank until it was too late, by the letter dated November 4, 1987 sent by Rivera to Demetria — which, late as it was, did not even refute the ‘acceptance’ of the ‘offer’ but merely said it was ‘under study yet as of this time by the newly-created committee for submission to the newly designated acting Conservator of the Bank.’ If indeed there was no offer made by Co and Rivera during the September 28, 1987 meeting, they or either one of them should have denied vehemently and immediately such ‘fact.’ This is the ordinary human reaction to a supposed misrepresentation.</w:t>
      </w:r>
    </w:p>
    <w:p w:rsidR="00000000" w:rsidDel="00000000" w:rsidP="00000000" w:rsidRDefault="00000000" w:rsidRPr="00000000" w14:paraId="000003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aware of the persistence of petitioners in contesting private respondent's version of what transpired during that meeting on September 28, 1987. However, both the trial court and the Court of Appeals were one in upholding such version. It is an age-old doctrine approximating immutability that findings of facts of the Court of Appeals affirming the trial court’s own findings are entitled to great respect and even finality. Petitioners have not presented any | ‘extraordinarily persuasive reason’ in their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motion why we should abandon or make an exception from such firmly rooted rule.</w:t>
      </w:r>
    </w:p>
    <w:p w:rsidR="00000000" w:rsidDel="00000000" w:rsidP="00000000" w:rsidRDefault="00000000" w:rsidRPr="00000000" w14:paraId="000003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arguments regarding the powers of the Conservator have also been sufficiently taken up in pages 44 to 48 of the Decision. We find no cogent reason to warrant a disturbance of our dictum therein.</w:t>
      </w:r>
    </w:p>
    <w:p w:rsidR="00000000" w:rsidDel="00000000" w:rsidP="00000000" w:rsidRDefault="00000000" w:rsidRPr="00000000" w14:paraId="000003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to petitioners’ contention that the sale will expose the bank ‘to pay capital gains tax of about P12.625 million (exclusive of documentary stamp tax),’ we quote the arithmetics of private respondent in his comment:</w:t>
      </w:r>
    </w:p>
    <w:p w:rsidR="00000000" w:rsidDel="00000000" w:rsidP="00000000" w:rsidRDefault="00000000" w:rsidRPr="00000000" w14:paraId="000003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‘Petitioners’ statement betrays its utter lack of candor in dealing with this Honorable Court. Both the bank and its acquired assets Manager, Mr. Rivera, should know from their long experience in the banking business that corporations, like petitioner bank, are not subject to the 5% capital gains tax on the sale of real property but to the 35% corporate income tax based on ordinary taxable gain under Section 24 (a) of the Tax Code, as amended. Thus, Section 21 (e) of the Tax Code provides for capital gains tax from sales of real property by individuals:</w:t>
      </w:r>
    </w:p>
    <w:p w:rsidR="00000000" w:rsidDel="00000000" w:rsidP="00000000" w:rsidRDefault="00000000" w:rsidRPr="00000000" w14:paraId="000003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‘Capital gains from sales of real property. — The provisions of Section 33 (b) notwithstanding, capital gains presumed to have been realized from the sale, exchange or other disposition of real property located</w:t>
      </w:r>
    </w:p>
    <w:p w:rsidR="00000000" w:rsidDel="00000000" w:rsidP="00000000" w:rsidRDefault="00000000" w:rsidRPr="00000000" w14:paraId="000003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129 in the Philippines classified as capital assets, including pacto de retro sales and other forms of conditional sales, by individuals, including estates and trust, shall be taxed at the rate of 5% based on the gross selling price or the fair market value prevailing at the time of sale whichever is higher, Provided, That the tax liability, if any, on gains from sales or other dispositions of real property to the government or any of its political subdivisions or agencies or to government-owned or controlled corporations shall be determined either under Section 21 (a) or under this subsection, at the option of the taxpayer.’</w:t>
      </w:r>
    </w:p>
    <w:p w:rsidR="00000000" w:rsidDel="00000000" w:rsidP="00000000" w:rsidRDefault="00000000" w:rsidRPr="00000000" w14:paraId="000003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Section 24 (a) of the Tax Code, on the other hand, domestic corporations are subject only to a tax of 35% ‘upon the taxable income received during each taxable year from all sources within and without the Philippines.” These income include taxable gain realized in the sale of real property. x x x.</w:t>
      </w:r>
    </w:p>
    <w:p w:rsidR="00000000" w:rsidDel="00000000" w:rsidP="00000000" w:rsidRDefault="00000000" w:rsidRPr="00000000" w14:paraId="000003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the Bank’s gain from the transaction is P1,466,736.00, representing the difference between the selling price of P5.5 million and the acquisition price of P3,033,264.00 made by the Bank during the foreclosure sale. The corporate income tax of 35% due on this taxable gain is P513,357.60, not P12.626</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million as petitioners falsely claim in their omnibus and second motion for reconsideration. The amount of P513,357.60 does not include the exaggerated expenses claimed by the bank from 1986 to January 1996, totaling P19,105,695.11 consisting of ‘real estate taxes (P344,492.05), litigation and lawyers’ fees (P10,418,302.56) [!], security guards (P4,745.280.83), fencing costs (P2,074,643.09), sheriff's expenses (P163,666.95), Bureau of Internal Revenue (P30,940.00), survey expenses (P112,028.70) and others (P666,725.11).’ Second Motion for Reconsideration, p. 18)’</w:t>
      </w:r>
    </w:p>
    <w:p w:rsidR="00000000" w:rsidDel="00000000" w:rsidP="00000000" w:rsidRDefault="00000000" w:rsidRPr="00000000" w14:paraId="000003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their reply, petitioners have not challenged the above ‘computation.’ Neither will this Court.</w:t>
      </w:r>
    </w:p>
    <w:p w:rsidR="00000000" w:rsidDel="00000000" w:rsidP="00000000" w:rsidRDefault="00000000" w:rsidRPr="00000000" w14:paraId="000003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Petitioner First Bank reiterates its plea to give consideration to its status as a ‘distressed bank,’ with accumulated losses of ‘approximately P1.344 billion’ as of December 31, 1995. The ‘loss of the subject properties,’ it continues, ‘will no doubt seriously impair the Bank’s capacity to pay its liabilities to the Bangko Sentral ng Pilipinas standing at P1.3 billion.’ It thus blames this Court because the Bank’s ‘death kn[e]ll has been tolled by [its] recent ruling.’ Such irresponsible finger pointing is completely misplaced and cannot evoke even the slightest consideration. The bank's almost bankrupt condition was caused by its own mismanagement and neglect, not</w:t>
      </w:r>
    </w:p>
    <w:p w:rsidR="00000000" w:rsidDel="00000000" w:rsidP="00000000" w:rsidRDefault="00000000" w:rsidRPr="00000000" w14:paraId="000003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131 by this Court [or] its Decision. Neither should the bank now look to this Court for extra-legal solutions like the unceremonious setting aside of the sale of the subject property so it could cover its abysmal deficits and save it from its own imprudence. In our Decision, we have expressed ‘our sympathy for this distressed bank’ but such feeling cannot override our superior constitutional duty to dispense justice for all.”</w:t>
      </w:r>
    </w:p>
    <w:p w:rsidR="00000000" w:rsidDel="00000000" w:rsidP="00000000" w:rsidRDefault="00000000" w:rsidRPr="00000000" w14:paraId="00000348">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9</w:t>
      </w:r>
    </w:p>
    <w:p w:rsidR="00000000" w:rsidDel="00000000" w:rsidP="00000000" w:rsidRDefault="00000000" w:rsidRPr="00000000" w14:paraId="000003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PCGG Cases: </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Recovery of Ill-Gotten Wealth</w:t>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five years in the Court, I have written a number of unanimous decisions involving the Presidential Commission on Good Government (PCGG) and its crusade to recover alleged ill-gotten wealth of former President Ferdinand E. Marcos, his family members, nominees, cronies and associates. Perhaps the most significant was Chavez v. PCGG, which invalidated the Compromise Agreements entered into by the Marcos heirs and the PCGG.</w:t>
      </w:r>
    </w:p>
    <w:p w:rsidR="00000000" w:rsidDel="00000000" w:rsidP="00000000" w:rsidRDefault="00000000" w:rsidRPr="00000000" w14:paraId="000003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Here are five unanimous PCGG cases:</w:t>
      </w:r>
    </w:p>
    <w:p w:rsidR="00000000" w:rsidDel="00000000" w:rsidP="00000000" w:rsidRDefault="00000000" w:rsidRPr="00000000" w14:paraId="000003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First Philippine Holdings Corporation v. Sandiganbayan and Benjamin Romualdez,’ which held that the Sandiganbayan had jurisdiction to admit interventions of parties claiming interests in, sequestered properties, even if jurisdiction over</w:t>
      </w:r>
      <w:r w:rsidDel="00000000" w:rsidR="00000000" w:rsidRPr="00000000">
        <w:rPr>
          <w:rFonts w:ascii="Georgia" w:cs="Georgia" w:eastAsia="Georgia" w:hAnsi="Georgia"/>
          <w:sz w:val="22"/>
          <w:szCs w:val="22"/>
          <w:vertAlign w:val="superscript"/>
        </w:rPr>
        <w:footnoteReference w:customMarkFollows="0" w:id="57"/>
      </w:r>
      <w:r w:rsidDel="00000000" w:rsidR="00000000" w:rsidRPr="00000000">
        <w:rPr>
          <w:rFonts w:ascii="Georgia" w:cs="Georgia" w:eastAsia="Georgia" w:hAnsi="Georgia"/>
          <w:sz w:val="22"/>
          <w:szCs w:val="22"/>
          <w:rtl w:val="0"/>
        </w:rPr>
        <w:t xml:space="preserve"> conflicting claims of stock ownership were normally lodged in other tribunals or agencies. The Court explained that the authority of the PCGG and the Sandiganbayan over ill-gotten wealth was exclusive, plenary and all-embracing.</w:t>
      </w:r>
    </w:p>
    <w:p w:rsidR="00000000" w:rsidDel="00000000" w:rsidP="00000000" w:rsidRDefault="00000000" w:rsidRPr="00000000" w14:paraId="000003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Republic v. Sandiganbayan and Dio Island Resort,’ which ruled that sequestration orders issued by a “PCGG representative and head of its task force” was void; only the Commission or its members could do so.</w:t>
      </w:r>
    </w:p>
    <w:p w:rsidR="00000000" w:rsidDel="00000000" w:rsidP="00000000" w:rsidRDefault="00000000" w:rsidRPr="00000000" w14:paraId="000003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Republic v. Sandiganbayan and Provident International Resources, which upheld the Writ of Sequestration dated March 19, 1986, even if signed by only one PCGG commissioner, because it had been issued before the promulgation of the PCGG Rules and Regulations on April 11, 1986 which required the “authority of at least two commissioners.”</w:t>
      </w:r>
    </w:p>
    <w:p w:rsidR="00000000" w:rsidDel="00000000" w:rsidP="00000000" w:rsidRDefault="00000000" w:rsidRPr="00000000" w14:paraId="000003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Republic v. Sandiganbayan and Imelda Cojuangeo,t which annulled the Writ of Sequestration dated May 9, 1986 signed by one PCGG commissioner after the PCGG Rules had been promulgated on April 11, 1986.</w:t>
      </w:r>
    </w:p>
    <w:p w:rsidR="00000000" w:rsidDel="00000000" w:rsidP="00000000" w:rsidRDefault="00000000" w:rsidRPr="00000000" w14:paraId="000003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 Chavez v. Presidential Commission on Good Government, which voided the “75-25” Compromise Agreement and Supplemental Agreement, both entered into between the Estate of President Marcos and the PCGG on December 28, 1993.</w:t>
      </w:r>
    </w:p>
    <w:p w:rsidR="00000000" w:rsidDel="00000000" w:rsidP="00000000" w:rsidRDefault="00000000" w:rsidRPr="00000000" w14:paraId="000003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summarize these five cases.</w:t>
      </w:r>
      <w:r w:rsidDel="00000000" w:rsidR="00000000" w:rsidRPr="00000000">
        <w:rPr>
          <w:rFonts w:ascii="Georgia" w:cs="Georgia" w:eastAsia="Georgia" w:hAnsi="Georgia"/>
          <w:sz w:val="22"/>
          <w:szCs w:val="22"/>
          <w:vertAlign w:val="superscript"/>
        </w:rPr>
        <w:footnoteReference w:customMarkFollows="0" w:id="58"/>
      </w:r>
      <w:r w:rsidDel="00000000" w:rsidR="00000000" w:rsidRPr="00000000">
        <w:rPr>
          <w:rFonts w:ascii="Georgia" w:cs="Georgia" w:eastAsia="Georgia" w:hAnsi="Georgia"/>
          <w:sz w:val="22"/>
          <w:szCs w:val="22"/>
          <w:vertAlign w:val="superscript"/>
        </w:rPr>
        <w:footnoteReference w:customMarkFollows="0" w:id="59"/>
      </w:r>
      <w:r w:rsidDel="00000000" w:rsidR="00000000" w:rsidRPr="00000000">
        <w:rPr>
          <w:rFonts w:ascii="Georgia" w:cs="Georgia" w:eastAsia="Georgia" w:hAnsi="Georgia"/>
          <w:sz w:val="22"/>
          <w:szCs w:val="22"/>
          <w:vertAlign w:val="superscript"/>
        </w:rPr>
        <w:footnoteReference w:customMarkFollows="0" w:id="60"/>
      </w:r>
      <w:r w:rsidDel="00000000" w:rsidR="00000000" w:rsidRPr="00000000">
        <w:rPr>
          <w:rtl w:val="0"/>
        </w:rPr>
      </w:r>
    </w:p>
    <w:p w:rsidR="00000000" w:rsidDel="00000000" w:rsidP="00000000" w:rsidRDefault="00000000" w:rsidRPr="00000000" w14:paraId="0000035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7">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 First Philippine Holdings Corporation v. Sandiganbayan and Benjamin Romualdez</w:t>
      </w:r>
      <w:r w:rsidDel="00000000" w:rsidR="00000000" w:rsidRPr="00000000">
        <w:rPr>
          <w:rtl w:val="0"/>
        </w:rPr>
      </w:r>
    </w:p>
    <w:p w:rsidR="00000000" w:rsidDel="00000000" w:rsidP="00000000" w:rsidRDefault="00000000" w:rsidRPr="00000000" w14:paraId="00000358">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59">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Civil Case No. 0035 filed before the Sandiganbayan, PCGG prayed for the return, the reconveyance, the accounting and the restitution — with damages — of certain funds and properties that had allegedly been acquired by Spouses Benjamin and Juliet Romualdez, Trans-Middle East Equities Inc. (Equities) and Edilberto S. Narciso Jr. through “abuse of right and power and through unjust enrichment.” The Petition stated that part of these funds and properties were 6,299,177 sequestered shares of stock in the Philippine Commercial International Bank (PCIBank). Respondent spouses, as beneficial owners, allegedly acquired these shares in violation of the Anti- Graft and Corrupt Practices Act. Furthermore, such shares were purportedly purchased from First Philippine Holdings Corporation (First Philippines) by Romualdez, using Equities and Narciso as “his dummy buyers,” with “no or negligible ‘cash out.’” Thus, as “unexplained wealth,” they were subject to forfeiture in favor of the Republic of the Philippines.</w:t>
      </w:r>
    </w:p>
    <w:p w:rsidR="00000000" w:rsidDel="00000000" w:rsidP="00000000" w:rsidRDefault="00000000" w:rsidRPr="00000000" w14:paraId="000003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Sandiganbayan granted the Motion for Intervention filed by Equities, which claimed ownership of the shares, as well as the corresponding rights appurtenant to ownership, like the right to vote those shares and to receive dividends.</w:t>
      </w:r>
    </w:p>
    <w:p w:rsidR="00000000" w:rsidDel="00000000" w:rsidP="00000000" w:rsidRDefault="00000000" w:rsidRPr="00000000" w14:paraId="000003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Philippines filed its own “Motion for Leave’ 1o Intervene and to Admit Complaint in Intervention” in said Civil Case No. 0035 pending before the Sandiganbayan, alleging that the PCIBank shares had been “obtained x x x by means of fraud and acts contrary to law, morals, good customs and public policy, as well as in breach of fiduciary duty.” Thus, it further contended, their acquisition through a Deed of “Sale of Stocks and Escrow Agreement” dated May 24, 1984, was either voidable or void or unenforceable on any of said grounds.</w:t>
      </w:r>
    </w:p>
    <w:p w:rsidR="00000000" w:rsidDel="00000000" w:rsidP="00000000" w:rsidRDefault="00000000" w:rsidRPr="00000000" w14:paraId="0000035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5E">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Issues</w:t>
      </w:r>
    </w:p>
    <w:p w:rsidR="00000000" w:rsidDel="00000000" w:rsidP="00000000" w:rsidRDefault="00000000" w:rsidRPr="00000000" w14:paraId="000003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Should First Philippines (formerly Meralco Securities Corporation) be allowed to intervene and litigate its claim of ownership over the 6,299,177 sequestered PCIBank shares of stock in the pending Sandiganbayan case, which had been filed by the government for the reconveyance of those shares in its favor on the ground that they allegedly formed part of the “ill-gotten” wealth of Benjamin “Kokoy” Romualdez?</w:t>
      </w:r>
    </w:p>
    <w:p w:rsidR="00000000" w:rsidDel="00000000" w:rsidP="00000000" w:rsidRDefault="00000000" w:rsidRPr="00000000" w14:paraId="000003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Did the Sandiganbayan have jurisdiction over the case?</w:t>
      </w:r>
    </w:p>
    <w:p w:rsidR="00000000" w:rsidDel="00000000" w:rsidP="00000000" w:rsidRDefault="00000000" w:rsidRPr="00000000" w14:paraId="0000036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6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Yes, First Philippines should be allowed to intervene. Section 2 of Rule 12 of the Rules of Court allows interventions in judicial proceedings. Intervention is a remedy by which a third party, not originally impleaded in a proceeding, becomes a litigant therein to enable him to protect or preserve a right or res that may be affected by such proceeding. Its purpose is “to settle in one action and by a single judgment the whole controversy (among) the persons involved.”</w:t>
      </w:r>
    </w:p>
    <w:p w:rsidR="00000000" w:rsidDel="00000000" w:rsidP="00000000" w:rsidRDefault="00000000" w:rsidRPr="00000000" w14:paraId="000003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was no doubt that petitioner had a legal interest in the shares which were the subject of the controversy. At the very least, it was “so situated as to be adversely affected by a distribution or disposition of the (sequestered shares) in the custody of the court.”</w:t>
      </w:r>
    </w:p>
    <w:p w:rsidR="00000000" w:rsidDel="00000000" w:rsidP="00000000" w:rsidRDefault="00000000" w:rsidRPr="00000000" w14:paraId="000003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Second Amended Complaint in Civil Case No. 0035 before the Sandiganbayan, the PCGG prayed that the shares in question, among other properties, should be returned and reconveyed to it. Respondent Equities opposed on the ground that it was the true owner thereof. On the other hand, First Philippines claimed that the shares belonged to it, not to Romualdez or Equities. Clearly, therefore, petitioner would be adversely affected by any judgment distributing or disposing of the property, whether to PCGG or to Equities or to Romualdez.</w:t>
      </w:r>
    </w:p>
    <w:p w:rsidR="00000000" w:rsidDel="00000000" w:rsidP="00000000" w:rsidRDefault="00000000" w:rsidRPr="00000000" w14:paraId="000003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Unquestionably, the shares were sequestered and were thus “in the custody of the court” because, by sequestration, properties are placed in the control of a court to preserve them and/or to prevent their sale, encumbrance or disposition, pending the determination of the legality or the illegality of their acquisition and their true ownership. No such final determination was possible unless the parties who had legitimate but conflicting claims were made parties to or, as in this case, allowed to intervene in the main action.</w:t>
      </w:r>
    </w:p>
    <w:p w:rsidR="00000000" w:rsidDel="00000000" w:rsidP="00000000" w:rsidRDefault="00000000" w:rsidRPr="00000000" w14:paraId="000003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Yes, the Sandiganbayan had jurisdiction over the case. Its jurisdiction had been clarified in PCGG v. Pena et al., which was reiterated in six subsequent cases decided jointly. In these cases, the Court held that “the exclusive jurisdiction conferred on the Sandiganbayan: would evidently extend not only to the principal causes of action, i.e., the recovery of alleged ill-gotten wealth,’ but also to ‘all incidents arising from, incidental to, or related to, such cases,’ such as the dispute over the sale of the shares, the propriety of the issuance of ancillary writs or provisional remedies relative thereto, [and] the sequestration thereof, which may not be made the subject of separate actions or proceedings in another forum.”</w:t>
      </w:r>
    </w:p>
    <w:p w:rsidR="00000000" w:rsidDel="00000000" w:rsidP="00000000" w:rsidRDefault="00000000" w:rsidRPr="00000000" w14:paraId="000003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face of this previous ruling, the inescapable conclusion was that the intervention must be allowed; otherwise, the Sandiganbayan would not be able to determine the ultimate owner of the shares under sequestration.</w:t>
      </w:r>
    </w:p>
    <w:p w:rsidR="00000000" w:rsidDel="00000000" w:rsidP="00000000" w:rsidRDefault="00000000" w:rsidRPr="00000000" w14:paraId="00000369">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B. Republic of the Philippines and PCGG v. Sandiganbayan and Dio Island Resort</w:t>
      </w:r>
    </w:p>
    <w:p w:rsidR="00000000" w:rsidDel="00000000" w:rsidP="00000000" w:rsidRDefault="00000000" w:rsidRPr="00000000" w14:paraId="0000036A">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6B">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April 14, 1986, a Sequestration Order was issued by Atty. Jose Tan Ramirez, a PCGG representative and head of its task force in Region VIII, against Dio Island Resort, Inc. and all its assets and properties.</w:t>
      </w:r>
    </w:p>
    <w:p w:rsidR="00000000" w:rsidDel="00000000" w:rsidP="00000000" w:rsidRDefault="00000000" w:rsidRPr="00000000" w14:paraId="000003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22, 1987, the Republic of the Philippines, through the Presidential Commission on Good Government (PCGG), filed with the Sandiganbayan a Complaint against Alfredo T. Romualdez, Ferdinand E. Marcos, Imelda R. Marcos and forty-six (46) other defendants seeking to recover alleged “ill-gotten wealth” acquired and accumulated by these defendants. Although Dio Island Resorts, Inc. was mentioned in the Complaint as among those corporations in which Alfredo T. Romualdez purportedly owned shares of stock, it was not impleaded as a party thereto.</w:t>
      </w:r>
    </w:p>
    <w:p w:rsidR="00000000" w:rsidDel="00000000" w:rsidP="00000000" w:rsidRDefault="00000000" w:rsidRPr="00000000" w14:paraId="000003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Manifestation and Motion filed in the same case, Dio Island asked the Sandiganbayan to stop the PCGG and its agents from further interfering with and exercising ownership over the resort and to require the return of its properties and assets covered by said Order. It further alleged that “up to the present time, there is no case filed against movant (Dio Island Resort) before the Sandiganbayan by reason of which, the alleged Sequestration Order is deemed automatically lifted pursuant to Article XVIII, Section 26 of the Constitution.” In the course of the hearing of the Motion, the validity of the Sequestration Order issued by PCGG’s representative, Atty. Jose Tan Ramirez, was directly questioned.</w:t>
      </w:r>
    </w:p>
    <w:p w:rsidR="00000000" w:rsidDel="00000000" w:rsidP="00000000" w:rsidRDefault="00000000" w:rsidRPr="00000000" w14:paraId="000003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Alerted by such challenge, the PCGG passed a Resolution “to confirm, ratify and adopt as its own all the Writs of Sequestration issued in the name and under the authority of the Commission and signed by its duly authorized representatives in Region VIII, Messrs. Jose Ramirez and Ben Abella,” including the Sequestration Order over Dio Island Resort, in order “remove any doubt as to the validity” of the Writs.</w:t>
      </w:r>
    </w:p>
    <w:p w:rsidR="00000000" w:rsidDel="00000000" w:rsidP="00000000" w:rsidRDefault="00000000" w:rsidRPr="00000000" w14:paraId="000003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Sandiganbayan granted Dio Island’s Manifestation and Motion. The former held that the PCGG had not legally sequestered said corporation's assets, having been seized pursuant to an Order issued only by a “duly authorized representative” of the PCGG.</w:t>
      </w:r>
    </w:p>
    <w:p w:rsidR="00000000" w:rsidDel="00000000" w:rsidP="00000000" w:rsidRDefault="00000000" w:rsidRPr="00000000" w14:paraId="0000037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Issues</w:t>
      </w:r>
    </w:p>
    <w:p w:rsidR="00000000" w:rsidDel="00000000" w:rsidP="00000000" w:rsidRDefault="00000000" w:rsidRPr="00000000" w14:paraId="000003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Were Dio Island Resort and its assets validly sequestered?;</w:t>
      </w:r>
    </w:p>
    <w:p w:rsidR="00000000" w:rsidDel="00000000" w:rsidP="00000000" w:rsidRDefault="00000000" w:rsidRPr="00000000" w14:paraId="000003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Did the Sandiganbayan have jurisdiction over a Motion questioning the validity of a Sequestration Order issued by a duly authorized representative of the PCGG?</w:t>
      </w:r>
    </w:p>
    <w:p w:rsidR="00000000" w:rsidDel="00000000" w:rsidP="00000000" w:rsidRDefault="00000000" w:rsidRPr="00000000" w14:paraId="00000375">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76">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Ruling</w:t>
      </w:r>
    </w:p>
    <w:p w:rsidR="00000000" w:rsidDel="00000000" w:rsidP="00000000" w:rsidRDefault="00000000" w:rsidRPr="00000000" w14:paraId="000003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assets of Dio Island Resort were not properly sequestered. The Sequestration Order was not issued in accordance with the Rules and Regulations of the PCGG, Section 3 of which clearly outlined the requirements for the issuance of a sequestration order. This provision left no room for interpretation. Under no circumstances could a sequestration or freeze order be validly issued by one who was not a commissioner of the PCGG.</w:t>
      </w:r>
    </w:p>
    <w:p w:rsidR="00000000" w:rsidDel="00000000" w:rsidP="00000000" w:rsidRDefault="00000000" w:rsidRPr="00000000" w14:paraId="000003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invalidity of the Sequestration Order was made more apparent by the fact that Atty. Ramirez did not even have any specific authority to act on behalf of the Commission at the time he issued it.</w:t>
      </w:r>
    </w:p>
    <w:p w:rsidR="00000000" w:rsidDel="00000000" w:rsidP="00000000" w:rsidRDefault="00000000" w:rsidRPr="00000000" w14:paraId="000003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_ 2. Under Section 2 of Executive Order No. 14, lodged within the exclusive and original jurisdiction of the Sandiganbayan were all the PCGG cases, civil or criminal, involving alleged ill-gotten properties of former President Marcos and his relatives, subordinates, cronies, nominees, and so forth. “Moreover, all incidents arising from, incidental to, or related to such cases necessarily fall likewise under the Sandiganbayan’s exclusive and original jurisdiction, subject to review on certiorari exclusively by the Supreme Court.”</w:t>
      </w:r>
    </w:p>
    <w:p w:rsidR="00000000" w:rsidDel="00000000" w:rsidP="00000000" w:rsidRDefault="00000000" w:rsidRPr="00000000" w14:paraId="000003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Any remaining doubts with respect to the jurisdiction of the Sandiganbayan ought to have been removed by the pronouncement in PCGG v. Pena that “Ta}ny act or order transgressing the parameter of the objectives for which the PCGG was created, if tainted with abuse of discretion, is subject to a remedial action by the Sandiganbayan, the court vested with exclusive and original jurisdiction over cases involving the PCGG."</w:t>
      </w:r>
    </w:p>
    <w:p w:rsidR="00000000" w:rsidDel="00000000" w:rsidP="00000000" w:rsidRDefault="00000000" w:rsidRPr="00000000" w14:paraId="000003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Obviously, respondent corporation’s Motion properly belonged to the class of cases challenging PCGG’s acts.</w:t>
      </w:r>
    </w:p>
    <w:p w:rsidR="00000000" w:rsidDel="00000000" w:rsidP="00000000" w:rsidRDefault="00000000" w:rsidRPr="00000000" w14:paraId="0000037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7D">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 Republic of the Philippines v. Sandiganbayan and Provident International Resources Corporation</w:t>
      </w:r>
      <w:r w:rsidDel="00000000" w:rsidR="00000000" w:rsidRPr="00000000">
        <w:rPr>
          <w:rtl w:val="0"/>
        </w:rPr>
      </w:r>
    </w:p>
    <w:p w:rsidR="00000000" w:rsidDel="00000000" w:rsidP="00000000" w:rsidRDefault="00000000" w:rsidRPr="00000000" w14:paraId="0000037E">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7F">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19, 1986, the Presidential Commission on Good Government (PCGG) issued a Writ of Sequestration against all movable and immovable assets of Provident International Resources Corporation and Philippine Casino Operators Corporation (“respondent corporations”). The Writ was signed by one PCGG commissioner only, instead of two as required under Section 3 of the PCGG Rules and Regulations.</w:t>
      </w:r>
    </w:p>
    <w:p w:rsidR="00000000" w:rsidDel="00000000" w:rsidP="00000000" w:rsidRDefault="00000000" w:rsidRPr="00000000" w14:paraId="000003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29, 1987, petitioner, through the solicitor general, filed before the Sandiganbayan a Complaint against Edward T. Marcelo, Fabian C. Ver, Ferdinand E. Marcos and Imelda R. Marcos. Docketed as Civil Case No. 0021, the Complaint was for reconveyance, reversion, accounting and restitution of alleged ill-gotten wealth; as well as for damages. Respondent corporations were alleged.in the Complaint as among those being held and/or controlled by Marcelo and acquired illegally by defendants. Later, on October 30, 1991, the Complaint was amended to include both corporations as parties-defendants.</w:t>
      </w:r>
    </w:p>
    <w:p w:rsidR="00000000" w:rsidDel="00000000" w:rsidP="00000000" w:rsidRDefault="00000000" w:rsidRPr="00000000" w14:paraId="0000038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3">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Issues</w:t>
      </w:r>
    </w:p>
    <w:p w:rsidR="00000000" w:rsidDel="00000000" w:rsidP="00000000" w:rsidRDefault="00000000" w:rsidRPr="00000000" w14:paraId="000003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Was a proper judicial action filed against respondent corporations in compliance with and within the period contemplated in Section 26, Article XVIII of the Constitution?</w:t>
      </w:r>
    </w:p>
    <w:p w:rsidR="00000000" w:rsidDel="00000000" w:rsidP="00000000" w:rsidRDefault="00000000" w:rsidRPr="00000000" w14:paraId="000003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Was the Sequestration Order against respondent corporations, issued on March 19, 1986, valid and effective despite having been signed by only one commissioner, instead of two as required by the PCGG Rules and Regulations?</w:t>
      </w:r>
    </w:p>
    <w:p w:rsidR="00000000" w:rsidDel="00000000" w:rsidP="00000000" w:rsidRDefault="00000000" w:rsidRPr="00000000" w14:paraId="0000038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7">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Yes, a proper judicial action was filed. As ruled in Republic v. Lobregat,’ it was unnecessary to implead the corporations in the Complaints, which sought to recover defendants’ shares of stock, and which in turn had allegedly been purchased with misappropriated public funds in breach of fiduciary duty or otherwise under illicit or anomalous conditions. The impleading of the corporations was not proper on the strength alone of their having been formed from ill-gotten wealth, absent any other particular wrongdoing on their part. If warranted by the evidence, the defendants may be handed judgments, which would divest them of ownership of their stocks, the acquisition of which was illegal and consequently burdened with a constructive trust. Such judgments would also impose on them the obligation of surrendering those stocks to the government.</w:t>
      </w:r>
    </w:p>
    <w:p w:rsidR="00000000" w:rsidDel="00000000" w:rsidP="00000000" w:rsidRDefault="00000000" w:rsidRPr="00000000" w14:paraId="000003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respondent corporations were among the properties listed in the original Complaint (Civil Case No. 0021) as having been illegally accumulated by the defendants. They were subsequently impleaded as parties-defendants in the</w:t>
      </w:r>
      <w:r w:rsidDel="00000000" w:rsidR="00000000" w:rsidRPr="00000000">
        <w:rPr>
          <w:rFonts w:ascii="Georgia" w:cs="Georgia" w:eastAsia="Georgia" w:hAnsi="Georgia"/>
          <w:sz w:val="22"/>
          <w:szCs w:val="22"/>
          <w:vertAlign w:val="superscript"/>
        </w:rPr>
        <w:footnoteReference w:customMarkFollows="0" w:id="61"/>
      </w:r>
      <w:r w:rsidDel="00000000" w:rsidR="00000000" w:rsidRPr="00000000">
        <w:rPr>
          <w:rFonts w:ascii="Georgia" w:cs="Georgia" w:eastAsia="Georgia" w:hAnsi="Georgia"/>
          <w:sz w:val="22"/>
          <w:szCs w:val="22"/>
          <w:rtl w:val="0"/>
        </w:rPr>
        <w:t xml:space="preserve"> same case, by way of an amended Complaint duly granted by public respondent. Hence, there was faithful compliance with Section 26, Article XVIII of the Constitution.</w:t>
      </w:r>
    </w:p>
    <w:p w:rsidR="00000000" w:rsidDel="00000000" w:rsidP="00000000" w:rsidRDefault="00000000" w:rsidRPr="00000000" w14:paraId="000003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Yes, the Sequestration Order was valid and effective. It was issued on March 19, 1986, prior to the promulgation of the PCGG Rules and Regulations. As a consequence, the PCGG could not be expected to abide by the Rules, which were nonexistent at the time the subject Writ was issued. Basic is the rule that no statute, decree, ordinance, rule or regulation shall be given retroactive effect, unless explicitly decreed. There is no provision in the said Rules that expressly gives them retroactive effect or implies the abrogation of previous Writs not issued in accordance therewith</w:t>
      </w:r>
    </w:p>
    <w:p w:rsidR="00000000" w:rsidDel="00000000" w:rsidP="00000000" w:rsidRDefault="00000000" w:rsidRPr="00000000" w14:paraId="000003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8C">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 Republic v. Sandiganbayan and Imelda Cojuangco</w:t>
      </w:r>
      <w:r w:rsidDel="00000000" w:rsidR="00000000" w:rsidRPr="00000000">
        <w:rPr>
          <w:rtl w:val="0"/>
        </w:rPr>
      </w:r>
    </w:p>
    <w:p w:rsidR="00000000" w:rsidDel="00000000" w:rsidP="00000000" w:rsidRDefault="00000000" w:rsidRPr="00000000" w14:paraId="0000038D">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8E">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9, 1986, the Presidential Commission on Good Government (PCGG) promulgated Orders (or Writs) of Sequestration against all properties, assets, records and documents of Prime Holdings, Inc. (PHI); and shares of stock of the Philippine Telecommunications Investment Corporation (PTIC) that had been issued in the name of PHI. Both Orders were signed solely by the late PCGG Commissioner Mary Concepcion Bautista.</w:t>
      </w:r>
    </w:p>
    <w:p w:rsidR="00000000" w:rsidDel="00000000" w:rsidP="00000000" w:rsidRDefault="00000000" w:rsidRPr="00000000" w14:paraId="000003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July 16, 1987, petitioner, through the solicitor general, filed before the Sandiganbayan a Complaint: for reconveyance, reversion, accounting, restitution and damages against Spouses Ferdinand and Imelda Marcos, Spouses Imelda (Imee) and Tomas Manotoc, Spouses Irene and Gregorio Ma. Araneta III, Ferdinand R. Marcos Jr., Constante Rubio, Nemesio G. Co, Yeung Chun Kam, Yeung Chun Ho and Yeung Chun Fan. The Complaint mentioned shares of stock in PTIC and PLDT as among the allegedly ill-gotten properties. On April 23, 1990, herein Private Respondents Imelda Cojuangco, the Estate of Ramon Cojuangco and PHI were made additional parties-defendants.</w:t>
      </w:r>
    </w:p>
    <w:p w:rsidR="00000000" w:rsidDel="00000000" w:rsidP="00000000" w:rsidRDefault="00000000" w:rsidRPr="00000000" w14:paraId="000003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Issues</w:t>
      </w:r>
    </w:p>
    <w:p w:rsidR="00000000" w:rsidDel="00000000" w:rsidP="00000000" w:rsidRDefault="00000000" w:rsidRPr="00000000" w14:paraId="000003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Were the sequestration Orders validly issued?</w:t>
      </w:r>
    </w:p>
    <w:p w:rsidR="00000000" w:rsidDel="00000000" w:rsidP="00000000" w:rsidRDefault="00000000" w:rsidRPr="00000000" w14:paraId="000003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Was a proper judicial action filed against private respondent corporations, as contemplated under Section 26, Article XVIII of the Constitution?</w:t>
      </w:r>
    </w:p>
    <w:p w:rsidR="00000000" w:rsidDel="00000000" w:rsidP="00000000" w:rsidRDefault="00000000" w:rsidRPr="00000000" w14:paraId="0000039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6">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No, the sequestration Orders were not valid, because they had been signed by only one commissioner instead of two, as required by the PCGG Rules. The authority given by two commissioners for the issuance of a sequestration, freeze or hold order should have been evident in the Order itself. Simply stated, the PCGG Rules required that the Writ must bear the signatures of two commissioners, because their signatures were the best evidence by which the corporation or entity, against which the Writ was directed, would be able to visually determine the two commissioners’ approval and the document's validity. The Writs which bore only one signature were obviously transgressions of the PCGG Rules. Note that the former were issued after the latter took effect on April 11, 1986.</w:t>
      </w:r>
    </w:p>
    <w:p w:rsidR="00000000" w:rsidDel="00000000" w:rsidP="00000000" w:rsidRDefault="00000000" w:rsidRPr="00000000" w14:paraId="000003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No, a proper judicial action was not filed in accordance with the pertinent constitutional provision.</w:t>
      </w:r>
    </w:p>
    <w:p w:rsidR="00000000" w:rsidDel="00000000" w:rsidP="00000000" w:rsidRDefault="00000000" w:rsidRPr="00000000" w14:paraId="000003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original Complaint for the recovery of ill-gotten wealth, which was filed on July 16, 1987, did not implead any of private respondents as parties. Neither were they included in the annexed list of alleged ill-gotten wealth. It was only on April 23, 1990, via an amended Complaint, that Imelda Cojuangco, the estate of Ramon Cojuangco, and Prime Holdings, Inc., were made parties-defendants. By then, three years — well beyond the six months prescribed by the Constitution — had passed since the issuance of the sequestration Orders against PHI and the PTIC shares it owned,</w:t>
      </w:r>
    </w:p>
    <w:p w:rsidR="00000000" w:rsidDel="00000000" w:rsidP="00000000" w:rsidRDefault="00000000" w:rsidRPr="00000000" w14:paraId="000003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even if PTIC was listed in the Annex to the Complaint, it must be understood that the case referred only to the extent of the shares in PTIC illegally acquired by the original defendants. Considered as another matter was whether PHI itself — an entirely different corporate entity, though a major investor in PTIC — had shareholdings unlawfully or anomalously acquired; that is, whether it had been organized with ill-gotten wealth. Notably, the individual respondents were the registered owners of PHI and, as earlier stated, they had not been included as original defendants in Civil Case No. 0002.</w:t>
      </w:r>
    </w:p>
    <w:p w:rsidR="00000000" w:rsidDel="00000000" w:rsidP="00000000" w:rsidRDefault="00000000" w:rsidRPr="00000000" w14:paraId="000003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April 23, 1990 amended Complaint — filed for the specific purpose of impleading PHI, Imelda Cojuangco and the estate of Ramon Cojuangco as defendants — could not be deemed to have dated back to the filing of the original Complaint and to have thereby implied compliance with the constitutional | provision. It had been held that “an amendment which merely supplements and amplifies facts originally alleged in the complaint relates back to the date of the commencement of the action and is not barred by the statute of limitations which expired after the service of the original complaint.” Such rule did not, however, apply to a party who had been impleaded for the first time in an amended Complaint filed beyond the prescriptive period. In the latter case, the statute of limitations ran until the submission of the amendment.</w:t>
      </w:r>
    </w:p>
    <w:p w:rsidR="00000000" w:rsidDel="00000000" w:rsidP="00000000" w:rsidRDefault="00000000" w:rsidRPr="00000000" w14:paraId="0000039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9D">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 Chavez v. Presidential Commission on Good Governinent</w:t>
      </w:r>
      <w:r w:rsidDel="00000000" w:rsidR="00000000" w:rsidRPr="00000000">
        <w:rPr>
          <w:rtl w:val="0"/>
        </w:rPr>
      </w:r>
    </w:p>
    <w:p w:rsidR="00000000" w:rsidDel="00000000" w:rsidP="00000000" w:rsidRDefault="00000000" w:rsidRPr="00000000" w14:paraId="0000039E">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9F">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December 1993, the Marcos heirs and the PCGG, through then Chairman Magtanggol Gunigundo, executed two Agreements “settl[ing] all claims and counterclaims which the parties may have against one another x x x.” They also agreed to split $356 million in Swiss deposits on a 75-25 percent sharing (75 percent for the government and 25 percent for the Marcoses). The Marcos heirs subsequently submitted the two Agreements to the Sandiganbayan (in Civil Case No. 141) for its approval.</w:t>
      </w:r>
    </w:p>
    <w:p w:rsidR="00000000" w:rsidDel="00000000" w:rsidP="00000000" w:rsidRDefault="00000000" w:rsidRPr="00000000" w14:paraId="000003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Francisco I. Chavez, as “taxpayer, citizen and former government official who initiated the prosecution of the Marcoses and their cronies x x x,” invoked his constitutional right to information and the correlative duty of the State to disclose to the public all its transactions involving the national interest. Accordingly, he demanded that respondents make public all negotiations and agreements pertaining to the recovery of the Marcoses’ alleged ill-gotten wealth. He also sought to prohibit the PCGG from privately entering into a compromise involving said wealth.</w:t>
      </w:r>
    </w:p>
    <w:p w:rsidR="00000000" w:rsidDel="00000000" w:rsidP="00000000" w:rsidRDefault="00000000" w:rsidRPr="00000000" w14:paraId="000003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course of the proceedings, the heirs of Edgar Jopson, who was “salvaged” during the martial law years, intervened and joined petitioner in praying for the same reliefs.</w:t>
      </w:r>
    </w:p>
    <w:p w:rsidR="00000000" w:rsidDel="00000000" w:rsidP="00000000" w:rsidRDefault="00000000" w:rsidRPr="00000000" w14:paraId="000003A3">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A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Issues </w:t>
      </w:r>
    </w:p>
    <w:p w:rsidR="00000000" w:rsidDel="00000000" w:rsidP="00000000" w:rsidRDefault="00000000" w:rsidRPr="00000000" w14:paraId="000003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procedural issues were as follows:</w:t>
      </w:r>
    </w:p>
    <w:p w:rsidR="00000000" w:rsidDel="00000000" w:rsidP="00000000" w:rsidRDefault="00000000" w:rsidRPr="00000000" w14:paraId="000003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Did the petitioner have the personality or legal standing to file the Petition? —</w:t>
      </w:r>
    </w:p>
    <w:p w:rsidR="00000000" w:rsidDel="00000000" w:rsidP="00000000" w:rsidRDefault="00000000" w:rsidRPr="00000000" w14:paraId="000003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Was this Court the proper venue for this original action?</w:t>
      </w:r>
    </w:p>
    <w:p w:rsidR="00000000" w:rsidDel="00000000" w:rsidP="00000000" w:rsidRDefault="00000000" w:rsidRPr="00000000" w14:paraId="000003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were the substantive issues:</w:t>
      </w:r>
    </w:p>
    <w:p w:rsidR="00000000" w:rsidDel="00000000" w:rsidP="00000000" w:rsidRDefault="00000000" w:rsidRPr="00000000" w14:paraId="000003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Could the Supreme Court require the PCGG to disclose to the public the details of any agreement with the Marcoses, whether it was perfected or not?</w:t>
      </w:r>
    </w:p>
    <w:p w:rsidR="00000000" w:rsidDel="00000000" w:rsidP="00000000" w:rsidRDefault="00000000" w:rsidRPr="00000000" w14:paraId="000003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Were the 75-25 Compromise Agreement and the Supplemental Agreement between the Marcos heirs and the PCGG valid?</w:t>
      </w:r>
    </w:p>
    <w:p w:rsidR="00000000" w:rsidDel="00000000" w:rsidP="00000000" w:rsidRDefault="00000000" w:rsidRPr="00000000" w14:paraId="000003A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AC">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Yes, the fact that the petitioner was a citizen satisfied the requirement of personal interest in the assertion of a public right, such as the right of access to public documents and records. Moreover, the intervention of the Jopsons rendered the issue of petitioner’s standing moot and academic.</w:t>
      </w:r>
    </w:p>
    <w:p w:rsidR="00000000" w:rsidDel="00000000" w:rsidP="00000000" w:rsidRDefault="00000000" w:rsidRPr="00000000" w14:paraId="000003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Yes, this Court was the proper venue for this action. If petitioner were merely seeking to enjoin the enforcement of the compromise and/or to compel the PCGG to disclose to the public the terms contained in the Agreements, the Sandiganbayan would have been the proper venue, particularly in Civil Case No. 0141 in which the enforcement of the subject Agreements was pending resolution. However, the Petition involved not only the Agreements that had already been drawn, but likewise any other ongoing or future undertaking towards any settlement on the alleged Marcos loot. Ineluctably, the core issue boiled down to the precise interpretation of the scope of the twin constitutional provisions on “public transactions.” This broad and prospective relief sought by the Petition brought it out of the realm of Civil Case No. 0141.</w:t>
      </w:r>
    </w:p>
    <w:p w:rsidR="00000000" w:rsidDel="00000000" w:rsidP="00000000" w:rsidRDefault="00000000" w:rsidRPr="00000000" w14:paraId="000003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State has the duty to disclose publicly all “matters of public concern.” In general, documents coming into the hands of public officers in connection with their official functions must be accessible to the public, consistent with the policy of transparency. This principle is aimed at affording the people an opportunity to determine whether those to whom they have entrusted the affairs of the government are honestly, faithfully and competently performing their functions as public servants.</w:t>
      </w:r>
    </w:p>
    <w:p w:rsidR="00000000" w:rsidDel="00000000" w:rsidP="00000000" w:rsidRDefault="00000000" w:rsidRPr="00000000" w14:paraId="000003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February 1986, the new government headed by President Corazon C. Aquino was specifically mandated to “[r]ecover ill-gotten properties amassed by the leaders and supporters of the previous regime and [to] protect the interest of the people through orders of sequestration or freezing of assets or accounts.” Thus, President Aquino’s very first executive orders (which partook of the nature of legislative enactments) dealt with the recovery of these alleged ill-gotten properties. Such therefore were matters imbued with public interest.</w:t>
      </w:r>
    </w:p>
    <w:p w:rsidR="00000000" w:rsidDel="00000000" w:rsidP="00000000" w:rsidRDefault="00000000" w:rsidRPr="00000000" w14:paraId="000003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was the intent of the framers of the Constitution to include negotiating terms in government transactions within the constitutional provision on the public’s right to information on matters of public concern, subject only to reasonable safeguards for the national interest. It was then incumbent upon the PCGG and its officers, as well as other government representatives, to disclose sufficient public information on any proposed settlement with the ostensible owners and holders of ill-gotten wealth.</w:t>
      </w:r>
    </w:p>
    <w:p w:rsidR="00000000" w:rsidDel="00000000" w:rsidP="00000000" w:rsidRDefault="00000000" w:rsidRPr="00000000" w14:paraId="000003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General and Supplemental Agreements between the PCGG and the Marcos heirs contained serious legal flaws and are void. First, criminal immunity under Section 5 of EO No. 14, as amended, could not be granted to the Marcoses, who were the principal defendants in the spate of ill-gotten wealth cases pending before the Sandiganbayan. The immunity was applicable mainly to witnesses who would provide information or testify against the respondent, defendant or accused in an ill-gotten wealth case. There was no indication whatsoever that any of the Marcos heirs had indeed provided vital information against any such person as to the manner in which the latter might have unlawfully acquired public property.</w:t>
      </w:r>
    </w:p>
    <w:p w:rsidR="00000000" w:rsidDel="00000000" w:rsidP="00000000" w:rsidRDefault="00000000" w:rsidRPr="00000000" w14:paraId="000003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under Item No. 2 of the General Agreement, the PCGG was committed to exempt from all forms of taxes the properties to be retained by the Marcos heirs. This was a clear violation of the Constitution. The power to tax and to grant tax exemptions was vested in Congress, not in the PCGG. Section 28 (4), Article VI of the Constitution, specifically provides: “No law granting any tax exemption shall be passed without the concurrence of a majority of all the Members of the Congress.” The PCGG had no power to grant tax exemptions.</w:t>
      </w:r>
    </w:p>
    <w:p w:rsidR="00000000" w:rsidDel="00000000" w:rsidP="00000000" w:rsidRDefault="00000000" w:rsidRPr="00000000" w14:paraId="000003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granting that Congress had enacted a law exempting the Marcoses from paying taxes on their properties, such law would definitely not have passed the test of the equal protection clause under the Bill of Rights. Any special grant of tax exemption in favor only of the Marcos heirs would have constituted class legislation. It would have also violated the constitutional rule that “taxation shall be uniform and equitable.”</w:t>
      </w:r>
    </w:p>
    <w:p w:rsidR="00000000" w:rsidDel="00000000" w:rsidP="00000000" w:rsidRDefault="00000000" w:rsidRPr="00000000" w14:paraId="000003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Neither could the stipulation be construed to fall within the internal revenue commissioner’s authority to compromise taxes. Such authority may be exercised only when (a) there is reasonable doubt as to the validity of a claim against a taxpayer, and (b) the taxpayer’s financial position demonstrates a clear inability to pay.’ Definitely, neither requisite was present in the case of the Marcoses, because under the Agreement, they were effectively conceding the validity of the claims against their properties, part of which they would be allowed to retain. Neither could the PCGG’s grant of tax exemption fall within the commissioner’s power to abate or cancel a tax liability. This power can be exercised only when (a) a tax appears to be unjustly or excessively assessed, or (b) administration and collection costs do not justify the collection of the tax due.’ In this instance, the cancellation of tax liability was done even before the determination of the amount due. In any event, criminal violations of the Tax Code, for which legal</w:t>
      </w:r>
      <w:r w:rsidDel="00000000" w:rsidR="00000000" w:rsidRPr="00000000">
        <w:rPr>
          <w:rFonts w:ascii="Georgia" w:cs="Georgia" w:eastAsia="Georgia" w:hAnsi="Georgia"/>
          <w:sz w:val="22"/>
          <w:szCs w:val="22"/>
          <w:vertAlign w:val="superscript"/>
        </w:rPr>
        <w:footnoteReference w:customMarkFollows="0" w:id="62"/>
      </w:r>
      <w:r w:rsidDel="00000000" w:rsidR="00000000" w:rsidRPr="00000000">
        <w:rPr>
          <w:rFonts w:ascii="Georgia" w:cs="Georgia" w:eastAsia="Georgia" w:hAnsi="Georgia"/>
          <w:sz w:val="22"/>
          <w:szCs w:val="22"/>
          <w:rtl w:val="0"/>
        </w:rPr>
        <w:t xml:space="preserve"> actions had been filed in court or in which fraud was involved, could not be compromised.’</w:t>
      </w:r>
    </w:p>
    <w:p w:rsidR="00000000" w:rsidDel="00000000" w:rsidP="00000000" w:rsidRDefault="00000000" w:rsidRPr="00000000" w14:paraId="000003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government bound itself to cause the dismissal of all cases against the Marcos heirs, cases which were pending before the Sandiganbayan and other courts. This stipulation was a direct encroachment on judicial powers, particularly in regard to criminal jurisdiction. Well-settled is the doctrine that once a case has been filed before a court of competent jurisdiction, the matter of its dismissal or pursuance lies within the full discretion and control of the judge. Jurisdiction, once acquired by the trial court, is not lost despite a resolution, even by the justice secretary, to withdraw the information or to dismiss the complaint. Thus, the PCGG, as the government prosecutor of ill-gotten wealth cases, could not guarantee the dismissal of all criminal cases against the Marcoses pending in the courts, for such dismissal was not within its sole power and discretion.</w:t>
      </w:r>
    </w:p>
    <w:p w:rsidR="00000000" w:rsidDel="00000000" w:rsidP="00000000" w:rsidRDefault="00000000" w:rsidRPr="00000000" w14:paraId="000003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government also waived all claims and counterclaims against the Marcoses, “whether past, present, or future, matured or inchoate.” Again, this all-encompassing stipulation was contrary to law. Under the Civil Code, an action for future fraud may not be waived. The Agreement did not specify the exact scope of future claims against the Marcoses that the government would thereby relinquish. Such vague and broad statement could well be interpreted to include all future illegal acts of any of the Marcos heirs, practically giving them a license to perpetrate fraud against the government without any liability at all.</w:t>
      </w:r>
      <w:r w:rsidDel="00000000" w:rsidR="00000000" w:rsidRPr="00000000">
        <w:rPr>
          <w:rFonts w:ascii="Georgia" w:cs="Georgia" w:eastAsia="Georgia" w:hAnsi="Georgia"/>
          <w:sz w:val="22"/>
          <w:szCs w:val="22"/>
          <w:vertAlign w:val="superscript"/>
        </w:rPr>
        <w:footnoteReference w:customMarkFollows="0" w:id="63"/>
      </w:r>
      <w:r w:rsidDel="00000000" w:rsidR="00000000" w:rsidRPr="00000000">
        <w:rPr>
          <w:rtl w:val="0"/>
        </w:rPr>
      </w:r>
    </w:p>
    <w:p w:rsidR="00000000" w:rsidDel="00000000" w:rsidP="00000000" w:rsidRDefault="00000000" w:rsidRPr="00000000" w14:paraId="000003B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stipulation was a palpable violation of the due process and equal protection guarantees of the Constitution, effectively ensconcing the Marcoses beyond the reach of the law. A dangerous precedent for public accountability, it virtually licensed public officials to amass public funds illegally, since they were given an open option to compromise their liability in exchange for only a portion of their alleged ill-gotten wealth.</w:t>
      </w:r>
    </w:p>
    <w:p w:rsidR="00000000" w:rsidDel="00000000" w:rsidP="00000000" w:rsidRDefault="00000000" w:rsidRPr="00000000" w14:paraId="000003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the Agreements did not provide for a definite or determinable period within which the parties should fulfill their respective prestations. It could have taken a lifetime for the Marcoses to submit an inventory of their total assets.</w:t>
      </w:r>
    </w:p>
    <w:p w:rsidR="00000000" w:rsidDel="00000000" w:rsidP="00000000" w:rsidRDefault="00000000" w:rsidRPr="00000000" w14:paraId="000003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Agreements did not state with specificity the standards for determining which assets should be forfeited by the government and which should be retained by the Marcoses. While the Supplemental Agreement provided that the Marcoses should be entitled to 25 per cent of the $356 million Swiss deposits, such sharing arrangement pertained only to those deposits. No similar splitting scheme was defined with respect to the other properties. Neither was there any basis for the 75-25 percent sharing ratio. Public officers invite their indictment for corruption under the Anti-Graft and Corrupt Practices Act, when they enter into an arrangement that appears to be manifestly and grossly disadvantageous to the government, in violation of the said law.</w:t>
      </w:r>
    </w:p>
    <w:p w:rsidR="00000000" w:rsidDel="00000000" w:rsidP="00000000" w:rsidRDefault="00000000" w:rsidRPr="00000000" w14:paraId="000003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the absence of then President Ramos’ approval of the principal Agreement, an express condition therein, rendered the compromise incomplete and unenforceable. Nevertheless, as detailed above, even if such approval were obtained, the Agreements would still not have been valid.</w:t>
      </w:r>
    </w:p>
    <w:p w:rsidR="00000000" w:rsidDel="00000000" w:rsidP="00000000" w:rsidRDefault="00000000" w:rsidRPr="00000000" w14:paraId="000003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Chapter 10</w:t>
      </w:r>
    </w:p>
    <w:p w:rsidR="00000000" w:rsidDel="00000000" w:rsidP="00000000" w:rsidRDefault="00000000" w:rsidRPr="00000000" w14:paraId="000003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Tañada v. Angara: </w:t>
      </w:r>
    </w:p>
    <w:p w:rsidR="00000000" w:rsidDel="00000000" w:rsidP="00000000" w:rsidRDefault="00000000" w:rsidRPr="00000000" w14:paraId="000003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Advent of Globalization in </w:t>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Philippines</w:t>
      </w:r>
    </w:p>
    <w:p w:rsidR="00000000" w:rsidDel="00000000" w:rsidP="00000000" w:rsidRDefault="00000000" w:rsidRPr="00000000" w14:paraId="000003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last one hundred years were dominated by a monstrous global struggle between the forces of colonialism and totalitarianism on the one hand and the spirit of independence and freedom on the other. Before the 20th century ended, however, the world witnessed (a) the collapse of the most banal forms of totalitarianism — Fascism, Nazism and Stalinism; and (b) the final gasps of orthodox colonialism, which ushered in the independence of many Asian, European and African countries, as well as the return of colonized areas, like Hongkong and Macau, to their mother states.</w:t>
      </w:r>
    </w:p>
    <w:p w:rsidR="00000000" w:rsidDel="00000000" w:rsidP="00000000" w:rsidRDefault="00000000" w:rsidRPr="00000000" w14:paraId="000003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place of these discredited “issues” have arisen the political, humanitarian and economic ramifications of freedom -- popular democracy, human rights, civil society and the free market. The use of military and political power to control geographies and peoples has become obsolete and unpalatable. The once mighty armed arsenals of the Axis powers and even of the Stalinist forces have been substantially dismantled and sidelined. The Cold War and the balance of nuclear terror have ended. There is only one superpower now: the United States of America. Indeed, Pax Americana has prevailed and the world is at peace.</w:t>
      </w:r>
    </w:p>
    <w:p w:rsidR="00000000" w:rsidDel="00000000" w:rsidP="00000000" w:rsidRDefault="00000000" w:rsidRPr="00000000" w14:paraId="000003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dawn of the 21st century, the arena for world preeminence has shifted from brute force to a more subtle economic and intellectual dominance. In this new struggle, attention has shifted from government control to deregulation, from government</w:t>
      </w:r>
    </w:p>
    <w:p w:rsidR="00000000" w:rsidDel="00000000" w:rsidP="00000000" w:rsidRDefault="00000000" w:rsidRPr="00000000" w14:paraId="000003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ownership to privatization, and from national sovereignty to globalization and liberalization.</w:t>
      </w:r>
    </w:p>
    <w:p w:rsidR="00000000" w:rsidDel="00000000" w:rsidP="00000000" w:rsidRDefault="00000000" w:rsidRPr="00000000" w14:paraId="000003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buzz words of the new economy ~~ globalization, liberalization, deregulation and privatization are institutionalized in the World Trade Organization (WTO), which was conceived to administer free trade. The Philippines joined it, according to former President Fidel V. Ramos, to improve “Philippine access to foreign markets X through the reduction of tariffs on its exports, particularly agricultural and industrial products.”</w:t>
      </w:r>
    </w:p>
    <w:p w:rsidR="00000000" w:rsidDel="00000000" w:rsidP="00000000" w:rsidRDefault="00000000" w:rsidRPr="00000000" w14:paraId="000003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WTO membership initiated by the Ramos — government was concurred in by the Senate on December 14, 1994, with the passage of Senate Resolution No. 97. Two days later, on December 10, 1994, the President signed the “Instrument of Ratification.”</w:t>
      </w:r>
    </w:p>
    <w:p w:rsidR="00000000" w:rsidDel="00000000" w:rsidP="00000000" w:rsidRDefault="00000000" w:rsidRPr="00000000" w14:paraId="000003C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C9">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Main Issues</w:t>
      </w:r>
    </w:p>
    <w:p w:rsidR="00000000" w:rsidDel="00000000" w:rsidP="00000000" w:rsidRDefault="00000000" w:rsidRPr="00000000" w14:paraId="000003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ink on the ratification documents had barely dried when on December 29, 1994, Sen. Wigberto Tañada, Sen. Anna Dominique Coseteng, Rep. Gregorio Andolana, Rep. Joker Arroyo and several others filed a Petition with the Supreme Court, challenging the constitutionality of the Philippine adherence to the WTO Agreement. Thus was born Tañada v. Angara, in which the main issues were:</w:t>
      </w:r>
    </w:p>
    <w:p w:rsidR="00000000" w:rsidDel="00000000" w:rsidP="00000000" w:rsidRDefault="00000000" w:rsidRPr="00000000" w14:paraId="000003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Did the Supreme Court have jurisdiction to pass upon the constitutionality of the Senate’s concurrence?</w:t>
      </w:r>
    </w:p>
    <w:p w:rsidR="00000000" w:rsidDel="00000000" w:rsidP="00000000" w:rsidRDefault="00000000" w:rsidRPr="00000000" w14:paraId="000003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Did the WTO Agreement violate the “letter, spirit and intent” of the Constitution mandating “economic nationalism”?</w:t>
      </w:r>
    </w:p>
    <w:p w:rsidR="00000000" w:rsidDel="00000000" w:rsidP="00000000" w:rsidRDefault="00000000" w:rsidRPr="00000000" w14:paraId="000003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Did the WTO Agreement impair the exercise of legislative power by Congress?</w:t>
      </w:r>
    </w:p>
    <w:p w:rsidR="00000000" w:rsidDel="00000000" w:rsidP="00000000" w:rsidRDefault="00000000" w:rsidRPr="00000000" w14:paraId="000003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Did the WTO Agreement interfere with the Supreme Court’s exercise of judicial power to promulgate rules on evidence?</w:t>
      </w:r>
    </w:p>
    <w:p w:rsidR="00000000" w:rsidDel="00000000" w:rsidP="00000000" w:rsidRDefault="00000000" w:rsidRPr="00000000" w14:paraId="000003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Was it sufficient for the Senate to concur in the WTO Agreement only, without concurring as well in the other documents referred to in the Final Act?</w:t>
      </w:r>
    </w:p>
    <w:p w:rsidR="00000000" w:rsidDel="00000000" w:rsidP="00000000" w:rsidRDefault="00000000" w:rsidRPr="00000000" w14:paraId="000003D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D1">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Decision, which I penned and was concurred in by the fourteen other justices, answered the foregoing questions in this wise:</w:t>
      </w:r>
    </w:p>
    <w:p w:rsidR="00000000" w:rsidDel="00000000" w:rsidP="00000000" w:rsidRDefault="00000000" w:rsidRPr="00000000" w14:paraId="000003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Yes, the Supreme Court had jurisdiction to pass upon the constitutionality of the Senate’s action.</w:t>
      </w:r>
    </w:p>
    <w:p w:rsidR="00000000" w:rsidDel="00000000" w:rsidP="00000000" w:rsidRDefault="00000000" w:rsidRPr="00000000" w14:paraId="000003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“Where an action of the legislative branch is seriously alleged to have infringed the [C]onstitution, it becomes not only the right but in fact the duty of the judiciary to settle the dispute.” Elaborating, I wrote:</w:t>
      </w:r>
    </w:p>
    <w:p w:rsidR="00000000" w:rsidDel="00000000" w:rsidP="00000000" w:rsidRDefault="00000000" w:rsidRPr="00000000" w14:paraId="000003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the petition alleges grave abuse of discretion and as there is no other plain, speedy or adequate remedy in the ordinary course of law, we have no hesitation at all in holding that this Petition should be given due course and the vital questions raised therein ruled upon under Rule 65 of the Rules of Court. Indeed, certiorari, prohibition and mandamus are appropriate remedies to raise constitutional issues and to review and/or prohibit/nullify, when proper, acts of legislative and executive officials. On this, we have no equivocation.</w:t>
      </w:r>
    </w:p>
    <w:p w:rsidR="00000000" w:rsidDel="00000000" w:rsidP="00000000" w:rsidRDefault="00000000" w:rsidRPr="00000000" w14:paraId="000003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should stress that, in deciding to take jurisdiction over this petition, this Court will not review the wisdom of the decision of the President and the Senate in enlisting the country into the WTO, or pass upon the merits of trade liberalization as a policy espoused by said international body. Neither will it rule on the propriety of the government's economic policy of reducing/removing tariffs, taxes, subsidies, quantitative restrictions, and other import / trade barriers. Rather, it will only exercise its constitutional duty ‘to determine whether or nor there had been a grave abuse of discretion amounting to lack or excess of jurisdiction’ on the part of the Senate in ratifying the WTO Agreement and its three annexes.”</w:t>
      </w:r>
    </w:p>
    <w:p w:rsidR="00000000" w:rsidDel="00000000" w:rsidP="00000000" w:rsidRDefault="00000000" w:rsidRPr="00000000" w14:paraId="000003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No, the Senate did not violate the “economic nationalism” provisions of the fundamental law. The “Declaration of Principles and State Policies provided under Article II of the Constitution are not self-executing.” They are merely guides in the exercise of</w:t>
      </w:r>
    </w:p>
    <w:p w:rsidR="00000000" w:rsidDel="00000000" w:rsidP="00000000" w:rsidRDefault="00000000" w:rsidRPr="00000000" w14:paraId="000003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reasons for denying a cause of action to an alleged infringement of broad constitutional principles come from (a) basic considerations of due process and (b) lack of judicial authority to wade into the uncharted ocean of social and economic policymaking.</w:t>
      </w:r>
    </w:p>
    <w:p w:rsidR="00000000" w:rsidDel="00000000" w:rsidP="00000000" w:rsidRDefault="00000000" w:rsidRPr="00000000" w14:paraId="000003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 provisions on economic nationalism should be read with other constitutional pronouncements, in order to attain a balanced development of the economy. The Court ruled: “While the Constitution has a bias in favor of Filipino goods, services, labor and enterprises, at the same time, it recognizes the need for business exchange with the rest of world on the bases of equality and reciprocity, and limits protection of Philippine enterprises only against foreign competition and trade practices that are unfair.”</w:t>
      </w:r>
    </w:p>
    <w:p w:rsidR="00000000" w:rsidDel="00000000" w:rsidP="00000000" w:rsidRDefault="00000000" w:rsidRPr="00000000" w14:paraId="000003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the Constitution did not intend to pursue an isolationist policy. It did not shut out foreign investments, goods and services in the development of the Philippine economy. While the Constitution does not encourage the unlimited entry of foreign goods, services and investments into the country, it does not prohibit them either. In fact, it allows an exchange on the basis of equality and reciprocity, frowning only on foreign competition that is unfair.”</w:t>
      </w:r>
    </w:p>
    <w:p w:rsidR="00000000" w:rsidDel="00000000" w:rsidP="00000000" w:rsidRDefault="00000000" w:rsidRPr="00000000" w14:paraId="000003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petitioners’ theory that the Constitution did not contemplate a “borderless world of business,” I wrote: “No doubt, the WTO Agreement was not yet in existence when the Constitution was drafted and ratified in 1987. That does not mean however that the Charter is necessarily flawed in the sense that its framers might not have anticipated the advent of a borderless world of business. By the same token, the United Nations was not yet in existence when the 1935 Constitution became effective. Did that necessarily mean that the then Constitution might not have contemplated a diminution of the absoluteness of sovereignty when the Philippines signed the UN Charter, thereby effectively surrendering part of its control over its foreign relations to the decisions of various UN organs like the Security Council?</w:t>
      </w:r>
    </w:p>
    <w:p w:rsidR="00000000" w:rsidDel="00000000" w:rsidP="00000000" w:rsidRDefault="00000000" w:rsidRPr="00000000" w14:paraId="000003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not difficult to answer this question. Constitutions are designed to meet not only the vagaries of contemporary events. They should be interpreted to cover even future and unknown circumstances. It is to the credit of its drafters that a Constitution can withstand the assaults of bigots and infidels but at the same time bend with the refreshing winds of change necessitated by unfolding events.”</w:t>
      </w:r>
    </w:p>
    <w:p w:rsidR="00000000" w:rsidDel="00000000" w:rsidP="00000000" w:rsidRDefault="00000000" w:rsidRPr="00000000" w14:paraId="000003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No, the WTO Agreement did not impair Congress’ power to legislate. The fact that the WTO Agreement required member-states to conform its laws to the said Agreement did not mean a diminution of legislative authority. In the ponencia’s language:</w:t>
      </w:r>
    </w:p>
    <w:p w:rsidR="00000000" w:rsidDel="00000000" w:rsidP="00000000" w:rsidRDefault="00000000" w:rsidRPr="00000000" w14:paraId="000003DE">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“This Court notes and appreciates the ferocity and passion by which petitioners stressed their arguments on this issue. However, while sovereignty has traditionally been deemed absolute and all-encompassing on the domestic level, it is however subject to restrictions and limitations voluntarily agreed to by the Philippines, expressly or impliedly, as a member of the family of nations. Unquestionably, the Constitution did not envision a hermit-type isolation of the country from the rest of the world. In its Declaration of Principles and State Policies, the Constitution ‘adopts the generally accepted principles of international law as part of the law of the land, and adheres to the policy of peace, equality, justice, freedom, cooperation and amity, with all nations,” By the doctrine of incorporation, the country is bound by generally accepted principles of international law, which are considered to be automatically part of our own laws.4 One of the oldest and most fundamental rules in international law is pacta sunt servanda— international agreements must be performed in good faith. ‘A treaty engagement is not a mere moral obligation but creates a legally binding obligation on the parties x x x. A state which has contracted valid international obligations is bound to make in its legislation such modifications as may be necessary to ensure the fulfillment of the obligations undertaken.’</w:t>
      </w:r>
      <w:r w:rsidDel="00000000" w:rsidR="00000000" w:rsidRPr="00000000">
        <w:rPr>
          <w:rtl w:val="0"/>
        </w:rPr>
      </w:r>
    </w:p>
    <w:p w:rsidR="00000000" w:rsidDel="00000000" w:rsidP="00000000" w:rsidRDefault="00000000" w:rsidRPr="00000000" w14:paraId="000003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their inherent nature, treaties really limit or restrict the absoluteness of sovereignty. By their voluntary act, nations may surrender some aspects of their state power in exchange for greater benefits granted by or derived from a convention or pact. After all, states, like individuals, live with coequals, and in pursuit of mutually covenanted objectives and benefits, they also commonly agree to limit the exercise of their otherwise absolute rights. Thus, treaties have been used to record agreements between States concerning such widely diverse matters as, for example, the lease of naval { bases, the sale or cession of territory, the termination of war, the regulation of conduct of hostilities, the formation of alliances, the regulation of commercial relations, the settling of claims, the laying down of rules governing conduct in peace and the establishment of international organizations.’ The sovereignty of a state therefore cannot in fact and in reality be considered absolute. Certain restrictions enter into the picture: (1) limitations imposed by the very nature of membership in the family of nations and (2) limitations imposed by treaty stipulations. As aptly put by John F. Kennedy, ‘Today, no nation can build its destiny alone. The age of self-sufficient nationalism is over. The age of interdependence is here.’</w:t>
      </w:r>
    </w:p>
    <w:p w:rsidR="00000000" w:rsidDel="00000000" w:rsidP="00000000" w:rsidRDefault="00000000" w:rsidRPr="00000000" w14:paraId="000003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No, the WTO Agreement did not interfere with the exercise of judicial power. Petitioners’ contention on the Agreement’s disputable presumptions in regard to intellectual property was debunked in this wise:</w:t>
      </w:r>
    </w:p>
    <w:p w:rsidR="00000000" w:rsidDel="00000000" w:rsidP="00000000" w:rsidRDefault="00000000" w:rsidRPr="00000000" w14:paraId="000003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WTO Member is required to provide a rule of disputable presumption that a product shown to be identical to one produced with use of a patented process shall be deemed to have been obtained by the (illegal) use of the said patented process, (1) where such product obtained by the patented product is new, or (2) where there is ‘substantial likelihood’ that the identical product was made with the use of the said patented process but the owner of the patent could not determine the exact process used in obtaining such identical product. Hence, the ‘burden of proof’ contemplated by Article 34 [of the General Provisions of the Agreement on Trade- Related Aspects of International Property Rights] should actually be understood as the duty of the alleged patent infringer to overthrow such presumption. Such burden, properly understood, actually refers to the ‘burden of evidence’ (burden of going forward) placed on the producer of the identical (or fake) product to show that his product was produced without the use of the patented process.</w:t>
      </w:r>
    </w:p>
    <w:p w:rsidR="00000000" w:rsidDel="00000000" w:rsidP="00000000" w:rsidRDefault="00000000" w:rsidRPr="00000000" w14:paraId="000003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notwithstanding, the patent owner still has the ‘burden of proof’ since, regardless of the presumption provided under paragraph 1 of Article 34, such owner still has to introduce evidence of the existence of the alleged identical product, the fact that it is ‘identical’ to the genuine one produced by the patented process and the fact of ‘newness’ of the genuine product or the fact of ‘substantial likelihood’ that the identical product was made by the patented process.”</w:t>
      </w:r>
    </w:p>
    <w:p w:rsidR="00000000" w:rsidDel="00000000" w:rsidP="00000000" w:rsidRDefault="00000000" w:rsidRPr="00000000" w14:paraId="000003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No, concurrence in the WTO Agreement only, but not in the other documents referred to in the “Final Act,” was not defective or flawed, because Senate Resolution 97 conformed exactly to what the said “Final Act” required. This was explained in the Decision as follows:</w:t>
      </w:r>
    </w:p>
    <w:p w:rsidR="00000000" w:rsidDel="00000000" w:rsidP="00000000" w:rsidRDefault="00000000" w:rsidRPr="00000000" w14:paraId="000003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final act, sometimes called protocol de cloture, is an instrument which records the winding up of the proceedings of a diplomatic conference and usually includes a reproduction of the texts of treaties, conventions, recommendations and other acts agreed upon and signed by the plenipotentiaries attending the conference. It is not the treaty itself. It is rather a summary of the proceedings of a protracted conference which may have taken place over several years. The text of the ‘Final Act Embodying the Results of the Uruguay Round of Multilateral Trade Negotiations’ is contained in just one page” in Vol. I of the 36-volume Uruguay Round of Multilateral Trade Negotiations. By signing said Final Act, Secretary Navarro as representative of the Republic of the Philippines undertook:</w:t>
      </w:r>
    </w:p>
    <w:p w:rsidR="00000000" w:rsidDel="00000000" w:rsidP="00000000" w:rsidRDefault="00000000" w:rsidRPr="00000000" w14:paraId="000003E5">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‘(a) to submit, as appropriate, the WTO Agreement for the consideration of their respective competent authorities with a view to seeking approval of the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Agreement in accordance with their procedures; and</w:t>
      </w:r>
    </w:p>
    <w:p w:rsidR="00000000" w:rsidDel="00000000" w:rsidP="00000000" w:rsidRDefault="00000000" w:rsidRPr="00000000" w14:paraId="000003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to adopt the Ministerial Declarations and Decisions.’</w:t>
      </w:r>
    </w:p>
    <w:p w:rsidR="00000000" w:rsidDel="00000000" w:rsidP="00000000" w:rsidRDefault="00000000" w:rsidRPr="00000000" w14:paraId="000003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assailed Senate Resolution No. 97 expressed concurrence in exactly what the Final Act required from its signatories, namely, concurrence of the Senate in the WTO Agreement.”</w:t>
      </w:r>
    </w:p>
    <w:p w:rsidR="00000000" w:rsidDel="00000000" w:rsidP="00000000" w:rsidRDefault="00000000" w:rsidRPr="00000000" w14:paraId="000003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Decision stressed that the Court did not necessarily agree with the new economic paradigms of globalization, deregulation, privatization and liberalization. It merely ruled that petitioners failed to show that in expressing its concurrence in the WTO Agreement, the Senate gravely abused its discretion. To show this point, I am reproducing a portion of my ponencia’s Epilogue:</w:t>
      </w:r>
    </w:p>
    <w:p w:rsidR="00000000" w:rsidDel="00000000" w:rsidP="00000000" w:rsidRDefault="00000000" w:rsidRPr="00000000" w14:paraId="000003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true, as alleged by petitioners, that - broad constitutional principles require the State to develop an independent national economy effectively controlled by Filipinos; and to protect and/or prefer Filipino labor, products, domestic materials and locally produced goods. But it is equally true that such principles — while serving as judicial and legislative guides — are not in themselves sources of causes of action. Moreover, there are other equally fundamental constitutional principles relied upon by the Senate which mandate the pursuit of a ‘trade policy that serves the general welfare and utilizes all forms and arrangements of exchange on the basis of equality and reciprocity’ and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promotion of industries ‘which are competitive in both domestic and foreign markets,’ thereby justifying its acceptance of said treaty. So too, the alleged impairment of sovereignty in the exercise of legislative and judicial powers is balanced by the adoption of the generally accepted principles of international law as part of the law of the land and the adherence of the Constitution to the policy of cooperation and amity with all nations.</w:t>
      </w:r>
    </w:p>
    <w:p w:rsidR="00000000" w:rsidDel="00000000" w:rsidP="00000000" w:rsidRDefault="00000000" w:rsidRPr="00000000" w14:paraId="000003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the Senate, after deliberation and voting, voluntarily and overwhelmingly gave its consent to the WTO Agreement thereby making it ‘a part of the law of the land’ is a legitimate exercise of its sovereign duty and power. We find no ‘patent and gross’ arbitrariness or despotism ‘by reason of passion or personal hostility’ in such exercise. It is not impossible to surmise that this Court, or at least some of its members, may even agree with petitioners that it is more advantageous to the national interest to strike down Senate Resolution No 97, But that is not a legal reason to attribute grave abuse of discretion to the Senate and to nullify its decision. To do so would constitute grave abuse in the exercise of our own judicial power and duty. Ineludibly, what the Senate did was a valid exercise of its authority. As to whether such exercise was wise, beneficial or viable is outside the realm of judicial inquiry and review. That is a matter between the elected policy makers and the people. As to whether the nation should join the worldwide march toward trade liberalization and economic globalization is a matter that our people should determine in electing their policy makers. After all, the WTO Agreement allows withdrawal of membership, should this be the political desire of a member.</w:t>
      </w:r>
    </w:p>
    <w:p w:rsidR="00000000" w:rsidDel="00000000" w:rsidP="00000000" w:rsidRDefault="00000000" w:rsidRPr="00000000" w14:paraId="000003EB">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eminent futurist John Naisbitt, author of the best seller Megatrends, predicts an Asian Renaissance!” where ‘the East will become the dominant region of the world economically, politically and culturally in the next century.’ He refers to the ‘free market’ espoused by WTO as the ‘catalyst’ in this coming Asian ascendancy. There are at present about 31 countries including China, Russia and Saudi Arabia negotiating for membership in the WTO. Notwithstanding objections against possible limitations on national sovereignty, the WTO remains as the only viable structure for multilateral trading and the veritable forum for the development of international trade law. The alternative to WTO ' js isolation, stagnation, if not economic self-destruction. Duly enriched with original membership, keenly aware of the advantages and disadvantages of globalization with its online experience, and endowed with a vision of the future, the Philippines now straddles the crossroads of an international strategy for economic prosperity and stability in the new millennium. Let the people, through their duly authorized elected officers, make their free choice.”</w:t>
      </w:r>
      <w:r w:rsidDel="00000000" w:rsidR="00000000" w:rsidRPr="00000000">
        <w:rPr>
          <w:rtl w:val="0"/>
        </w:rPr>
      </w:r>
    </w:p>
    <w:p w:rsidR="00000000" w:rsidDel="00000000" w:rsidP="00000000" w:rsidRDefault="00000000" w:rsidRPr="00000000" w14:paraId="000003EC">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11</w:t>
      </w:r>
    </w:p>
    <w:p w:rsidR="00000000" w:rsidDel="00000000" w:rsidP="00000000" w:rsidRDefault="00000000" w:rsidRPr="00000000" w14:paraId="000003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NLRC Cases: </w:t>
      </w:r>
    </w:p>
    <w:p w:rsidR="00000000" w:rsidDel="00000000" w:rsidP="00000000" w:rsidRDefault="00000000" w:rsidRPr="00000000" w14:paraId="000003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Finding the Right Balance </w:t>
      </w:r>
    </w:p>
    <w:p w:rsidR="00000000" w:rsidDel="00000000" w:rsidP="00000000" w:rsidRDefault="00000000" w:rsidRPr="00000000" w14:paraId="000003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Between Labor and Management</w:t>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3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St. Martin Funeral Home v. NLRC,’ the Supreme Court directly entertained petitions for certiorari challenging decisions of the National Labor Relations Commissions (NLRC). Finding the right balance between labor and management in these reviews can sometimes become really contentious. The Constitution, however, guarantees full protection to labor. And in case of</w:t>
      </w:r>
      <w:r w:rsidDel="00000000" w:rsidR="00000000" w:rsidRPr="00000000">
        <w:rPr>
          <w:rFonts w:ascii="Georgia" w:cs="Georgia" w:eastAsia="Georgia" w:hAnsi="Georgia"/>
          <w:sz w:val="22"/>
          <w:szCs w:val="22"/>
          <w:vertAlign w:val="superscript"/>
        </w:rPr>
        <w:footnoteReference w:customMarkFollows="0" w:id="64"/>
      </w:r>
      <w:r w:rsidDel="00000000" w:rsidR="00000000" w:rsidRPr="00000000">
        <w:rPr>
          <w:rFonts w:ascii="Georgia" w:cs="Georgia" w:eastAsia="Georgia" w:hAnsi="Georgia"/>
          <w:sz w:val="22"/>
          <w:szCs w:val="22"/>
          <w:vertAlign w:val="superscript"/>
        </w:rPr>
        <w:footnoteReference w:customMarkFollows="0" w:id="65"/>
      </w:r>
      <w:r w:rsidDel="00000000" w:rsidR="00000000" w:rsidRPr="00000000">
        <w:rPr>
          <w:rFonts w:ascii="Georgia" w:cs="Georgia" w:eastAsia="Georgia" w:hAnsi="Georgia"/>
          <w:sz w:val="22"/>
          <w:szCs w:val="22"/>
          <w:vertAlign w:val="superscript"/>
        </w:rPr>
        <w:footnoteReference w:customMarkFollows="0" w:id="66"/>
      </w:r>
      <w:r w:rsidDel="00000000" w:rsidR="00000000" w:rsidRPr="00000000">
        <w:rPr>
          <w:rFonts w:ascii="Georgia" w:cs="Georgia" w:eastAsia="Georgia" w:hAnsi="Georgia"/>
          <w:sz w:val="22"/>
          <w:szCs w:val="22"/>
          <w:vertAlign w:val="superscript"/>
        </w:rPr>
        <w:footnoteReference w:customMarkFollows="0" w:id="67"/>
      </w:r>
      <w:r w:rsidDel="00000000" w:rsidR="00000000" w:rsidRPr="00000000">
        <w:rPr>
          <w:rFonts w:ascii="Georgia" w:cs="Georgia" w:eastAsia="Georgia" w:hAnsi="Georgia"/>
          <w:sz w:val="22"/>
          <w:szCs w:val="22"/>
          <w:rtl w:val="0"/>
        </w:rPr>
        <w:t xml:space="preserve"> doubt, the law favors labor?</w:t>
      </w:r>
    </w:p>
    <w:p w:rsidR="00000000" w:rsidDel="00000000" w:rsidP="00000000" w:rsidRDefault="00000000" w:rsidRPr="00000000" w14:paraId="000003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I would like to briefly discuss some of my labor decisions which were unanimously supported by the other members of the Court during my first three years in office (October 10, 1995 to October 10, 1998).</w:t>
      </w:r>
    </w:p>
    <w:p w:rsidR="00000000" w:rsidDel="00000000" w:rsidP="00000000" w:rsidRDefault="00000000" w:rsidRPr="00000000" w14:paraId="000003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San Pedro Hospital v. Secretary of Labor ruled that the labor secretary may order parties to a labor dispute to enter into anew Collective Bargaining Agreement and grant back wages even without ruling on the legality of the strike.</w:t>
      </w:r>
    </w:p>
    <w:p w:rsidR="00000000" w:rsidDel="00000000" w:rsidP="00000000" w:rsidRDefault="00000000" w:rsidRPr="00000000" w14:paraId="000003F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7">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3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negotiating for the renewal of their Collective Bargaining Agreement (CBA), the union proposed a P60 salary increase with a union security clause, while the hospital countered with a P2 increase, claiming it was incurring losses, and expressly opposed the inclusion of such clause. After conciliation failed to resolve their deadlock, the union struck. It picketed the hospital premises until the operations came to a halt, forcing doctors and patients to leave the site. The labor secretary assumed jurisdiction over the labor dispute and issued a return-to-work Order. Although the union members were willing to return to work, the hospital refused to accept them. Accordingly, it notified the Department of Labor and Employment of its temporary suspension of operations for six months. Labor Secretary Ruben Torres (a) ruled that the suspension of operations was intended to defeat the right of the workers to self-organization, (b) granted them back wages from the time they were refused admittance, and (3) ordered the hospital to enter into a new CBA with them and to include therein a union security clause.</w:t>
      </w:r>
    </w:p>
    <w:p w:rsidR="00000000" w:rsidDel="00000000" w:rsidP="00000000" w:rsidRDefault="00000000" w:rsidRPr="00000000" w14:paraId="000003F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A">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Issues</w:t>
      </w:r>
    </w:p>
    <w:p w:rsidR="00000000" w:rsidDel="00000000" w:rsidP="00000000" w:rsidRDefault="00000000" w:rsidRPr="00000000" w14:paraId="000003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Was the temporary suspension of hospital operation valid?</w:t>
      </w:r>
    </w:p>
    <w:p w:rsidR="00000000" w:rsidDel="00000000" w:rsidP="00000000" w:rsidRDefault="00000000" w:rsidRPr="00000000" w14:paraId="000003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May the secretary of labor order the parties to enter into a new CBA and grant back wages without ruling on the legality of the strike?</w:t>
      </w:r>
    </w:p>
    <w:p w:rsidR="00000000" w:rsidDel="00000000" w:rsidP="00000000" w:rsidRDefault="00000000" w:rsidRPr="00000000" w14:paraId="000003F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3FE">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3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No, the suspension was not valid. A temporary suspension of operations is recognized as a valid exercise of management prerogative, provided it is not carried out in order to circumvent the provisions of the Labor Code or to defeat the rights of the employees. The burden of proving that such suspension is bona fide falls upon the employer. A precarious financial condition must be established by evidence. The hospital’s unexplained and continued failure to submit its financial statements raised grave doubts about its claimed financial crisis and the real purpose of its suspension of operations. It was not enough merely to raise such claim or to discuss it only in passing. It was essential to prove it.</w:t>
      </w:r>
    </w:p>
    <w:p w:rsidR="00000000" w:rsidDel="00000000" w:rsidP="00000000" w:rsidRDefault="00000000" w:rsidRPr="00000000" w14:paraId="000004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Yes, the labor secretary may order the parties to enter into a new CBA and may grant back wages without ruling on the legality of the strike. As provided in the Labor Code and its implementing rules, an employer-employee relationship shall be deemed suspended in case of a suspension of operation, but with the implicit assumption that once operations are resumed, the relationship shall be revived and restored. The secretary validly ordered the parties to enter into a new CBA, assuming that operations would resume after six months. Since the hospital had refused to bargain without valid cause, he properly granted the wage increase and imposed the union security clause in the exercise of his powers under Article 263(i) of the Code.</w:t>
      </w:r>
    </w:p>
    <w:p w:rsidR="00000000" w:rsidDel="00000000" w:rsidP="00000000" w:rsidRDefault="00000000" w:rsidRPr="00000000" w14:paraId="000004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secretary of labor acted within his jurisdiction when he granted back wages based on the illegality of the temporary suspension, not on the illegality of the strike. Under Article 263(g) of the Code, he was authorized to do so, in order to penalize an erring employer who refused to accept returning employees.</w:t>
      </w:r>
    </w:p>
    <w:p w:rsidR="00000000" w:rsidDel="00000000" w:rsidP="00000000" w:rsidRDefault="00000000" w:rsidRPr="00000000" w14:paraId="0000040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sz w:val="22"/>
          <w:szCs w:val="22"/>
          <w:rtl w:val="0"/>
        </w:rPr>
        <w:t xml:space="preserve">B. North Davao Mining v. APT </w:t>
      </w:r>
      <w:r w:rsidDel="00000000" w:rsidR="00000000" w:rsidRPr="00000000">
        <w:rPr>
          <w:rFonts w:ascii="Georgia" w:cs="Georgia" w:eastAsia="Georgia" w:hAnsi="Georgia"/>
          <w:sz w:val="22"/>
          <w:szCs w:val="22"/>
          <w:rtl w:val="0"/>
        </w:rPr>
        <w:t xml:space="preserve">ruled that companies which closed their operations because of business losses — in this case amounting to over P20 billion — were not required to pay separation benefits, not even in the case of the petitioner which had a “longstanding policy of giving separation pay benefits equivalent to 30-days’ pay.” Debunking respondents’ reliance on Businessday Information Systems and Services (BISSI) v. NLRC,* the Court ruled in this wise:</w:t>
      </w:r>
      <w:r w:rsidDel="00000000" w:rsidR="00000000" w:rsidRPr="00000000">
        <w:rPr>
          <w:rtl w:val="0"/>
        </w:rPr>
      </w:r>
    </w:p>
    <w:p w:rsidR="00000000" w:rsidDel="00000000" w:rsidP="00000000" w:rsidRDefault="00000000" w:rsidRPr="00000000" w14:paraId="000004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resolving the present case, it bears keeping in mind at the outset that the factual circumstances of BISSI are quite different from [those of] the current case. The Court noted that BISSI continued to suffer losses even after the retrenchment of the first batch of employees; clearly, business did not improve despite such drastic measures. That notwithstanding, when BISSI finally shut down, it could well afford to (and actually did) pay off its remaining employees with MORE separation benefits as compared with those earlier laid off; obviously, then, there was 10 reason for BISSI to skimp on separation pay for the first batch of discharged employees. That it was able to pay one-month separation benefit for employees at the time of closure of its business meant that it must have also been in a position to pay the same amount to those who were separated prior to closure. That it did not do so was a wrongful exercise of management prerogatives. That is why the Court correctly faulted it with ‘impermissible discrimination.’ Clearly, it exercised its management prerogatives contrary to ‘[g]eneral principles of fair play and justice.’</w:t>
      </w:r>
    </w:p>
    <w:p w:rsidR="00000000" w:rsidDel="00000000" w:rsidP="00000000" w:rsidRDefault="00000000" w:rsidRPr="00000000" w14:paraId="000004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however, the company’s practice of giving one month’s pay for every year of service could no longer be continued precisely because the company could not afford it anymore. It was forced to close down on account of accumulated losses of over P20 billion. This could not be said of BISSI. In the case of North Davao, it gave 30-days’ separation pay to its employees when it was still a going concern even if it was already losing heavily. As a going concern, its cash flow could still have sustained the payment of such separation benefits. But when a business completely ceases operations, i.e.. upon its death as a going business concern, its vital lifeblood — its cashflow — literally dries up. Therefore, the fact that less separation benefits were granted when the company finally met its business death cannot be characterized as discrimination. Such action was dictated not by a discriminatory management option but by its complete inability to continue its business life due to accumulated losses. Indeed, one cannot squeeze blood out of a dry stone. Nor water out of parched land.”</w:t>
      </w:r>
    </w:p>
    <w:p w:rsidR="00000000" w:rsidDel="00000000" w:rsidP="00000000" w:rsidRDefault="00000000" w:rsidRPr="00000000" w14:paraId="000004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Below is a more detailed summation of the case.</w:t>
      </w:r>
    </w:p>
    <w:p w:rsidR="00000000" w:rsidDel="00000000" w:rsidP="00000000" w:rsidRDefault="00000000" w:rsidRPr="00000000" w14:paraId="0000040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7">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North Davao Mining Corporation (North Davao) was incorporated in 1974 as a 100 percent privately owned company. Later, the Philippine National Bank (PNB) became part owner thereof as a result of the conversion into equity of a portion of loans obtained by the former from the latter. On June 30, 1986, PNB transferred all its loans to, and equity in, North Davao in favor of the national government which, by virtue of Proclamation No. 50 dated December 8, 1986, later turned them over to Petitioner Asset Privatization Trust (APT). As of December 31, 1990 the national government held 81.8 percent of the common stock and 100 percent of the preferred stock of said company.</w:t>
      </w:r>
    </w:p>
    <w:p w:rsidR="00000000" w:rsidDel="00000000" w:rsidP="00000000" w:rsidRDefault="00000000" w:rsidRPr="00000000" w14:paraId="000004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31, 1992, Petitioner North Davao completely ceased operations due to serious business reverses. As of December 31, 1991, or five months prior to its closure, its total liabilities had exceeded its assets by P20.392 billion. When it ceased operations, its remaining employees were separated and given the equivalent of 12.5 days’ pay for every year of service, computed on their basic monthly pay, in addition to the commutation to cash of their unused vacation and sick leaves. However, during the life of the petitioner corporation, from the beginning of its operations in 1981 until its closure in 1992, it had been giving separation pay equivalent to thirty days’ pay for every year of service.</w:t>
      </w:r>
    </w:p>
    <w:p w:rsidR="00000000" w:rsidDel="00000000" w:rsidP="00000000" w:rsidRDefault="00000000" w:rsidRPr="00000000" w14:paraId="0000040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B">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w:t>
      </w:r>
    </w:p>
    <w:p w:rsidR="00000000" w:rsidDel="00000000" w:rsidP="00000000" w:rsidRDefault="00000000" w:rsidRPr="00000000" w14:paraId="000004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forced by huge business losses to close its business, is a company legally required to pay separation benefits to its employees at the time of its closure, in an amount equivalent to the separation pay paid to those who were separated when the company was still a going concern?</w:t>
      </w:r>
    </w:p>
    <w:p w:rsidR="00000000" w:rsidDel="00000000" w:rsidP="00000000" w:rsidRDefault="00000000" w:rsidRPr="00000000" w14:paraId="0000040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0E">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the company is not required to pay such separation benefits. Article 283 of the Labor Code governs the grant of separation benefits “in case of closures or cessation of operation” of business establishments “NOT due to serious business losses or financial reverses.” Where, however, the closure is due to proven business losses — as in the instant case, in which the aggregate losses amounted to over P20 billion — the Labor Code does not, for obvious reasons, impose any obligation upon the employer to pay separation benefits.</w:t>
      </w:r>
    </w:p>
    <w:p w:rsidR="00000000" w:rsidDel="00000000" w:rsidP="00000000" w:rsidRDefault="00000000" w:rsidRPr="00000000" w14:paraId="000004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company’s practice of giving one month’s pay for every year of service could no longer be continued, precisely because it could no longer afford to do so.</w:t>
      </w:r>
    </w:p>
    <w:p w:rsidR="00000000" w:rsidDel="00000000" w:rsidP="00000000" w:rsidRDefault="00000000" w:rsidRPr="00000000" w14:paraId="00000411">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C. Philippines Today v. NLRC </w:t>
      </w:r>
      <w:r w:rsidDel="00000000" w:rsidR="00000000" w:rsidRPr="00000000">
        <w:rPr>
          <w:rFonts w:ascii="Georgia" w:cs="Georgia" w:eastAsia="Georgia" w:hAnsi="Georgia"/>
          <w:sz w:val="22"/>
          <w:szCs w:val="22"/>
          <w:rtl w:val="0"/>
        </w:rPr>
        <w:t xml:space="preserve">held that, by way of exception to the general rule, a memorandum written by an employee apprising his employer of his frustrations in his job and his differences with his immediate boss, taken together with confirmatory circumstances, constituted voluntary resignation. Here is a synopsis of the case.</w:t>
      </w:r>
    </w:p>
    <w:p w:rsidR="00000000" w:rsidDel="00000000" w:rsidP="00000000" w:rsidRDefault="00000000" w:rsidRPr="00000000" w14:paraId="0000041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3">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Felix R. Alegre Jr. was assistant to Maximo V. Soliven, publisher of Philippine Star, a daily newspaper owned by petitioner, when he wrote a Memorandum addressed to Betty Go-Belmonte (now deceased), the chairman and CEO of the Star Group of Publications, with copies sent to all other officers and members of the board of directors. In that Memorandum, he apprised his employer of his frustrations in his job and his differences with the publisher, who was his immediate superior. Petitioner considered his Memorandum as a letter of resignation, to which he objected, saying he had never meant to resign. Thus, he filed a case for illegal dismissal.</w:t>
      </w:r>
    </w:p>
    <w:p w:rsidR="00000000" w:rsidDel="00000000" w:rsidP="00000000" w:rsidRDefault="00000000" w:rsidRPr="00000000" w14:paraId="0000041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6">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w:t>
      </w:r>
    </w:p>
    <w:p w:rsidR="00000000" w:rsidDel="00000000" w:rsidP="00000000" w:rsidRDefault="00000000" w:rsidRPr="00000000" w14:paraId="000004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Did the respondent's Memorandum constitute voluntary resignation?</w:t>
      </w:r>
    </w:p>
    <w:p w:rsidR="00000000" w:rsidDel="00000000" w:rsidP="00000000" w:rsidRDefault="00000000" w:rsidRPr="00000000" w14:paraId="0000041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19">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Yes, taken with confirmatory circumstances, it did. Considering the peculiar circumstances attendant to its writing — together with the antecedent, contemporaneous and subsequent actions of private respondent — it juridically constituted a letter of resignation. His offensive and disrespectful choice of words and way of expression belied his allegation that it was simply an “opportunity to open the eyes of Belmonte to the work environment” at the Star. Besides, he directly addressed it, not to his immediate superior, but to the chairman and CEO, with copies sent to all other officers and members of the board. Furthermore, he was a highly confidential employee who could hold his job for only as long as he enjoyed the trust and confidence of his employer. His use of abrasive language in his Memorandum, as well as the manner in which he disseminated it, rendered him unworthy of such trust and confidence.</w:t>
      </w:r>
    </w:p>
    <w:p w:rsidR="00000000" w:rsidDel="00000000" w:rsidP="00000000" w:rsidRDefault="00000000" w:rsidRPr="00000000" w14:paraId="000004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significantly, some peculiar actions confirming his intention to terminate his employment with the Star were noted by the Court. First, he claimed that his leave of absence was due to medical reasons, for which he was supposed to seek relief abroad. However, the Court found nothing in the records to prove such claim. Second, even before he knew of the acceptance of his resignation, he had cleared his desk of his personal belongings, thus baring his intent to leave his job. Third, he did not return to work after his authorized leave of absence had expired. Finally and most tellingly, prior to receiving Mrs. Belmonte’s letter accepting his resignation, he had worked as chief of staff of the office of then Senator Sotero H. Laurel, with a much higher compensation. His assumption of another full-time job was clearly inconsistent with any desire to remain in employment with petitioner.</w:t>
      </w:r>
    </w:p>
    <w:p w:rsidR="00000000" w:rsidDel="00000000" w:rsidP="00000000" w:rsidRDefault="00000000" w:rsidRPr="00000000" w14:paraId="000004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reproducing the Epilogue of the Decision to stress the rationale for this exception to the general rule on voluntary resignation. Indeed, “each case has its own flesh and blood and cannot be decided simply on the basis of isolated clinical classroom principles.”</w:t>
      </w:r>
    </w:p>
    <w:p w:rsidR="00000000" w:rsidDel="00000000" w:rsidP="00000000" w:rsidRDefault="00000000" w:rsidRPr="00000000" w14:paraId="000004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“Both the Constitution and the Labor Code mandate a bias in favor of labor. Hence, this Court, as a matter of judicial policy, leans backwards to protect labor and the working class against the machinations and incursions of their more financially entrenched employers. In the present case, however, it is obvious to us that private respondent’s memorandum could not have been intended merely to persuade management to improve the work environment at the Philippine Star. Rather, it was evidently a recitation of the facts and reasons why respondent Alegre could no longer continue working under what he believed were unbearable conditions in the work place. The offensive language used by a well-educated man endowed with unusual writing skill could not have been intended merely for the “suggestion box.” That it was addressed and given to persons _ of uncommon perception themselves takes the letter out of ordinary employer-employee communications. It is true that there was no direct mention of the word ‘resignation.’ However, the incendiary words employed denote a clear intent to end the writer’s association of trust and confidence with his superiors and employer. This intent becomes even more manifest when viewed in light of attendant acts of Alegre, particularly his prolonged leave of absence, his clearing of his own desk of personal belongings, his failure to report back to work after the expiration of his approved leave, his verbal expression of his intent to resign, and most notably, his assumption of a higher paying job in a political office which was incompatible with his work at the Star.</w:t>
      </w:r>
    </w:p>
    <w:p w:rsidR="00000000" w:rsidDel="00000000" w:rsidP="00000000" w:rsidRDefault="00000000" w:rsidRPr="00000000" w14:paraId="000004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deciding cases, this Court does not matter-of-factly apply and interpret laws ina vacuum. General principles do not decide specific cases. Rather, laws are interpreted always in the context of the peculiar factual situation of each case. Each case has its own flesh and blood and cannot be decided simply on the basis of isolated clinical classroom principles. The circumstances of time, place, event, person, and particularly attendant circumstances and actions before, during and after the operative fact should all be taken in their totality so that justice can be rationally and fairly dispensed.”</w:t>
      </w:r>
    </w:p>
    <w:p w:rsidR="00000000" w:rsidDel="00000000" w:rsidP="00000000" w:rsidRDefault="00000000" w:rsidRPr="00000000" w14:paraId="0000041F">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D. Naguiat v. NLRC</w:t>
      </w:r>
      <w:r w:rsidDel="00000000" w:rsidR="00000000" w:rsidRPr="00000000">
        <w:rPr>
          <w:rFonts w:ascii="Georgia" w:cs="Georgia" w:eastAsia="Georgia" w:hAnsi="Georgia"/>
          <w:sz w:val="22"/>
          <w:szCs w:val="22"/>
          <w:rtl w:val="0"/>
        </w:rPr>
        <w:t xml:space="preserve"> ruled that taxi drivers, upon closure of business by a non-losing employer, are entitled to regular separation pay benefits. It further held that in the payment of this obligation, the owners who had actively managed the business were jointly and severally liable.</w:t>
      </w:r>
    </w:p>
    <w:p w:rsidR="00000000" w:rsidDel="00000000" w:rsidP="00000000" w:rsidRDefault="00000000" w:rsidRPr="00000000" w14:paraId="000004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1">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Petitioner Clark Field Taxi, Inc. (CFTI) used to operate taxi services within Clark Air Base. Because of the phase-out of the US military bases, it ceased Operations and terminated the services of its taxicab drivers. As severance pay, the drivers were each given P500 for every year of service. But herein individual</w:t>
      </w:r>
      <w:r w:rsidDel="00000000" w:rsidR="00000000" w:rsidRPr="00000000">
        <w:rPr>
          <w:rFonts w:ascii="Georgia" w:cs="Georgia" w:eastAsia="Georgia" w:hAnsi="Georgia"/>
          <w:sz w:val="22"/>
          <w:szCs w:val="22"/>
          <w:vertAlign w:val="superscript"/>
        </w:rPr>
        <w:footnoteReference w:customMarkFollows="0" w:id="68"/>
      </w:r>
      <w:r w:rsidDel="00000000" w:rsidR="00000000" w:rsidRPr="00000000">
        <w:rPr>
          <w:rFonts w:ascii="Georgia" w:cs="Georgia" w:eastAsia="Georgia" w:hAnsi="Georgia"/>
          <w:sz w:val="22"/>
          <w:szCs w:val="22"/>
          <w:rtl w:val="0"/>
        </w:rPr>
        <w:t xml:space="preserve"> respondents demanded separation pay equivalent to their average monthly earnings per year of service.</w:t>
      </w:r>
    </w:p>
    <w:p w:rsidR="00000000" w:rsidDel="00000000" w:rsidP="00000000" w:rsidRDefault="00000000" w:rsidRPr="00000000" w14:paraId="0000042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4">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Issues</w:t>
      </w:r>
    </w:p>
    <w:p w:rsidR="00000000" w:rsidDel="00000000" w:rsidP="00000000" w:rsidRDefault="00000000" w:rsidRPr="00000000" w14:paraId="000004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Were private respondents entitled to regular separation pay as provided under the Labor Code?</w:t>
      </w:r>
    </w:p>
    <w:p w:rsidR="00000000" w:rsidDel="00000000" w:rsidP="00000000" w:rsidRDefault="00000000" w:rsidRPr="00000000" w14:paraId="000004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Were officers/owners of the corporation solidarily liable with the company?</w:t>
      </w:r>
    </w:p>
    <w:p w:rsidR="00000000" w:rsidDel="00000000" w:rsidP="00000000" w:rsidRDefault="00000000" w:rsidRPr="00000000" w14:paraId="0000042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28">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Yes, private respondents were entitled to regular separation pay, because the closure of petitioners’ taxi business within Clark was due to the phase-out of U.S. military installations there, not to any great financial loss. In fact, the business was earning profitably at the time of its closure. Under Article 283 of the Labor Code, “x x x in cases of closures or cessation of operations of establishment or undertaking not due to serious business losses or financial reverses, the separation pay shall be equivalent to one (1) month pay or at least one-half (1/ 2) month pay for every year of service, whichever is higher. A fraction of at least six (6) months shall be considered one (1) whole year.”</w:t>
      </w:r>
    </w:p>
    <w:p w:rsidR="00000000" w:rsidDel="00000000" w:rsidP="00000000" w:rsidRDefault="00000000" w:rsidRPr="00000000" w14:paraId="000004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Based on the factual submissions of the parties, private respondents were regular employees of CFII who received wages on a boundary or commission basis. In their amended Complaint, respondents detailed their work schedule and financial arrangement with CFTI. It could be inferred therefrom that their monthly take-home pay amounted to not less than $240, an inference which petitioners did not refute with contrary evidence. Thus, they were estopped from questioning the monthly earnings of respondents,</w:t>
      </w:r>
    </w:p>
    <w:p w:rsidR="00000000" w:rsidDel="00000000" w:rsidP="00000000" w:rsidRDefault="00000000" w:rsidRPr="00000000" w14:paraId="000004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Only the owner who was actively engaged in the management of the business was solidarity liable with the company. Petitioner Naguiat was admittedly the president of CFTI which he actively managed. He fell within the meaning of employer as contemplated in Art. 212(c)? of the Labor Code — one who could be held jointly and severally liable for the corporation’s obligations to its dismissed employees.</w:t>
      </w:r>
    </w:p>
    <w:p w:rsidR="00000000" w:rsidDel="00000000" w:rsidP="00000000" w:rsidRDefault="00000000" w:rsidRPr="00000000" w14:paraId="000004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petitioners also conceded that CFTI was a close family corporation. Section 100, paragraph 5 (under Title XII on Close Corporations) of the Corporation Code, states:</w:t>
      </w:r>
    </w:p>
    <w:p w:rsidR="00000000" w:rsidDel="00000000" w:rsidP="00000000" w:rsidRDefault="00000000" w:rsidRPr="00000000" w14:paraId="000004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To the extent that the stockholders are actively engage(d) in the management or operation of the business and affairs of a close corporation, the stockholders shall be held to strict fiduciary duties to each other and among themselves. Said stockholders shall be personally liable for corporate torts unless the corporation has obtained reasonably adequate liability insurance.”</w:t>
      </w:r>
    </w:p>
    <w:p w:rsidR="00000000" w:rsidDel="00000000" w:rsidP="00000000" w:rsidRDefault="00000000" w:rsidRPr="00000000" w14:paraId="000004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Essentially, tort is the violation of a right given or the omission of a duty imposed by law. It is a breach of a legal duty. Article 283 of the Labor Code mandates the employer to grant separation pay to employees in case of closure or cessation of operations of the establishment or undertaking not due to serious business losses or financial reverses, which was the condition obtaining at bar. CFTI failed to comply with this law-imposed duty or obligation. Consequently, its stockholder who was actively engaged in its management and operation was held personally liable.</w:t>
      </w:r>
    </w:p>
    <w:p w:rsidR="00000000" w:rsidDel="00000000" w:rsidP="00000000" w:rsidRDefault="00000000" w:rsidRPr="00000000" w14:paraId="0000042F">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E. Caurdanetaan Piece Workers Union v. Laguesma</w:t>
      </w:r>
      <w:r w:rsidDel="00000000" w:rsidR="00000000" w:rsidRPr="00000000">
        <w:rPr>
          <w:rFonts w:ascii="Georgia" w:cs="Georgia" w:eastAsia="Georgia" w:hAnsi="Georgia"/>
          <w:sz w:val="22"/>
          <w:szCs w:val="22"/>
          <w:rtl w:val="0"/>
        </w:rPr>
        <w:t xml:space="preserve"> reiterated the “four fold” test to determine the existence of employer-employee relations; namely, (1) the power to hire, (2) the payment of wages, (3) the power to dismiss and, most important, (4) the power to control. Applying this test, the Court ruled that the members of petitioner-union were regular employees. In its words:</w:t>
      </w:r>
    </w:p>
    <w:p w:rsidR="00000000" w:rsidDel="00000000" w:rsidP="00000000" w:rsidRDefault="00000000" w:rsidRPr="00000000" w14:paraId="000004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undeniable that petitioner’s members worked as </w:t>
      </w:r>
      <w:r w:rsidDel="00000000" w:rsidR="00000000" w:rsidRPr="00000000">
        <w:rPr>
          <w:rFonts w:ascii="Georgia" w:cs="Georgia" w:eastAsia="Georgia" w:hAnsi="Georgia"/>
          <w:i w:val="1"/>
          <w:iCs w:val="1"/>
          <w:sz w:val="22"/>
          <w:szCs w:val="22"/>
          <w:rtl w:val="0"/>
        </w:rPr>
        <w:t xml:space="preserve">cargadores</w:t>
      </w:r>
      <w:r w:rsidDel="00000000" w:rsidR="00000000" w:rsidRPr="00000000">
        <w:rPr>
          <w:rFonts w:ascii="Georgia" w:cs="Georgia" w:eastAsia="Georgia" w:hAnsi="Georgia"/>
          <w:sz w:val="22"/>
          <w:szCs w:val="22"/>
          <w:rtl w:val="0"/>
        </w:rPr>
        <w:t xml:space="preserve"> for private respondents. They loaded, unloaded and piled sacks of palay from the warehouses to the cargo trucks and from the cargo trucks to the buyers. This work is directly related, necessary and vital to the operations of Corfarm. Moreover, Corfarm did not even allege, much less prove, that petitioner’s members have ‘substantial capital or investment in the form of tools, equipment, machineries, [and] work premises, among others.’ Furthermore, said respondent did not contradict petitioner’s allegation that it paid wages directly to these workers without the intervention of any third-party independent contractor. It also wielded the power of dismissal over petitioners; in fact, its exercise of this power was the progenitor of the Second Case. Clearly, the workers are not independent contractors.</w:t>
      </w:r>
      <w:r w:rsidDel="00000000" w:rsidR="00000000" w:rsidRPr="00000000">
        <w:rPr>
          <w:rFonts w:ascii="Georgia" w:cs="Georgia" w:eastAsia="Georgia" w:hAnsi="Georgia"/>
          <w:sz w:val="22"/>
          <w:szCs w:val="22"/>
          <w:vertAlign w:val="superscript"/>
        </w:rPr>
        <w:footnoteReference w:customMarkFollows="0" w:id="69"/>
      </w:r>
      <w:r w:rsidDel="00000000" w:rsidR="00000000" w:rsidRPr="00000000">
        <w:rPr>
          <w:rtl w:val="0"/>
        </w:rPr>
      </w:r>
    </w:p>
    <w:p w:rsidR="00000000" w:rsidDel="00000000" w:rsidP="00000000" w:rsidRDefault="00000000" w:rsidRPr="00000000" w14:paraId="000004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“Applying Article 280" of the Labor Code, we hold that the CPWU members were regular employees of private respondents. Their tasks were essential in the usual business of private respondent.</w:t>
      </w:r>
    </w:p>
    <w:p w:rsidR="00000000" w:rsidDel="00000000" w:rsidP="00000000" w:rsidRDefault="00000000" w:rsidRPr="00000000" w14:paraId="000004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we have ruled in an earlier case, the question of whether an employer-employee relationship exists in a certain situation has bedevilled the courts. Businessmen, with the aid of lawyers, have tried to avoid or sidestep such relationships, because that juridical vinculum engenders obligations connected with workmen’s compensation, social security, medicare, minimum wage, termination pay and unionism." All too familiarly, Respondent Corfarm sought refuge from these obligations. However, the records of this case clearly support the existence of the juridical vinculum.”</w:t>
      </w:r>
    </w:p>
    <w:p w:rsidR="00000000" w:rsidDel="00000000" w:rsidP="00000000" w:rsidRDefault="00000000" w:rsidRPr="00000000" w14:paraId="000004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interest of speedy justice, the Decision I penned refused to go along with the NLRC’s ruling to remand the case to the labor arbiter. Hence, on the issue of whether petitioners had illegally been dismissed, it ruled in this wise:</w:t>
      </w:r>
      <w:r w:rsidDel="00000000" w:rsidR="00000000" w:rsidRPr="00000000">
        <w:rPr>
          <w:rFonts w:ascii="Georgia" w:cs="Georgia" w:eastAsia="Georgia" w:hAnsi="Georgia"/>
          <w:sz w:val="22"/>
          <w:szCs w:val="22"/>
          <w:vertAlign w:val="superscript"/>
        </w:rPr>
        <w:footnoteReference w:customMarkFollows="0" w:id="70"/>
      </w:r>
      <w:r w:rsidDel="00000000" w:rsidR="00000000" w:rsidRPr="00000000">
        <w:rPr>
          <w:rFonts w:ascii="Georgia" w:cs="Georgia" w:eastAsia="Georgia" w:hAnsi="Georgia"/>
          <w:sz w:val="22"/>
          <w:szCs w:val="22"/>
          <w:vertAlign w:val="superscript"/>
        </w:rPr>
        <w:footnoteReference w:customMarkFollows="0" w:id="71"/>
      </w:r>
      <w:r w:rsidDel="00000000" w:rsidR="00000000" w:rsidRPr="00000000">
        <w:rPr>
          <w:rFonts w:ascii="Georgia" w:cs="Georgia" w:eastAsia="Georgia" w:hAnsi="Georgia"/>
          <w:sz w:val="22"/>
          <w:szCs w:val="22"/>
          <w:rtl w:val="0"/>
        </w:rPr>
        <w:t xml:space="preserve"> “Why Respondent NLRC refused to rule directly on the appeal escapes us. The remand of a case or an issue to the labor arbiter for further proceedings is unnecessary, considering that the NLRC was in a position to resolve the dispute based on the records before it and particularly where the ends of justice would be served thereby." Remanding the case would needlessly delay the resolution of the case which has been pending since 1992. As already observed, the evidence on record clearly supports the findings of the labor arbiter.</w:t>
      </w:r>
    </w:p>
    <w:p w:rsidR="00000000" w:rsidDel="00000000" w:rsidP="00000000" w:rsidRDefault="00000000" w:rsidRPr="00000000" w14:paraId="000004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“Pursuant to the doctrine that this Court has a duty to settle, whenever possible, the entire controversy in a single proceeding, leaving no root or branch to bear the seeds of future litigation, we now resolve all issues.”</w:t>
      </w:r>
    </w:p>
    <w:p w:rsidR="00000000" w:rsidDel="00000000" w:rsidP="00000000" w:rsidRDefault="00000000" w:rsidRPr="00000000" w14:paraId="000004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axiomatic that in illegal dismissal cases, the employer always has the burden of proof,’* and his failure to discharge this duty results in a finding that the dismissal was unjustified.” Having defaulted from filing its position paper, Respondent Corfarm is</w:t>
      </w:r>
      <w:r w:rsidDel="00000000" w:rsidR="00000000" w:rsidRPr="00000000">
        <w:rPr>
          <w:rFonts w:ascii="Georgia" w:cs="Georgia" w:eastAsia="Georgia" w:hAnsi="Georgia"/>
          <w:sz w:val="22"/>
          <w:szCs w:val="22"/>
          <w:vertAlign w:val="superscript"/>
        </w:rPr>
        <w:footnoteReference w:customMarkFollows="0" w:id="72"/>
      </w:r>
      <w:r w:rsidDel="00000000" w:rsidR="00000000" w:rsidRPr="00000000">
        <w:rPr>
          <w:rFonts w:ascii="Georgia" w:cs="Georgia" w:eastAsia="Georgia" w:hAnsi="Georgia"/>
          <w:sz w:val="22"/>
          <w:szCs w:val="22"/>
          <w:vertAlign w:val="superscript"/>
        </w:rPr>
        <w:footnoteReference w:customMarkFollows="0" w:id="73"/>
      </w:r>
      <w:r w:rsidDel="00000000" w:rsidR="00000000" w:rsidRPr="00000000">
        <w:rPr>
          <w:rFonts w:ascii="Georgia" w:cs="Georgia" w:eastAsia="Georgia" w:hAnsi="Georgia"/>
          <w:sz w:val="22"/>
          <w:szCs w:val="22"/>
          <w:vertAlign w:val="superscript"/>
        </w:rPr>
        <w:footnoteReference w:customMarkFollows="0" w:id="74"/>
      </w:r>
      <w:r w:rsidDel="00000000" w:rsidR="00000000" w:rsidRPr="00000000">
        <w:rPr>
          <w:rFonts w:ascii="Georgia" w:cs="Georgia" w:eastAsia="Georgia" w:hAnsi="Georgia"/>
          <w:sz w:val="22"/>
          <w:szCs w:val="22"/>
          <w:vertAlign w:val="superscript"/>
        </w:rPr>
        <w:footnoteReference w:customMarkFollows="0" w:id="75"/>
      </w:r>
      <w:r w:rsidDel="00000000" w:rsidR="00000000" w:rsidRPr="00000000">
        <w:rPr>
          <w:rFonts w:ascii="Georgia" w:cs="Georgia" w:eastAsia="Georgia" w:hAnsi="Georgia"/>
          <w:sz w:val="22"/>
          <w:szCs w:val="22"/>
          <w:rtl w:val="0"/>
        </w:rPr>
        <w:t xml:space="preserve"> deemed to have waived its right to present evidence and counter the allegations of petitioner’s members.”</w:t>
      </w:r>
    </w:p>
    <w:p w:rsidR="00000000" w:rsidDel="00000000" w:rsidP="00000000" w:rsidRDefault="00000000" w:rsidRPr="00000000" w14:paraId="00000436">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F. Somerville Stainless Steel v. NLRC</w:t>
      </w:r>
      <w:r w:rsidDel="00000000" w:rsidR="00000000" w:rsidRPr="00000000">
        <w:rPr>
          <w:rFonts w:ascii="Georgia" w:cs="Georgia" w:eastAsia="Georgia" w:hAnsi="Georgia"/>
          <w:sz w:val="22"/>
          <w:szCs w:val="22"/>
          <w:rtl w:val="0"/>
        </w:rPr>
        <w:t xml:space="preserve"> discussed, among others, the sufficiency of proof of losses to justify retrenchment of workers. My ponencia held as follows:</w:t>
      </w:r>
    </w:p>
    <w:p w:rsidR="00000000" w:rsidDel="00000000" w:rsidP="00000000" w:rsidRDefault="00000000" w:rsidRPr="00000000" w14:paraId="000004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prove its loss, petitioner presented only its financial statements for the fiscal year that ended on December 31, 1992.'9 These financial statements show that the petitioner’s gross income was P7,451,981.35 and — deducting therefrom the cost of goods sold, which was P4,843,787.87, and the operating expenses of P2,714,835.15 — the net loss was P106,641.67. This net loss plus the deficit as of January 1, 1992, which was P286,354.71, resulted in the total loss of P392,996.38 as of the end of 1992.</w:t>
      </w:r>
    </w:p>
    <w:p w:rsidR="00000000" w:rsidDel="00000000" w:rsidP="00000000" w:rsidRDefault="00000000" w:rsidRPr="00000000" w14:paraId="000004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however, fall far short of the stringent requirement of the law that the employer prove sufficiently and convincingly its allegation of substantial losses. The failure of petitioner to show its income or loss for the immediately preceding years or to prove that it expected no abatement of such losses in the coming years bespeaks the weakness of its cause. The financial statement for 1992, by itself, does not sufficiently prove petitioner’s allegation that it ‘already suffered actual</w:t>
      </w:r>
      <w:r w:rsidDel="00000000" w:rsidR="00000000" w:rsidRPr="00000000">
        <w:rPr>
          <w:rFonts w:ascii="Georgia" w:cs="Georgia" w:eastAsia="Georgia" w:hAnsi="Georgia"/>
          <w:sz w:val="22"/>
          <w:szCs w:val="22"/>
          <w:vertAlign w:val="superscript"/>
        </w:rPr>
        <w:footnoteReference w:customMarkFollows="0" w:id="76"/>
      </w:r>
      <w:r w:rsidDel="00000000" w:rsidR="00000000" w:rsidRPr="00000000">
        <w:rPr>
          <w:rFonts w:ascii="Georgia" w:cs="Georgia" w:eastAsia="Georgia" w:hAnsi="Georgia"/>
          <w:sz w:val="22"/>
          <w:szCs w:val="22"/>
          <w:rtl w:val="0"/>
        </w:rPr>
        <w:t xml:space="preserve"> serious losses,’”2° because it does not show whether its losses increased or decreased. Although the petitioner posted a loss for 1992, it is also possible that such loss was considerably less than those previously incurred, thereby indicating the company’s improving condition.”</w:t>
      </w:r>
    </w:p>
    <w:p w:rsidR="00000000" w:rsidDel="00000000" w:rsidP="00000000" w:rsidRDefault="00000000" w:rsidRPr="00000000" w14:paraId="000004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in AG&amp;P,” the employer sufficiently proved its case when it presented proof that its income continuously decreased from P205 million in 1984, P175 million in 1985, to P101 million in 1986 and, eventually, to a loss of P34 million in 1987 prior to the retrenchment it effected in 1988. Afterwards, it submitted to the NLRC further evidence showing that it incurred a loss of P176 million in 1990. All these proofs showed that its losses were substantial and urgent enough to justify retrenchment. In North Davao Mining Corporation? the employer presented proof that it suffered net losses averaging three billion pesos (P3,000,000,000) a year for five years prior to its closure. In the instant case, petitioner insists that its total deficit or accumulated losses as of December 31, 1992 were exactly 98.25% of the stockholder’s equity for the same year. This percentage by itself does not conclusively prove that the petitioner could have avoided substantial losses only through retrenchment.</w:t>
      </w:r>
      <w:r w:rsidDel="00000000" w:rsidR="00000000" w:rsidRPr="00000000">
        <w:rPr>
          <w:rFonts w:ascii="Georgia" w:cs="Georgia" w:eastAsia="Georgia" w:hAnsi="Georgia"/>
          <w:sz w:val="22"/>
          <w:szCs w:val="22"/>
          <w:vertAlign w:val="superscript"/>
        </w:rPr>
        <w:footnoteReference w:customMarkFollows="0" w:id="77"/>
      </w:r>
      <w:r w:rsidDel="00000000" w:rsidR="00000000" w:rsidRPr="00000000">
        <w:rPr>
          <w:rFonts w:ascii="Georgia" w:cs="Georgia" w:eastAsia="Georgia" w:hAnsi="Georgia"/>
          <w:sz w:val="22"/>
          <w:szCs w:val="22"/>
          <w:vertAlign w:val="superscript"/>
        </w:rPr>
        <w:footnoteReference w:customMarkFollows="0" w:id="78"/>
      </w:r>
      <w:r w:rsidDel="00000000" w:rsidR="00000000" w:rsidRPr="00000000">
        <w:rPr>
          <w:rFonts w:ascii="Georgia" w:cs="Georgia" w:eastAsia="Georgia" w:hAnsi="Georgia"/>
          <w:sz w:val="22"/>
          <w:szCs w:val="22"/>
          <w:vertAlign w:val="superscript"/>
        </w:rPr>
        <w:footnoteReference w:customMarkFollows="0" w:id="79"/>
      </w:r>
      <w:r w:rsidDel="00000000" w:rsidR="00000000" w:rsidRPr="00000000">
        <w:rPr>
          <w:rtl w:val="0"/>
        </w:rPr>
      </w:r>
    </w:p>
    <w:p w:rsidR="00000000" w:rsidDel="00000000" w:rsidP="00000000" w:rsidRDefault="00000000" w:rsidRPr="00000000" w14:paraId="0000043A">
      <w:pPr>
        <w:rPr>
          <w:rFonts w:ascii="Georgia" w:cs="Georgia" w:eastAsia="Georgia" w:hAnsi="Georgia"/>
          <w:sz w:val="22"/>
          <w:szCs w:val="22"/>
        </w:rPr>
      </w:pPr>
      <w:sdt>
        <w:sdtPr>
          <w:id w:val="-974377708"/>
          <w:tag w:val="goog_rdk_0"/>
        </w:sdtPr>
        <w:sdtContent>
          <w:r w:rsidDel="00000000" w:rsidR="00000000" w:rsidRPr="00000000">
            <w:rPr>
              <w:rFonts w:ascii="Cardo" w:cs="Cardo" w:eastAsia="Cardo" w:hAnsi="Cardo"/>
              <w:sz w:val="22"/>
              <w:szCs w:val="22"/>
              <w:rtl w:val="0"/>
            </w:rPr>
            <w:t xml:space="preserve">“Indeed, in the analysis of financial statements, ‘(o)ne particular percentage or relationship may not be too significant in itself’; that is, it may not suffice to point out those unfavorable characteristics of the company that would require immediate or even drastic action.™ In view of petitioner’s failure to prove that its alleged losses were substantial, continuing and without any immediate prospect of abating, the bona fide nature of the retrenchment appears to be seriously in question.”</w:t>
          </w:r>
        </w:sdtContent>
      </w:sdt>
    </w:p>
    <w:p w:rsidR="00000000" w:rsidDel="00000000" w:rsidP="00000000" w:rsidRDefault="00000000" w:rsidRPr="00000000" w14:paraId="0000043B">
      <w:pPr>
        <w:rPr>
          <w:rFonts w:ascii="Georgia" w:cs="Georgia" w:eastAsia="Georgia" w:hAnsi="Georgia"/>
          <w:sz w:val="22"/>
          <w:szCs w:val="22"/>
        </w:rPr>
      </w:pPr>
      <w:r w:rsidDel="00000000" w:rsidR="00000000" w:rsidRPr="00000000">
        <w:rPr>
          <w:rFonts w:ascii="Georgia" w:cs="Georgia" w:eastAsia="Georgia" w:hAnsi="Georgia"/>
          <w:b w:val="1"/>
          <w:bCs w:val="1"/>
          <w:sz w:val="22"/>
          <w:szCs w:val="22"/>
          <w:rtl w:val="0"/>
        </w:rPr>
        <w:t xml:space="preserve">G. In Pascua v. NLRC,</w:t>
      </w:r>
      <w:r w:rsidDel="00000000" w:rsidR="00000000" w:rsidRPr="00000000">
        <w:rPr>
          <w:rFonts w:ascii="Georgia" w:cs="Georgia" w:eastAsia="Georgia" w:hAnsi="Georgia"/>
          <w:sz w:val="22"/>
          <w:szCs w:val="22"/>
          <w:rtl w:val="0"/>
        </w:rPr>
        <w:t xml:space="preserve"> I reiterated the general rule that resignation must be made voluntarily and accompanied by an intention of relinquishing the office and by an act of relinquishment. To allow an employer to dismiss an employee based on mere allegations and generalizations would place the latter at the mercy of the former, and the right to security of tenure would be unduly emasculated.</w:t>
      </w:r>
    </w:p>
    <w:p w:rsidR="00000000" w:rsidDel="00000000" w:rsidP="00000000" w:rsidRDefault="00000000" w:rsidRPr="00000000" w14:paraId="000004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to reinstatement with full back wages and other benefits, the petitioners in this case were awarded moral damages and attorney’s fees, because their dismissal “was attended by bad faith or constituted an act oppressive to labor or was done in a manner contrary to morals, good customs or public policy.” Ruled the Court:</w:t>
      </w:r>
    </w:p>
    <w:p w:rsidR="00000000" w:rsidDel="00000000" w:rsidP="00000000" w:rsidRDefault="00000000" w:rsidRPr="00000000" w14:paraId="000004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cases involving breaches of contracts, moral damages may also be awarded where</w:t>
      </w:r>
    </w:p>
    <w:p w:rsidR="00000000" w:rsidDel="00000000" w:rsidP="00000000" w:rsidRDefault="00000000" w:rsidRPr="00000000" w14:paraId="000004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Balasbas v. National Labor Relations Commission, 212 SCRA 803, 808, August 24, 1992, per Romero, J.</w:t>
      </w:r>
      <w:r w:rsidDel="00000000" w:rsidR="00000000" w:rsidRPr="00000000">
        <w:rPr>
          <w:rFonts w:ascii="Georgia" w:cs="Georgia" w:eastAsia="Georgia" w:hAnsi="Georgia"/>
          <w:sz w:val="22"/>
          <w:szCs w:val="22"/>
          <w:vertAlign w:val="superscript"/>
        </w:rPr>
        <w:footnoteReference w:customMarkFollows="0" w:id="80"/>
      </w:r>
      <w:r w:rsidDel="00000000" w:rsidR="00000000" w:rsidRPr="00000000">
        <w:rPr>
          <w:rFonts w:ascii="Georgia" w:cs="Georgia" w:eastAsia="Georgia" w:hAnsi="Georgia"/>
          <w:sz w:val="22"/>
          <w:szCs w:val="22"/>
          <w:vertAlign w:val="superscript"/>
        </w:rPr>
        <w:footnoteReference w:customMarkFollows="0" w:id="81"/>
      </w:r>
      <w:r w:rsidDel="00000000" w:rsidR="00000000" w:rsidRPr="00000000">
        <w:rPr>
          <w:rFonts w:ascii="Georgia" w:cs="Georgia" w:eastAsia="Georgia" w:hAnsi="Georgia"/>
          <w:sz w:val="22"/>
          <w:szCs w:val="22"/>
          <w:vertAlign w:val="superscript"/>
        </w:rPr>
        <w:footnoteReference w:customMarkFollows="0" w:id="82"/>
      </w:r>
      <w:r w:rsidDel="00000000" w:rsidR="00000000" w:rsidRPr="00000000">
        <w:rPr>
          <w:rtl w:val="0"/>
        </w:rPr>
      </w:r>
    </w:p>
    <w:p w:rsidR="00000000" w:rsidDel="00000000" w:rsidP="00000000" w:rsidRDefault="00000000" w:rsidRPr="00000000" w14:paraId="000004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defendant acted fraudulently or in bad faith.” Good faith refers to a state of mind, which is manifested by the acts of the individual concerned. It consists of an intention to abstain from taking an unconscionable and unscrupulous advantage of another.® Henry Lao’s dismissals of petitioners, except Santos who resigned, was marked by precipitate dispatch and utter disregard of due process. Clearly, Lao abused his position as an employer.</w:t>
      </w:r>
    </w:p>
    <w:p w:rsidR="00000000" w:rsidDel="00000000" w:rsidP="00000000" w:rsidRDefault="00000000" w:rsidRPr="00000000" w14:paraId="000004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well-settled that, for dismissals to be valid, not only must employers show sufficient ground therefor, but must also prove that they observed procedural due process by giving their employees two notices — first, of the intention to dismiss, indicating therein their acts or omissions complained against; and, second, of the decision to dismiss — and, in between such notices, an opportunity for them to answer and rebut the charges against them.” In the present case, not only was the private respondent's dismissal of petitioners without just cause; it was also without procedural due process.</w:t>
      </w:r>
    </w:p>
    <w:p w:rsidR="00000000" w:rsidDel="00000000" w:rsidP="00000000" w:rsidRDefault="00000000" w:rsidRPr="00000000" w14:paraId="00000441">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“Attorney’s fees may likewise be awarded, for concerned petitioners were dismissed in bad faith.° Petitioner Pascua was summarily dismissed. Petitioner De Castro was also dismissed without due process after she demanded to be paid her correct wages as mandated by labor laws. Petitioner Soriano, in spite of her explanation in answer to the capricious charges raised by Henry Lao, was still summarily dismissed. Attorney’s fees may be awarded when petitioners, illegally dismissed in bad faith, are compelled to litigate or incur expenses to protect their rights by reason of the acts and the omissions of their employers.”</w:t>
      </w:r>
      <w:r w:rsidDel="00000000" w:rsidR="00000000" w:rsidRPr="00000000">
        <w:rPr>
          <w:rtl w:val="0"/>
        </w:rPr>
      </w:r>
    </w:p>
    <w:p w:rsidR="00000000" w:rsidDel="00000000" w:rsidP="00000000" w:rsidRDefault="00000000" w:rsidRPr="00000000" w14:paraId="00000442">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12</w:t>
      </w:r>
    </w:p>
    <w:p w:rsidR="00000000" w:rsidDel="00000000" w:rsidP="00000000" w:rsidRDefault="00000000" w:rsidRPr="00000000" w14:paraId="000004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Republic v. Molina: </w:t>
      </w:r>
    </w:p>
    <w:p w:rsidR="00000000" w:rsidDel="00000000" w:rsidP="00000000" w:rsidRDefault="00000000" w:rsidRPr="00000000" w14:paraId="000004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Setting the Procedure for </w:t>
      </w:r>
    </w:p>
    <w:p w:rsidR="00000000" w:rsidDel="00000000" w:rsidP="00000000" w:rsidRDefault="00000000" w:rsidRPr="00000000" w14:paraId="000004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Nullifying a Marriage</w:t>
      </w:r>
    </w:p>
    <w:p w:rsidR="00000000" w:rsidDel="00000000" w:rsidP="00000000" w:rsidRDefault="00000000" w:rsidRPr="00000000" w14:paraId="000004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Family Code in Article 36’ provided an entirely new ground to void a marriage: “psychological incapacity.” Since the effectivity of the Code, our courts have been swamped with petitions to declare marriages void on this ground. Invariably, Article 36 was used, abused and misused as a convenient “divorce law,” not merely one that provided a new ground for declaring a marriage inexistent from the beginning.</w:t>
      </w:r>
    </w:p>
    <w:p w:rsidR="00000000" w:rsidDel="00000000" w:rsidP="00000000" w:rsidRDefault="00000000" w:rsidRPr="00000000" w14:paraId="000004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Petition in Republic v. Molina? the Office of the Solicitor General (OSG) labeled Article 36 as the</w:t>
      </w:r>
      <w:r w:rsidDel="00000000" w:rsidR="00000000" w:rsidRPr="00000000">
        <w:rPr>
          <w:rFonts w:ascii="Georgia" w:cs="Georgia" w:eastAsia="Georgia" w:hAnsi="Georgia"/>
          <w:sz w:val="22"/>
          <w:szCs w:val="22"/>
          <w:vertAlign w:val="superscript"/>
        </w:rPr>
        <w:footnoteReference w:customMarkFollows="0" w:id="83"/>
      </w:r>
      <w:r w:rsidDel="00000000" w:rsidR="00000000" w:rsidRPr="00000000">
        <w:rPr>
          <w:rFonts w:ascii="Georgia" w:cs="Georgia" w:eastAsia="Georgia" w:hAnsi="Georgia"/>
          <w:sz w:val="22"/>
          <w:szCs w:val="22"/>
          <w:vertAlign w:val="superscript"/>
        </w:rPr>
        <w:footnoteReference w:customMarkFollows="0" w:id="84"/>
      </w:r>
      <w:r w:rsidDel="00000000" w:rsidR="00000000" w:rsidRPr="00000000">
        <w:rPr>
          <w:rFonts w:ascii="Georgia" w:cs="Georgia" w:eastAsia="Georgia" w:hAnsi="Georgia"/>
          <w:sz w:val="22"/>
          <w:szCs w:val="22"/>
          <w:vertAlign w:val="superscript"/>
        </w:rPr>
        <w:footnoteReference w:customMarkFollows="0" w:id="85"/>
      </w:r>
      <w:r w:rsidDel="00000000" w:rsidR="00000000" w:rsidRPr="00000000">
        <w:rPr>
          <w:rFonts w:ascii="Georgia" w:cs="Georgia" w:eastAsia="Georgia" w:hAnsi="Georgia"/>
          <w:sz w:val="22"/>
          <w:szCs w:val="22"/>
          <w:rtl w:val="0"/>
        </w:rPr>
        <w:t xml:space="preserve"> “most liberal divorce procedure in the world.” Hence, it asked the Court not only to decide the dispute between Spouses Reynaldo and Roridel Molina, but also to issue procedural guidelines for implementing this new way of voiding a marriage.</w:t>
      </w:r>
    </w:p>
    <w:p w:rsidR="00000000" w:rsidDel="00000000" w:rsidP="00000000" w:rsidRDefault="00000000" w:rsidRPr="00000000" w14:paraId="0000044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4C">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Roridel Olaviano Molina filed in the Regional Trial Court (RTC) of La Trinidad (Benguet) a verified Petition praying for the declaration of nullity of her marriage. She stated therein that she had married Reynaldo Molina on April 14, 1985 at the San Agustin Church in Manila. As a result of the union, a son, Andre O. Molina, was born.</w:t>
      </w:r>
    </w:p>
    <w:p w:rsidR="00000000" w:rsidDel="00000000" w:rsidP="00000000" w:rsidRDefault="00000000" w:rsidRPr="00000000" w14:paraId="000004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year of marriage, Reynaldo showed signs of “immaturity and irresponsibility” as a husband and father. He preferred to spend more time with his peers and friends on whom he squandered his money, depended on his parents for aid and assistance, and was never honest with his wife in regard to their finances. Consequently, frequent quarrels ensued between them.</w:t>
      </w:r>
    </w:p>
    <w:p w:rsidR="00000000" w:rsidDel="00000000" w:rsidP="00000000" w:rsidRDefault="00000000" w:rsidRPr="00000000" w14:paraId="000004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Sometime in February 1986, Reynaldo was relieved of his job in Manila. Since then she became the breadwinner of the family. In October 1986, they had a very intense quarrel, as a result of which their relationship was estranged. Five months after, in March 1987, she resigned from her job in Manila and went to live with her parents in Baguio City. A few weeks later, Reynaldo left her and their child and since then abandoned them.</w:t>
      </w:r>
    </w:p>
    <w:p w:rsidR="00000000" w:rsidDel="00000000" w:rsidP="00000000" w:rsidRDefault="00000000" w:rsidRPr="00000000" w14:paraId="00000450">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Roridel argued that her husband’s conduct showed he was psychologically incapable of</w:t>
      </w:r>
      <w:r w:rsidDel="00000000" w:rsidR="00000000" w:rsidRPr="00000000">
        <w:rPr>
          <w:rFonts w:ascii="Georgia" w:cs="Georgia" w:eastAsia="Georgia" w:hAnsi="Georgia"/>
          <w:sz w:val="22"/>
          <w:szCs w:val="22"/>
          <w:rtl w:val="0"/>
        </w:rPr>
        <w:t xml:space="preserve"> complying with essential marital obligations. He was allegedly a highly immature and habitually quarrelsome individual, who thought of himself as a king to be served. She concluded that under Article 36 of the Family Code, it would be to the couple’s best interest to have their marriage declared null and void, in order to free them from what appeared to be an incompatible marriage from the start.</w:t>
      </w:r>
    </w:p>
    <w:p w:rsidR="00000000" w:rsidDel="00000000" w:rsidP="00000000" w:rsidRDefault="00000000" w:rsidRPr="00000000" w14:paraId="000004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Answer, Reynaldo admitted that he and Roridel could no longer live together as husband and wife, but contended that their misunderstandings and frequent quarrels were due to (a) her strange behavior of insisting on maintaining her group of friends even after their marriage, (b) her refusal to perform some of her marital duties such as cooking meals, and (c) her failure to run the household and handle their finances.</w:t>
      </w:r>
    </w:p>
    <w:p w:rsidR="00000000" w:rsidDel="00000000" w:rsidP="00000000" w:rsidRDefault="00000000" w:rsidRPr="00000000" w14:paraId="000004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RTC rendered judgment declaring the marriage void. The Court of Appeals (CA) affirmed the RTC’s Decision. Disagreeing, the Republic of the Philippines through the OSG asked the Supreme Court to review the judgment of the lower courts.</w:t>
      </w:r>
    </w:p>
    <w:p w:rsidR="00000000" w:rsidDel="00000000" w:rsidP="00000000" w:rsidRDefault="00000000" w:rsidRPr="00000000" w14:paraId="0000045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4">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w:t>
      </w:r>
    </w:p>
    <w:p w:rsidR="00000000" w:rsidDel="00000000" w:rsidP="00000000" w:rsidRDefault="00000000" w:rsidRPr="00000000" w14:paraId="000004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Should the marriage of a petitioner with her husband be voided on the ground of psychological incapacity?</w:t>
      </w:r>
    </w:p>
    <w:p w:rsidR="00000000" w:rsidDel="00000000" w:rsidP="00000000" w:rsidRDefault="00000000" w:rsidRPr="00000000" w14:paraId="0000045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57">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the marriage should not be voided on such ground. The Court ruled that the meaning of psychological incapacity should be confined to the most serious cases of personality disorders indicating “utter insensitivity or inability to give meaning and significance to the marriage.” Such condition must be characterized by (a) gravity, (b) juridical antecedence, and (c) incurability. Furthermore, it must be shown to have already existed at the time the marriage was celebrated.</w:t>
      </w:r>
    </w:p>
    <w:p w:rsidR="00000000" w:rsidDel="00000000" w:rsidP="00000000" w:rsidRDefault="00000000" w:rsidRPr="00000000" w14:paraId="000004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present case, there was no clear showing that the psychological defect cited was an incapacity. It appeared to be more of a “difficulty,” if not outright “negligence” in the performance of some marital obligations or “refusal” to perform them. A mere showing of “irreconcilable differences” and “conflicting personalities” did not in any way constitute psychological incapacity. It was not enough to prove that the parties failed to meet their responsibilities and duties as married persons; they must also be shown to have been incapable of doing so because of some psychological (not physical) illness.</w:t>
      </w:r>
    </w:p>
    <w:p w:rsidR="00000000" w:rsidDel="00000000" w:rsidP="00000000" w:rsidRDefault="00000000" w:rsidRPr="00000000" w14:paraId="000004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real significance of this Decision was not in the refusal to declare the Molina marriage void, but in the formulation of procedural rules for the evaluation of similar cases. Indeed, the function of the Supreme Court is to teach and to open new vistas. Hence, to guide the bench, the bar and the public in interpreting and applying “psychological incapacity” as a ground for declaring marriages void, the Court issued the following guidelines:</w:t>
      </w:r>
    </w:p>
    <w:p w:rsidR="00000000" w:rsidDel="00000000" w:rsidP="00000000" w:rsidRDefault="00000000" w:rsidRPr="00000000" w14:paraId="000004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burden of proof to show the nullity of the marriage belongs to the plaintiff. Any doubt should be resolved in favor of the existence and continuation of the marriage and against its dissolution and nullity. This is rooted in the fact that both our Constitution and our laws cherish the validity of marriage and unity of the family. Thus, our Constitution devotes an entire Article on the Family,’ recognizing it ‘as the foundation of the nation.’ It decrees marriage as legally ‘inviolable,’ thereby protecting it from » dissolution at the whim of the parties. Both the family and marriage are to be ‘protected’ by the state.</w:t>
      </w:r>
    </w:p>
    <w:p w:rsidR="00000000" w:rsidDel="00000000" w:rsidP="00000000" w:rsidRDefault="00000000" w:rsidRPr="00000000" w14:paraId="000004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Family Code‘ echoes this constitutional edict on marriage and the family and emphasizes their permanence, inviolability and solidarity.</w:t>
      </w:r>
    </w:p>
    <w:p w:rsidR="00000000" w:rsidDel="00000000" w:rsidP="00000000" w:rsidRDefault="00000000" w:rsidRPr="00000000" w14:paraId="000004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root cause of the psychological incapacity must be: (a) medically or clinically identified, (b) alleged in the complaint, (c) sufficiently proven by experts and (d) clearly explained in the decision. Article 36 of the Family Code requires that the incapacity must be psychological — not physical, although its manifestations and/or symptoms may be physical. The evidence must convince the court that the parties, or one of them, was mentally or psychically ill to such an extent that the person could not have known the obligations he was assuming, or knowing them, could not have given valid assumption thereof. Although no example of such incapacity need be given here so as not to limit the application of the provision under the principle of ejusdem generis,’ nevertheless such root cause must be identified as a psychological illness and its incapacitating nature fully explained. Expert evidence may be given by qualified psychiatrists and clinical psychologists.</w:t>
      </w:r>
    </w:p>
    <w:p w:rsidR="00000000" w:rsidDel="00000000" w:rsidP="00000000" w:rsidRDefault="00000000" w:rsidRPr="00000000" w14:paraId="000004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incapacity must be proven to be existing at ‘the time of the celebration’ of the marriage. The evidence must show that the illness was existing when the parties exchanged their ‘I do’s.’ The manifestation of the illness need not be perceivable at such time, but the illness itself must have attached at such moment, or prior thereto.</w:t>
      </w:r>
    </w:p>
    <w:p w:rsidR="00000000" w:rsidDel="00000000" w:rsidP="00000000" w:rsidRDefault="00000000" w:rsidRPr="00000000" w14:paraId="000004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Such incapacity must also be shown to be medically or clinically permanent or incurable. Such incurability may be absolute or even relative only in regard to the other spouse, not necessarily absolutely against everyone of the same sex. Furthermore, such incapacity must be relevant to the assumption of marriage obligations, not necessarily to those not related to marriage, like the exercise of a profession or employment in a job. Hence, a pediatrician may be effective in diagnosing illnesses of children and prescribing medicine to cure them but may not be psychologically capacitated to procreate, bear and raise his/her own children as an essential obligation of marriage.</w:t>
      </w:r>
    </w:p>
    <w:p w:rsidR="00000000" w:rsidDel="00000000" w:rsidP="00000000" w:rsidRDefault="00000000" w:rsidRPr="00000000" w14:paraId="000004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Such illness must be grave enough to bring about the disability of the party to assume the essential obligations of marriage. Thus, ‘mild characteriological peculiarities, mood changes, occasional emotional outbursts’ cannot be accepted as root causes. The illness must be shown as downright incapacity or inability, not a refusal, neglect or difficulty, much less ill will. In other words, there is a natal or supervening disabling factor in the person, an adverse integral element in the personality structure that effectively incapacitates the person from really accepting and thereby complying with the obligations essential to marriage.</w:t>
      </w:r>
    </w:p>
    <w:p w:rsidR="00000000" w:rsidDel="00000000" w:rsidP="00000000" w:rsidRDefault="00000000" w:rsidRPr="00000000" w14:paraId="000004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The essential marital obligations must be those embraced by Articles 68 up to 71 of the Family Code as regards the husband and wife as well as Articles 220, 221 and 225 of the same Code in regard to parents and their children. Such non-complied marital obligation[s] must also be stated in the petition, proven by evidence and included in the text of the decision.</w:t>
      </w:r>
    </w:p>
    <w:p w:rsidR="00000000" w:rsidDel="00000000" w:rsidP="00000000" w:rsidRDefault="00000000" w:rsidRPr="00000000" w14:paraId="000004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Interpretations given by the National Appellate Matrimonial Tribunal of the Catholic Church in the Philippines, while not controlling or decisive, should be given great respect by our courts. It is clear that Article 36 was taken by the Family Code Revision Committee from Canon 1095 of the New Code of Canon Law, which became effective in 1983 and which provides:</w:t>
      </w:r>
    </w:p>
    <w:p w:rsidR="00000000" w:rsidDel="00000000" w:rsidP="00000000" w:rsidRDefault="00000000" w:rsidRPr="00000000" w14:paraId="000004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are incapable of contracting marriage: Those who are unable to assume the essential obligations of marriage due to causes of psychological nature.”</w:t>
      </w:r>
    </w:p>
    <w:p w:rsidR="00000000" w:rsidDel="00000000" w:rsidP="00000000" w:rsidRDefault="00000000" w:rsidRPr="00000000" w14:paraId="000004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purpose of including such provision in our Family Code is to harmonize our civil laws with the religious faith of our people, it stands to reason that to achieve such harmonization, great persuasive weight should be given to decisions of such appellate tribunal. Ideally — subject to our law on evidence — what is decreed as canonically invalid should also be decreed civilly void.</w:t>
      </w:r>
    </w:p>
    <w:p w:rsidR="00000000" w:rsidDel="00000000" w:rsidP="00000000" w:rsidRDefault="00000000" w:rsidRPr="00000000" w14:paraId="000004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one instance where, in view of the evident source and purpose of the Family Code provision, contemporaneous religious interpretation is to be given persuasive effect. Here, the State and the Church - while remaining independent, separate and apart from each other — shall walk together in synodal cadence towards the same goal of protecting and cherishing marriage and the family as the inviolable base of the nation.</w:t>
      </w:r>
    </w:p>
    <w:p w:rsidR="00000000" w:rsidDel="00000000" w:rsidP="00000000" w:rsidRDefault="00000000" w:rsidRPr="00000000" w14:paraId="000004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The trial court must order the prosecuting attorney or fiscal and the Solicitor General to appear as counsel for the state. No decision shall be handed down unless the Solicitor General issues a certification, which will be quoted in the decision, briefly stating -therein his reasons for his agreement or opposition, as the case may be, to the petition. The Solicitor General, along with the prosecuting attorney, shall submit to the court such certification within fifteen (15) days from the date the case is deemed submitted for resolution of the court. The Solicitor General shall discharge the equivalent function of the defensor vinculi contemplated under Canon 1095.”</w:t>
      </w:r>
    </w:p>
    <w:p w:rsidR="00000000" w:rsidDel="00000000" w:rsidP="00000000" w:rsidRDefault="00000000" w:rsidRPr="00000000" w14:paraId="00000467">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My ponencia was unanimously carried by the full 15-member Court. In spite of this fact, the Decision is criticized by many lawyers for its alleged “strictness.” My standard reply is that Molina is strict only insofar as Article 36 is construed as a divorce law, but reasonable insofar as it was correctly deemed as a ground for declaring a marriage void, not “ended”; one that has never been, and therefore could not be, a“cut.”</w:t>
      </w:r>
      <w:r w:rsidDel="00000000" w:rsidR="00000000" w:rsidRPr="00000000">
        <w:rPr>
          <w:rtl w:val="0"/>
        </w:rPr>
      </w:r>
    </w:p>
    <w:p w:rsidR="00000000" w:rsidDel="00000000" w:rsidP="00000000" w:rsidRDefault="00000000" w:rsidRPr="00000000" w14:paraId="000004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should add that three members of the Court, while concurring in the Decision, wrote Separate Opinions. Justice Padilla explained why he was concurring in this case, even if he had dissented in Santos v. Court of Appeals.’ On the other hand, Justice Romero clarified that “neither should the incapacity be the result of mental illness. For if it were due to insanity or defect in mental faculties short of insanity, there would be a resultant defect or vice of consent, thus rendering the marriage annullable under Article 45 of the Family Code.” She also explained the proceedings in the Civil Code Revision Committee which had drafted the Family Code and provided a “brief historical note on the Old Canon Law (1917).” Justice Vitug’s Concurring Opinion reiterated the tests for determining psychological incapacity, as laid down in Santos v. Court of Appeals which he had penned.</w:t>
      </w:r>
    </w:p>
    <w:p w:rsidR="00000000" w:rsidDel="00000000" w:rsidP="00000000" w:rsidRDefault="00000000" w:rsidRPr="00000000" w14:paraId="0000046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13</w:t>
      </w:r>
    </w:p>
    <w:p w:rsidR="00000000" w:rsidDel="00000000" w:rsidP="00000000" w:rsidRDefault="00000000" w:rsidRPr="00000000" w14:paraId="000004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Obosa v. Court of Appeals: </w:t>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Authority to Approve Bail Bonds </w:t>
      </w:r>
    </w:p>
    <w:p w:rsidR="00000000" w:rsidDel="00000000" w:rsidP="00000000" w:rsidRDefault="00000000" w:rsidRPr="00000000" w14:paraId="000004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 Appealed Cases</w:t>
      </w:r>
    </w:p>
    <w:p w:rsidR="00000000" w:rsidDel="00000000" w:rsidP="00000000" w:rsidRDefault="00000000" w:rsidRPr="00000000" w14:paraId="000004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begin my discussion of Obosa v. Court of Appeals! with a synopsis of the facts, issues and ruling.</w:t>
      </w:r>
    </w:p>
    <w:p w:rsidR="00000000" w:rsidDel="00000000" w:rsidP="00000000" w:rsidRDefault="00000000" w:rsidRPr="00000000" w14:paraId="0000047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7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Jose T. Obosa and three others were charged with the double murder of then Secretary of Local Governments Jaime N. Ferrer and his driver Jesus D. Calderon. Because murder was (and still is) a capital offense, Obosa was not allowed bail and was thus detained during the trial. At the time of the killing, he was an escapee from the National Penitentiary at</w:t>
      </w:r>
      <w:r w:rsidDel="00000000" w:rsidR="00000000" w:rsidRPr="00000000">
        <w:rPr>
          <w:rFonts w:ascii="Georgia" w:cs="Georgia" w:eastAsia="Georgia" w:hAnsi="Georgia"/>
          <w:sz w:val="22"/>
          <w:szCs w:val="22"/>
          <w:vertAlign w:val="superscript"/>
        </w:rPr>
        <w:footnoteReference w:customMarkFollows="0" w:id="86"/>
      </w:r>
      <w:r w:rsidDel="00000000" w:rsidR="00000000" w:rsidRPr="00000000">
        <w:rPr>
          <w:rFonts w:ascii="Georgia" w:cs="Georgia" w:eastAsia="Georgia" w:hAnsi="Georgia"/>
          <w:sz w:val="22"/>
          <w:szCs w:val="22"/>
          <w:rtl w:val="0"/>
        </w:rPr>
        <w:t xml:space="preserve"> Muntinlupa where he was serving a prison term for robbery. He was escorted out of prison by virtue of a subpoena illegally issued by a judge of the MTC of Sariaya, Quezon, who had purportedly needed his presence so that he could inquire on the whereabouts of the accused. While out of prison, Obosa was implicated in the ambush-slaying of Ferrer and Calderon.</w:t>
      </w:r>
    </w:p>
    <w:p w:rsidR="00000000" w:rsidDel="00000000" w:rsidP="00000000" w:rsidRDefault="00000000" w:rsidRPr="00000000" w14:paraId="000004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May 31, 1990 Decision, the RTC of Makati found Obosa guilty of homicide, not murder, on two counts. On the same date, it granted his Manifestation to appeal and to post bail. Thereafter, on June 1, 1990, the lower court approved the bail bond and issued an Order of release. The prison authorities at the National Penitentiary promptly complied with the Order on June 4, 1990, notwithstanding that he was also serving a prison term for a separate case of robbery.</w:t>
      </w:r>
    </w:p>
    <w:p w:rsidR="00000000" w:rsidDel="00000000" w:rsidP="00000000" w:rsidRDefault="00000000" w:rsidRPr="00000000" w14:paraId="000004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Acting on a Motion filed by the Office of the Solicitor General (OSG), a special five-person Division of the Court of Appeals (CA) issued a Resolution canceling the bail bond of Obosa, nullifying the trial court’s Order granting bail, and issuing a warrant for his immediate arrest. Hence, he elevated the matter to the Supreme Court.</w:t>
      </w:r>
    </w:p>
    <w:p w:rsidR="00000000" w:rsidDel="00000000" w:rsidP="00000000" w:rsidRDefault="00000000" w:rsidRPr="00000000" w14:paraId="0000047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77">
      <w:pP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Issue </w:t>
      </w:r>
      <w:r w:rsidDel="00000000" w:rsidR="00000000" w:rsidRPr="00000000">
        <w:rPr>
          <w:rtl w:val="0"/>
        </w:rPr>
      </w:r>
    </w:p>
    <w:p w:rsidR="00000000" w:rsidDel="00000000" w:rsidP="00000000" w:rsidRDefault="00000000" w:rsidRPr="00000000" w14:paraId="00000478">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1. Did the trial court have jurisdiction to approve</w:t>
      </w:r>
    </w:p>
    <w:p w:rsidR="00000000" w:rsidDel="00000000" w:rsidP="00000000" w:rsidRDefault="00000000" w:rsidRPr="00000000" w14:paraId="000004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petitioner's bail bond?</w:t>
      </w:r>
    </w:p>
    <w:p w:rsidR="00000000" w:rsidDel="00000000" w:rsidP="00000000" w:rsidRDefault="00000000" w:rsidRPr="00000000" w14:paraId="000004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Was petitioner entitled to bail as a matter of right pending review of his conviction for homicide?</w:t>
      </w:r>
    </w:p>
    <w:p w:rsidR="00000000" w:rsidDel="00000000" w:rsidP="00000000" w:rsidRDefault="00000000" w:rsidRPr="00000000" w14:paraId="0000047B">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No, the trial court had no such jurisdiction. It had the authority to grant bail at the time it did, but not to approve the bail bond and issue the Release Order after the appeal had already been perfected.</w:t>
      </w:r>
    </w:p>
    <w:p w:rsidR="00000000" w:rsidDel="00000000" w:rsidP="00000000" w:rsidRDefault="00000000" w:rsidRPr="00000000" w14:paraId="000004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No, petitioner was not entitled to bail. True, homicide was a bailable offense, but the Information charged him with murder, which was non-bailable. At the time of his conviction, the rules on bail, prior to their amendment by Administrative Circular 12-94, did not favor his cause. In Quemel v. CA et al., the Court has held that an appeal in a criminal case opens for review of the whole case including the factual questions, and even the penalty which may be increased. Thus, the possibility of conviction for the original charge is ever present. Likewise, if the prosecution has previously demonstrated that the evidence of guilt is strong, as it had done in the present case, such determination subsists even on appeal despite conviction for a lesser offense.</w:t>
      </w:r>
    </w:p>
    <w:p w:rsidR="00000000" w:rsidDel="00000000" w:rsidP="00000000" w:rsidRDefault="00000000" w:rsidRPr="00000000" w14:paraId="000004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grant of bail is initially at the discretion of the trial court, that discretion should be exercised with caution and only for strong reasons, with the end in view of upholding law and justice. It is thus best to lodge in the appellate court the discretion on whether to grant bail in appealed cases.</w:t>
      </w:r>
    </w:p>
    <w:p w:rsidR="00000000" w:rsidDel="00000000" w:rsidP="00000000" w:rsidRDefault="00000000" w:rsidRPr="00000000" w14:paraId="000004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unanimously concurred in by the Supreme Court, my ponencia drew some flak, especially from the academe. The critics cited the general rule that gave the trial court discretion on whether to grant bail or not. They emphasized that if the records of</w:t>
      </w:r>
      <w:r w:rsidDel="00000000" w:rsidR="00000000" w:rsidRPr="00000000">
        <w:rPr>
          <w:rFonts w:ascii="Georgia" w:cs="Georgia" w:eastAsia="Georgia" w:hAnsi="Georgia"/>
          <w:sz w:val="22"/>
          <w:szCs w:val="22"/>
          <w:vertAlign w:val="superscript"/>
        </w:rPr>
        <w:footnoteReference w:customMarkFollows="0" w:id="87"/>
      </w:r>
      <w:r w:rsidDel="00000000" w:rsidR="00000000" w:rsidRPr="00000000">
        <w:rPr>
          <w:rFonts w:ascii="Georgia" w:cs="Georgia" w:eastAsia="Georgia" w:hAnsi="Georgia"/>
          <w:sz w:val="22"/>
          <w:szCs w:val="22"/>
          <w:rtl w:val="0"/>
        </w:rPr>
        <w:t xml:space="preserve"> the case had not yet been forwarded to the appellate court, the jurisdiction of the trial court would not end with the mere filing of a notice of appeal. Apart from purely doctrinal justifications, there was also a practical consideration behind this rule: while the records were still with the trial court, the appellate court would not be able to act, since it would have no documents on which to base its actions.</w:t>
      </w:r>
    </w:p>
    <w:p w:rsidR="00000000" w:rsidDel="00000000" w:rsidP="00000000" w:rsidRDefault="00000000" w:rsidRPr="00000000" w14:paraId="000004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the other hand, I had to weigh the special circumstances in this case. Here was an escapee from the National Penitentiary who had been charged with murder, but convicted of homicide only. If he was released on bail while his case was pending appeal, he could, as he had done already, commit other crimes. Worse, if the appellate court convicted him of murder and sentenced him to reclusion perpetua, he would in all probability jump bail and disappear. Thus, I thought that it would be a bad judicial policy to allow him bail on appeal.</w:t>
      </w:r>
    </w:p>
    <w:p w:rsidR="00000000" w:rsidDel="00000000" w:rsidP="00000000" w:rsidRDefault="00000000" w:rsidRPr="00000000" w14:paraId="000004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Parenthetically, the trial judge (Nemesio Felix of the Makati RTC) could not be completely faulted for granting bail. Based on his judgment after trial, the accused was guilty, not of murder, but only of homicide which was a bailable offense. But the Court of Appeals, upon a quick review of the records, adjudged him unworthy of bail. After all, he had been accused of murder and the conviction for homicide was not yet final.</w:t>
      </w:r>
    </w:p>
    <w:p w:rsidR="00000000" w:rsidDel="00000000" w:rsidP="00000000" w:rsidRDefault="00000000" w:rsidRPr="00000000" w14:paraId="000004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Given this peculiar set of circumstances, I thought it best, and the Court agreed, that the discretion on whether to grant bail in a case involving an appealed capital offense, in which conviction was rendered for a bailable crime, should be lodged in the appellate court, not the trial court.</w:t>
      </w:r>
    </w:p>
    <w:p w:rsidR="00000000" w:rsidDel="00000000" w:rsidP="00000000" w:rsidRDefault="00000000" w:rsidRPr="00000000" w14:paraId="000004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deliberated, from July to September 2000, on the proposed revisions in the Rules on Criminal Procedure. It decided to uphold my stand that the appellate court, not the court of origin, should be given the discretion on whether (0 grant bail to a person who had been accused of a non-bailable offense, but convicted by the lower court'of a bailable crime only. Hence, a new proviso was included in Rule 114, which reads as follows:</w:t>
      </w:r>
    </w:p>
    <w:p w:rsidR="00000000" w:rsidDel="00000000" w:rsidP="00000000" w:rsidRDefault="00000000" w:rsidRPr="00000000" w14:paraId="000004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5. Bail when discretionary. — Upon conviction by the Regional Trial Court of an offense not punishable by death, reclusion perpetua, or life imprisonment, admission to bail is discretionary. The application for bail may be filed and acted upon by the trial court despite the filing of a notice of appeal, provided it has not transmitted the original record to the appellate court. </w:t>
      </w:r>
      <w:r w:rsidDel="00000000" w:rsidR="00000000" w:rsidRPr="00000000">
        <w:rPr>
          <w:rFonts w:ascii="Georgia" w:cs="Georgia" w:eastAsia="Georgia" w:hAnsi="Georgia"/>
          <w:b w:val="1"/>
          <w:bCs w:val="1"/>
          <w:sz w:val="22"/>
          <w:szCs w:val="22"/>
          <w:rtl w:val="0"/>
        </w:rPr>
        <w:t xml:space="preserve">However, if the decision of the trial court convicting the accused changed the nature of the offense from non-bailable to bailable, the application for bail can only be filed with and resolved by the appellate court.” </w:t>
      </w:r>
      <w:r w:rsidDel="00000000" w:rsidR="00000000" w:rsidRPr="00000000">
        <w:rPr>
          <w:rFonts w:ascii="Georgia" w:cs="Georgia" w:eastAsia="Georgia" w:hAnsi="Georgia"/>
          <w:sz w:val="22"/>
          <w:szCs w:val="22"/>
          <w:rtl w:val="0"/>
        </w:rPr>
        <w:t xml:space="preserve">(bold types supplied) </w:t>
      </w:r>
    </w:p>
    <w:p w:rsidR="00000000" w:rsidDel="00000000" w:rsidP="00000000" w:rsidRDefault="00000000" w:rsidRPr="00000000" w14:paraId="000004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hindsight, I believe the Court judiciously decided Obosa, if I may say so myself. The wisdom of this Decision was upheld by these two subsequent events:</w:t>
      </w:r>
    </w:p>
    <w:p w:rsidR="00000000" w:rsidDel="00000000" w:rsidP="00000000" w:rsidRDefault="00000000" w:rsidRPr="00000000" w14:paraId="000004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On November 27, 1997, the Court of Appeals found Obosa guilty of double murder and sentenced him to two terms of reclusion perpetua.</w:t>
      </w:r>
    </w:p>
    <w:p w:rsidR="00000000" w:rsidDel="00000000" w:rsidP="00000000" w:rsidRDefault="00000000" w:rsidRPr="00000000" w14:paraId="000004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On May 31, 2000, the Supreme Court, in People v. Obosa,! affirmed his conviction in toto.</w:t>
      </w:r>
    </w:p>
    <w:p w:rsidR="00000000" w:rsidDel="00000000" w:rsidP="00000000" w:rsidRDefault="00000000" w:rsidRPr="00000000" w14:paraId="000004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Had he been granted bail and he thereafter absconded pending review of his appeal by the CA, the appeal would have been dismissed and the trial court’s Decision, holding him liable for homicide only, would have become final. In other words, by being granted and thereafter jumping bail, he would have made a mockery of judicial processes.</w:t>
      </w:r>
    </w:p>
    <w:p w:rsidR="00000000" w:rsidDel="00000000" w:rsidP="00000000" w:rsidRDefault="00000000" w:rsidRPr="00000000" w14:paraId="000004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14</w:t>
      </w:r>
    </w:p>
    <w:p w:rsidR="00000000" w:rsidDel="00000000" w:rsidP="00000000" w:rsidRDefault="00000000" w:rsidRPr="00000000" w14:paraId="000004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Cabaero v. Cantos: </w:t>
      </w:r>
    </w:p>
    <w:p w:rsidR="00000000" w:rsidDel="00000000" w:rsidP="00000000" w:rsidRDefault="00000000" w:rsidRPr="00000000" w14:paraId="000004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May an Answer With Counterclaim </w:t>
      </w:r>
    </w:p>
    <w:p w:rsidR="00000000" w:rsidDel="00000000" w:rsidP="00000000" w:rsidRDefault="00000000" w:rsidRPr="00000000" w14:paraId="000004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Be Filed in a Criminal Case?</w:t>
      </w:r>
    </w:p>
    <w:p w:rsidR="00000000" w:rsidDel="00000000" w:rsidP="00000000" w:rsidRDefault="00000000" w:rsidRPr="00000000" w14:paraId="000004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 to its recent amendment, the Rules of Court provided that “[w]hen a criminal action is instituted, the civil action for the recovery of civil liability is impliedly instituted with the criminal action, unless the offended party waives the civil action, reserves his right to institute it separately or institutes the civil action prior to the criminal action.”’ Since the civil aspect is deemed instituted with the filing of the criminal information, may the accused file an answer with counterclaim for moral and exemplary damages plus attorney’s fees and expenses of litigation in the same criminal proceedings?</w:t>
      </w:r>
    </w:p>
    <w:p w:rsidR="00000000" w:rsidDel="00000000" w:rsidP="00000000" w:rsidRDefault="00000000" w:rsidRPr="00000000" w14:paraId="000004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was the issue in Cabaero v. Cantos.’ </w:t>
      </w:r>
    </w:p>
    <w:p w:rsidR="00000000" w:rsidDel="00000000" w:rsidP="00000000" w:rsidRDefault="00000000" w:rsidRPr="00000000" w14:paraId="0000049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criminal case for estafa was filed against Amado Cabaero and Carmen Perez who, when arraigned, pleaded not guilty. Subsequently, they filed an “Answer with Counterclaim” for damages arising from alleged malicious prosecution. After hearing the parties, Judge Alfredo C. Cantos issued an Order expunging the petitioners’ pleading and, thereafter, another one denying the Motion for Reconsideration. Aggrieved, petitioners brought the matter on certiorari to the Supreme Court. They argued that in Javier v. Intermediate Appellate Court,? this Court held “for procedural soundness” that a “counterclaim should be permitted” especially if, as in their case, the counterclaim was compulsory in nature and would be “barred forever” unless so filed.</w:t>
      </w:r>
    </w:p>
    <w:p w:rsidR="00000000" w:rsidDel="00000000" w:rsidP="00000000" w:rsidRDefault="00000000" w:rsidRPr="00000000" w14:paraId="0000049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95">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Javier held that a counterclaim for malicious prosecution was compulsory in nature; thus, it should be filed in the criminal case in which the civil action was impliedly instituted.</w:t>
      </w:r>
    </w:p>
    <w:p w:rsidR="00000000" w:rsidDel="00000000" w:rsidP="00000000" w:rsidRDefault="00000000" w:rsidRPr="00000000" w14:paraId="000004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logic and the cogency of Javier notwithstanding, some reservations and concerns were voiced out by members of the Court during the deliberations on the case. These were engendered by the obvious lacuna in the Rules of Court, which contained no express provision for the adjudication of a counterclaim filed in a criminal prosecution. In my ponencia, I detailed these observations and concerns, as follows </w:t>
      </w:r>
    </w:p>
    <w:p w:rsidR="00000000" w:rsidDel="00000000" w:rsidP="00000000" w:rsidRDefault="00000000" w:rsidRPr="00000000" w14:paraId="000004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“1)While the rules on civil procedure expressly recognize a defendant's entitlement to plead his counterclaim and offer evidence in support thereof,&gt; the rules on criminal procedure which authorize the implied institution of a civil action in a criminal case are, in contrast, silent on this point? and do not provide specific guidelines on how such counterclaim shall be pursued.</w:t>
      </w:r>
    </w:p>
    <w:p w:rsidR="00000000" w:rsidDel="00000000" w:rsidP="00000000" w:rsidRDefault="00000000" w:rsidRPr="00000000" w14:paraId="000004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 judgment in a criminal action is not required to provide for the award of a counterclaim. Thus, Section 2, Rule 120 of the Rules of Court, states:</w:t>
      </w:r>
    </w:p>
    <w:p w:rsidR="00000000" w:rsidDel="00000000" w:rsidP="00000000" w:rsidRDefault="00000000" w:rsidRPr="00000000" w14:paraId="0000049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S</w:t>
      </w:r>
      <w:r w:rsidDel="00000000" w:rsidR="00000000" w:rsidRPr="00000000">
        <w:rPr>
          <w:rFonts w:ascii="Georgia" w:cs="Georgia" w:eastAsia="Georgia" w:hAnsi="Georgia"/>
          <w:sz w:val="22"/>
          <w:szCs w:val="22"/>
          <w:rtl w:val="0"/>
        </w:rPr>
        <w:t xml:space="preserve">EC. 2.</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Form and contents of judgment, —</w:t>
      </w:r>
    </w:p>
    <w:p w:rsidR="00000000" w:rsidDel="00000000" w:rsidP="00000000" w:rsidRDefault="00000000" w:rsidRPr="00000000" w14:paraId="000004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it is for conviction, the judgment shall state (a) the legal qualifications of the offense constituted by the acts committed by the accused, and the. aggravating or mitigating circumstances attending the commission thereof, if there are any; (b) the participation of the accused in the commission of the offense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whether as principal, accomplice, or accessory after the fact; (c) the penalty imposed upon the accused; and (d) the civil liability or damages caused by the wrongful act to be recovered from the accused by the offended party, if there is any, unless the enforcement of the civil liability by a separate action has been reserved or waived.” (Emphasis supplied.)</w:t>
      </w:r>
    </w:p>
    <w:p w:rsidR="00000000" w:rsidDel="00000000" w:rsidP="00000000" w:rsidRDefault="00000000" w:rsidRPr="00000000" w14:paraId="000004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Allowing and hearing counterclaims (and possibly cross-claims and third-party complaints) in a criminal action will surely delay the said action. The primary issue in a criminal prosecution that is under the control of state prosecutors is the guilt of the accused and his civil liability arising from the same act or omission.’ Extending the civil action arising from the same act or omission to counterclaims, cross-claims and third-party complaints, and allowing the accused and other parties to submit evidence of their respective claims will complicate the disposition of the criminal case.</w:t>
      </w:r>
    </w:p>
    <w:p w:rsidR="00000000" w:rsidDel="00000000" w:rsidP="00000000" w:rsidRDefault="00000000" w:rsidRPr="00000000" w14:paraId="000004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Adjudication of compulsory. counterclaims and/or related claims or pleadings logically includes the application of other rules which, by their very nature, apply only to civil actions. The following matters may be invoked in connection with the filing of an answer with a counterclaim: the genuineness and due execution of an actionable document which are deemed admitted unless specifically denied under oath;? affirmative defenses like res judicata, prescription and statute of frauds which are deemed waived by failure to interpose them as affirmative defenses in an answer; and the failure of a defendant to file an answer seasonably may result in his default in the civil aspect but not in the criminal. As a consequence of these matters, the entry of plea during arraignment will no longer signal joinder of issues in a criminal action.</w:t>
      </w:r>
    </w:p>
    <w:p w:rsidR="00000000" w:rsidDel="00000000" w:rsidP="00000000" w:rsidRDefault="00000000" w:rsidRPr="00000000" w14:paraId="000004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In an impliedly instituted civil action, an accused is not sufficiently apprised of the specific basis of the claims against him. An accused learns of the implied institution of a civil action from the contents of an information. An information, however, is filed in behalf of the People of the Philippines. Hence, it does not contain the - ultimate facts relating to the civil liability of the accused. Section 6, Rule 110 of the Rules of Court, provides:</w:t>
      </w:r>
    </w:p>
    <w:p w:rsidR="00000000" w:rsidDel="00000000" w:rsidP="00000000" w:rsidRDefault="00000000" w:rsidRPr="00000000" w14:paraId="000004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6. Sufficiency of complaint or information. — A complaint or information is sufficient if it states the name of the accused; the designation of the offense by the statute; the acts or omissions complained of as constituting the offense; the name of the offended party; the approximate time of the</w:t>
      </w:r>
      <w:r w:rsidDel="00000000" w:rsidR="00000000" w:rsidRPr="00000000">
        <w:rPr>
          <w:rFonts w:ascii="Georgia" w:cs="Georgia" w:eastAsia="Georgia" w:hAnsi="Georgia"/>
          <w:sz w:val="22"/>
          <w:szCs w:val="22"/>
          <w:vertAlign w:val="superscript"/>
        </w:rPr>
        <w:footnoteReference w:customMarkFollows="0" w:id="88"/>
      </w:r>
      <w:r w:rsidDel="00000000" w:rsidR="00000000" w:rsidRPr="00000000">
        <w:rPr>
          <w:rFonts w:ascii="Georgia" w:cs="Georgia" w:eastAsia="Georgia" w:hAnsi="Georgia"/>
          <w:sz w:val="22"/>
          <w:szCs w:val="22"/>
          <w:rtl w:val="0"/>
        </w:rPr>
        <w:t xml:space="preserve"> commission of the offense; and the place wherein the offense was committed.’</w:t>
      </w:r>
    </w:p>
    <w:p w:rsidR="00000000" w:rsidDel="00000000" w:rsidP="00000000" w:rsidRDefault="00000000" w:rsidRPr="00000000" w14:paraId="000004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section does not mandate the inclusion of the ultimate facts which can be specifically admitted or denied in an answer.</w:t>
      </w:r>
    </w:p>
    <w:p w:rsidR="00000000" w:rsidDel="00000000" w:rsidP="00000000" w:rsidRDefault="00000000" w:rsidRPr="00000000" w14:paraId="000004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Because an accused is not sufficiently apprised of the specific basis of the civil action against him, he may file a motion for bill of particulars or take advantage of discovery procedures. The end result, in any case, will be delay and complication in the criminal action and even confusion among the parties.</w:t>
      </w:r>
    </w:p>
    <w:p w:rsidR="00000000" w:rsidDel="00000000" w:rsidP="00000000" w:rsidRDefault="00000000" w:rsidRPr="00000000" w14:paraId="000004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The Rules of Court does not specify the reckoning date for the filing of an answer in an impliedly instituted civil action. In an ordinary civil action, an answer should be filed within fifteen (15) days from service of summons. The concept of summons, however, is alien to a criminal action. So, when does the 15-day period begin?</w:t>
      </w:r>
    </w:p>
    <w:p w:rsidR="00000000" w:rsidDel="00000000" w:rsidP="00000000" w:rsidRDefault="00000000" w:rsidRPr="00000000" w14:paraId="000004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Moreover, an accused can file his answer with counterclaim only after the initial hearing, because the private complainant may still reserve his civil action at any time before the prosecution commences to present evidence.” On the other hand, an answer in an ordinary civil action should be filed before the start of hearing, because hearing commences only after the issues have been joined, i.e., after the responsive pleadings have been filed.</w:t>
      </w:r>
    </w:p>
    <w:p w:rsidR="00000000" w:rsidDel="00000000" w:rsidP="00000000" w:rsidRDefault="00000000" w:rsidRPr="00000000" w14:paraId="000004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Confusion in the application of the rules on civil procedure will certainly encourage litigants to challenge before appellate courts interlocutory incidents of the impliedly instituted civil action. While these challenges are pending, the criminal actions that demand speedy resolution, particularly where the accused is denied bail in capital offenses, will stagnate. Witnesses may disappear or lose recollection of their intended testimony, and the prosecutors may lose momentum and interest in the case. And the accused is effectively deprived of his right to speedy trial.</w:t>
      </w:r>
    </w:p>
    <w:p w:rsidR="00000000" w:rsidDel="00000000" w:rsidP="00000000" w:rsidRDefault="00000000" w:rsidRPr="00000000" w14:paraId="000004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“10) On top of the above procedural difficulties, some members of the Court believe that a cause of action for malicious prosecution may be premature because there is as yet no finding of such wrongful prosecution. This fact is precisely what the trial court still has to determine.”</w:t>
      </w:r>
    </w:p>
    <w:p w:rsidR="00000000" w:rsidDel="00000000" w:rsidP="00000000" w:rsidRDefault="00000000" w:rsidRPr="00000000" w14:paraId="000004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not finding fault with Javier and therefore not expressly reversing its teaching, the Court nonetheless directed Respondent RTC “to proceed with the trial of the criminal action and the civil action arising from the criminal offense that [was] impliedly instituted therein.” The counterclaim was set aside without prejudice to litigating it in the future “in accordance with the new rules which may be promulgated as and when they become effective.” My ponencia made this unusual disposition, because of “the absence of clear-cut rules governing the prosecution of impliedly instituted civil actions and the necessary consequences and implications thereof.”</w:t>
      </w:r>
    </w:p>
    <w:p w:rsidR="00000000" w:rsidDel="00000000" w:rsidP="00000000" w:rsidRDefault="00000000" w:rsidRPr="00000000" w14:paraId="000004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Justices Davide Jr., Romero, Bellosillo, Melo, Puno, Mendoza, Francisco and Torres Jr. fully concurred in my ponencia. CJ Narvasa and JJ Kapunan and Regalado joined only “in the result.” J. Regalado wrote a Separate Opinion contending inter alia that the counterclaim was premature, inasmuch as there was no final finding by any court that the prosecution of petitioner was malicious.</w:t>
      </w:r>
    </w:p>
    <w:p w:rsidR="00000000" w:rsidDel="00000000" w:rsidP="00000000" w:rsidRDefault="00000000" w:rsidRPr="00000000" w14:paraId="000004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Vitug, joined by J. Padilla, also filed a Separate Opinion calling for a reexamination; that is, an express reversal of Javier. His Opinion, however, voted also to deny the Petition, which was really the bottom line of the ponencia.</w:t>
      </w:r>
    </w:p>
    <w:p w:rsidR="00000000" w:rsidDel="00000000" w:rsidP="00000000" w:rsidRDefault="00000000" w:rsidRPr="00000000" w14:paraId="000004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way of postscript, may I add that during the deliberations of the Court on the proposed revisions. of the Rules on Criminal Procedure in July-September 2000, we revisited this matter of whether a counterclaim — at least, a compulsory one — may be filed by the accused in a criminal prosecution. The Committee on the Revision of the Rules, chaired by Justice Reynato S. Puno, proposed three amendments to Section 1 (A) of Rule 111, in order to address the concerns raised in Cabaero, as will be discussed presently.</w:t>
      </w:r>
    </w:p>
    <w:p w:rsidR="00000000" w:rsidDel="00000000" w:rsidP="00000000" w:rsidRDefault="00000000" w:rsidRPr="00000000" w14:paraId="000004A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A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First, the impliedly instituted civil action “is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recovery of the civil liability of the accused only, unless the offended party waives the civil action, reserves the right to institute it separately, or institutes the civil action prior to the criminal action.” Hence, the subsidiary civil liability of the employer under Article 103 of the Revised Penal Code may be enforced by execution on the basis of the judgment or conviction of the employee.</w:t>
      </w:r>
    </w:p>
    <w:p w:rsidR="00000000" w:rsidDel="00000000" w:rsidP="00000000" w:rsidRDefault="00000000" w:rsidRPr="00000000" w14:paraId="000004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acquittal of the accused extinguishes their civil liability arising from the offense charged, but not their other “civil liabilities for damages arising from the same act or omission.”</w:t>
      </w:r>
    </w:p>
    <w:p w:rsidR="00000000" w:rsidDel="00000000" w:rsidP="00000000" w:rsidRDefault="00000000" w:rsidRPr="00000000" w14:paraId="000004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counterclaims, cross-claims or third party complaints shall be prohibited in a criminal case. This _ proposal would reverse Javier and Shafer v. Judge, RTC of Olongapo City," which had ruled that third party complaints may be filed in criminal cases. According to the Committee, “[t]hese cases can complicate and hinder the speedy resolution of the criminal liability of an accused x x x.”</w:t>
      </w:r>
    </w:p>
    <w:p w:rsidR="00000000" w:rsidDel="00000000" w:rsidP="00000000" w:rsidRDefault="00000000" w:rsidRPr="00000000" w14:paraId="000004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rather protracted deliberation, an uneasy consensus emerged in the Court itself when it passed upon these recommendations. Basically, at the instance of Justice Vicente V. Mendoza, it amended the first paragraph of Section 1, Rule 111, to read as follows: (a) “When a criminal action is instituted, the civil action for the recovery of civil liability arising from the offense charged shall be deemed instituted with the criminal action unless the offended party waives the civil action, reserves his right to institute it separately or institutes the civil action prior to the criminal action.”</w:t>
      </w:r>
      <w:r w:rsidDel="00000000" w:rsidR="00000000" w:rsidRPr="00000000">
        <w:rPr>
          <w:rFonts w:ascii="Georgia" w:cs="Georgia" w:eastAsia="Georgia" w:hAnsi="Georgia"/>
          <w:sz w:val="22"/>
          <w:szCs w:val="22"/>
          <w:vertAlign w:val="superscript"/>
        </w:rPr>
        <w:footnoteReference w:customMarkFollows="0" w:id="89"/>
      </w:r>
      <w:r w:rsidDel="00000000" w:rsidR="00000000" w:rsidRPr="00000000">
        <w:rPr>
          <w:rtl w:val="0"/>
        </w:rPr>
      </w:r>
    </w:p>
    <w:p w:rsidR="00000000" w:rsidDel="00000000" w:rsidP="00000000" w:rsidRDefault="00000000" w:rsidRPr="00000000" w14:paraId="000004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new Rule deleted the requirement of reserving independent civil actions and allowed them to proceed separately from the criminal. Thus, the civil actions referred to in Articles 32, 33, 34 and 2176 of the Civil Code shall remain “separate, distinct and independent” of any criminal prosecution based on the same act. Here are some direct consequences of this revision and omission:</w:t>
      </w:r>
    </w:p>
    <w:p w:rsidR="00000000" w:rsidDel="00000000" w:rsidP="00000000" w:rsidRDefault="00000000" w:rsidRPr="00000000" w14:paraId="000004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right to bring the foregoing actions based on the Civil Code need not be reserved in the criminal prosecution since they are not deemed included therein.</w:t>
      </w:r>
    </w:p>
    <w:p w:rsidR="00000000" w:rsidDel="00000000" w:rsidP="00000000" w:rsidRDefault="00000000" w:rsidRPr="00000000" w14:paraId="000004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institution or waiver of the right to file a separate civil action arising from the crime charged does not extinguish the right to bring such action.</w:t>
      </w:r>
    </w:p>
    <w:p w:rsidR="00000000" w:rsidDel="00000000" w:rsidP="00000000" w:rsidRDefault="00000000" w:rsidRPr="00000000" w14:paraId="000004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only limitation is that the offended party cannot recover more than once for the same act or omission.</w:t>
      </w:r>
    </w:p>
    <w:p w:rsidR="00000000" w:rsidDel="00000000" w:rsidP="00000000" w:rsidRDefault="00000000" w:rsidRPr="00000000" w14:paraId="000004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what is deemed instituted in the criminal prosecution is only the civil liability arising from the crime or delict per se (civil liability ex delicto), but not those liabilities from quasi-delicts, contracts or quasi-contracts. In fact, even if a civil action is filed separately, the ex delicto civil liability in the criminal prosecution remains and the offended party may — subject to the control of the prosecutor — still intervene in the criminal action in order to protect such remaining civil interest therein.</w:t>
      </w:r>
    </w:p>
    <w:p w:rsidR="00000000" w:rsidDel="00000000" w:rsidP="00000000" w:rsidRDefault="00000000" w:rsidRPr="00000000" w14:paraId="000004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foregoing concepts alter current jurisprudence and bring back the courts to rulings prior to the 1985 revision of the Rules.</w:t>
      </w:r>
    </w:p>
    <w:p w:rsidR="00000000" w:rsidDel="00000000" w:rsidP="00000000" w:rsidRDefault="00000000" w:rsidRPr="00000000" w14:paraId="000004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I now revert to the immediately relevant question raised at the beginning of this Chapter: May the accused file an answer with counterclaim in a criminal proceeding? The sixth paragraph of Section 1, Rule 111," gives a plain and unequivocal answer consistent with the above concept:</w:t>
      </w:r>
    </w:p>
    <w:p w:rsidR="00000000" w:rsidDel="00000000" w:rsidP="00000000" w:rsidRDefault="00000000" w:rsidRPr="00000000" w14:paraId="000004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counterclaim, crossclaim or third-party complaint may be filed by the accused in the criminal case, but any cause of action which could have been the subject thereof may be litigated in a separate civil action.”</w:t>
      </w:r>
    </w:p>
    <w:p w:rsidR="00000000" w:rsidDel="00000000" w:rsidP="00000000" w:rsidRDefault="00000000" w:rsidRPr="00000000" w14:paraId="000004B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know that not everyone will be happy with the above-quoted proviso. So I will refrain from further comment, because I realize that the said provision may spawn new litigations before the Court, and I do not wish to preempt them by offering a premature opinion.</w:t>
      </w:r>
      <w:r w:rsidDel="00000000" w:rsidR="00000000" w:rsidRPr="00000000">
        <w:rPr>
          <w:rFonts w:ascii="Georgia" w:cs="Georgia" w:eastAsia="Georgia" w:hAnsi="Georgia"/>
          <w:sz w:val="22"/>
          <w:szCs w:val="22"/>
          <w:vertAlign w:val="superscript"/>
        </w:rPr>
        <w:footnoteReference w:customMarkFollows="0" w:id="90"/>
      </w:r>
      <w:r w:rsidDel="00000000" w:rsidR="00000000" w:rsidRPr="00000000">
        <w:rPr>
          <w:rtl w:val="0"/>
        </w:rPr>
      </w:r>
    </w:p>
    <w:p w:rsidR="00000000" w:rsidDel="00000000" w:rsidP="00000000" w:rsidRDefault="00000000" w:rsidRPr="00000000" w14:paraId="000004B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15</w:t>
      </w:r>
    </w:p>
    <w:p w:rsidR="00000000" w:rsidDel="00000000" w:rsidP="00000000" w:rsidRDefault="00000000" w:rsidRPr="00000000" w14:paraId="000004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Ho v. People: </w:t>
      </w:r>
    </w:p>
    <w:p w:rsidR="00000000" w:rsidDel="00000000" w:rsidP="00000000" w:rsidRDefault="00000000" w:rsidRPr="00000000" w14:paraId="000004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Basis for Arrest Warrant</w:t>
      </w:r>
    </w:p>
    <w:p w:rsidR="00000000" w:rsidDel="00000000" w:rsidP="00000000" w:rsidRDefault="00000000" w:rsidRPr="00000000" w14:paraId="000004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 v. People should put to rest what heretofore was the confusing jurisprudence on this issue: On what documents or pieces of evidence may a judge base the issuance of a warrant of arrest, for the purpose of placing the accused within the jurisdiction _ of the court after an information has been filed by the prosecutor? Specifically, may a judge issue the warrant on the basis solely of the resolution of the prosecutor who conducted the preliminary investigation? Or does he need to examine all the evidence brought before the prosecutor during the preliminary investigation?</w:t>
      </w:r>
    </w:p>
    <w:p w:rsidR="00000000" w:rsidDel="00000000" w:rsidP="00000000" w:rsidRDefault="00000000" w:rsidRPr="00000000" w14:paraId="000004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giving the answer, let me summarize the case first.</w:t>
      </w:r>
    </w:p>
    <w:p w:rsidR="00000000" w:rsidDel="00000000" w:rsidP="00000000" w:rsidRDefault="00000000" w:rsidRPr="00000000" w14:paraId="000004C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C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Facts</w:t>
      </w:r>
    </w:p>
    <w:p w:rsidR="00000000" w:rsidDel="00000000" w:rsidP="00000000" w:rsidRDefault="00000000" w:rsidRPr="00000000" w14:paraId="000004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August 8, 1991, the Anti-Graft League of the Philippines filed with the Office of the Ombudsman a Complaint against Doris Teresa Ho, Rolando S. Narciso, Anthony Marden, Arsenio Benjamin Santos and Leonardo Odojio for alleged violation of Section 3 (g) of Republic Act 3019. The said provision prohibits a public officer from entering, on behalf of the government, into any contract or transaction that is manifestly and grossly disadvantageous to the state, whether or not the public officer profited or will profit thereby.</w:t>
      </w:r>
    </w:p>
    <w:p w:rsidR="00000000" w:rsidDel="00000000" w:rsidP="00000000" w:rsidRDefault="00000000" w:rsidRPr="00000000" w14:paraId="000004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preliminary investigation and upon recommendation of Special Prosecution Officer Leonardo P. Tamayo, former Ombudsman Conrado M. Vasquez authorized on May 5, 1992, the filing of criminal charges against Petitioners Doris Teresa Ho and Rolando Narciso. Thereafter, warrants of arrest were issued against them. Petitioners contested the constitutionality of the warrants on the ground that the Sandiganbayan had issued them on the basis solely of the prosecutor’s finding of probable cause.</w:t>
      </w:r>
    </w:p>
    <w:p w:rsidR="00000000" w:rsidDel="00000000" w:rsidP="00000000" w:rsidRDefault="00000000" w:rsidRPr="00000000" w14:paraId="000004C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C6">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Main Issue</w:t>
      </w:r>
    </w:p>
    <w:p w:rsidR="00000000" w:rsidDel="00000000" w:rsidP="00000000" w:rsidRDefault="00000000" w:rsidRPr="00000000" w14:paraId="000004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May a warrant of arrest be issued solely on the basis of a Resolution of the prosecutor who conducted the preliminary investigation?</w:t>
      </w:r>
    </w:p>
    <w:p w:rsidR="00000000" w:rsidDel="00000000" w:rsidP="00000000" w:rsidRDefault="00000000" w:rsidRPr="00000000" w14:paraId="000004C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C9">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Ruling</w:t>
      </w:r>
    </w:p>
    <w:p w:rsidR="00000000" w:rsidDel="00000000" w:rsidP="00000000" w:rsidRDefault="00000000" w:rsidRPr="00000000" w14:paraId="000004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it may not be issued solely on that basis. As stated in Section 2 of Article III of the Constitution, inviolable is the right of the people to be secure in their persons, houses, papers, and effects against unreasonable searches and seizures of whatever nature and for any purpose. This provision further states that no search or arrest warrant shall be issued except upon probable cause to be determined personally by the judge. Such determination shall be made after examination, under oath or affirmation, of the complainant and the witnesses whom he or she may produce. And they must specifically describe the place to be searched and the persons or the things to be seized. It must be stressed that the judge is required to personally determine probable cause, not merely rely on the findings of the prosecutor conducting the preliminary investigation.</w:t>
      </w:r>
    </w:p>
    <w:p w:rsidR="00000000" w:rsidDel="00000000" w:rsidP="00000000" w:rsidRDefault="00000000" w:rsidRPr="00000000" w14:paraId="000004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unanimous en banc Decision I wrote in Ho surveyed the various relevant new Decisions in point, (that is, those promulgated after the effectivity of the 1987 Constitution), principally Soliven v. Makasiar,? People v. Inting®, Lim v. Felix,’ Allado v. Diokno,? Webb v. De Leon,’ and Roberts Jr. v. Court of Appeals.’ I then summarized them as follows:</w:t>
      </w:r>
    </w:p>
    <w:p w:rsidR="00000000" w:rsidDel="00000000" w:rsidP="00000000" w:rsidRDefault="00000000" w:rsidRPr="00000000" w14:paraId="000004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light of the aforecited decisions of this Court, such justification cannot be upheld. Lest we be too repetitive, we only wish to emphasize three vital matters once more: First, as held in Inting, the determination of probable cause by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prosecutor is for a purpose different from that x x x by the judge. Whether there is reasonable ground to believe that the accused is guilty of the offense charged and should be held for trial is what the prosecutor passes upon. The judge, on the other hand, determines whether a warrant of arrest should be issued against the accused, i.e. whether there is a necessity for placing him under immediate custody in order not to frustrate the ends of justice.* Thus, even if both should base their findings on one and the same proceeding or evidence, there should be no confusion as to their distinct objectives.</w:t>
      </w:r>
    </w:p>
    <w:p w:rsidR="00000000" w:rsidDel="00000000" w:rsidP="00000000" w:rsidRDefault="00000000" w:rsidRPr="00000000" w14:paraId="000004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since their objectives are different, the judge cannot rely solely on the report of the prosecutor in finding probable cause to justify the issuance of a warrant of arrest. Obviously and understandably, the contents of the prosecutor’s report will support his own conclusion that there is reason to charge the accused [with] an offense and hold him for trial. However, the judge must decide independently. Hence, he must have supporting evidence, other than the prosecutor’s bare report, upon which to legally sustain his own findings on the existence (or nonexistence) of probable-cause to issue an arrest order. This responsibility of determining personally and independently the existence or nonexistence of probable cause is lodged in him by no less than the</w:t>
      </w:r>
      <w:r w:rsidDel="00000000" w:rsidR="00000000" w:rsidRPr="00000000">
        <w:rPr>
          <w:rFonts w:ascii="Georgia" w:cs="Georgia" w:eastAsia="Georgia" w:hAnsi="Georgia"/>
          <w:sz w:val="22"/>
          <w:szCs w:val="22"/>
          <w:vertAlign w:val="superscript"/>
        </w:rPr>
        <w:footnoteReference w:customMarkFollows="0" w:id="91"/>
      </w:r>
      <w:r w:rsidDel="00000000" w:rsidR="00000000" w:rsidRPr="00000000">
        <w:rPr>
          <w:rFonts w:ascii="Georgia" w:cs="Georgia" w:eastAsia="Georgia" w:hAnsi="Georgia"/>
          <w:sz w:val="22"/>
          <w:szCs w:val="22"/>
          <w:rtl w:val="0"/>
        </w:rPr>
        <w:t xml:space="preserve"> most basic law of the land. Parenthetically, the prosecutor could ease the burden of the judge and speed up the litigation process by forwarding to the latter not only the information and his bare resolution finding probable cause, but also so much of the records and the evidence on hand as to enable His Honor to make his personal and separate judicial finding on whether to issue a warrant of arrest.”</w:t>
      </w:r>
    </w:p>
    <w:p w:rsidR="00000000" w:rsidDel="00000000" w:rsidP="00000000" w:rsidRDefault="00000000" w:rsidRPr="00000000" w14:paraId="000004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it is not required that the complete or entire records of the case during the preliminary investigation be submitted to and examined by the judge."” We do not intend to unduly burden trial courts by obliging them to examine the complete records of every case all the time simply for the purpose of ordering the arrest of an accused. What is required, rather, is that the judge must have sufficient supporting documents (such as the complaint, affidavits, counter-affidavits, sworn statements of witnesses or transcripts of stenographic notes, if any) upon which to make his independent judgment or, at the very least, upon which to verify the findings of the prosecutor as to the existence of probable cause. The point is: he cannot rely</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solely and entirely on the prosecutor's recommendation, as the Respondent Court did in this case. Although the prosecutor enjoys the legal presumption of regularity in the performance of his official duties and functions, which in turn gives his report the presumption of accuracy, the Constitution, we repeat, commands the judge to personally determine probable cause in the issuance of warrants of arrest. This Court has consistently held that a judge fails in his bounden duty if he relies merely on the certification or the report of the investigating officer.</w:t>
      </w:r>
    </w:p>
    <w:p w:rsidR="00000000" w:rsidDel="00000000" w:rsidP="00000000" w:rsidRDefault="00000000" w:rsidRPr="00000000" w14:paraId="000004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in Webb vs. De Leon, we found that ‘the painstaking recital and analysis of the parties’ evidence made in the DO] Panel Report satisfied both judges that there [was] probable cause to issue warrants of arrest against petitioners.” This statement may have been wrongly construed by the public respondent to mean that the narration or description of portions of the evidence in the prosecutor’s report may serve as sufficient basis to make its own independent judgment. What it should bear in mind, however, is that, aside from the 26-page report of the DOJ panel, the sworn statements of three witnesses and counter-affidavits of the petitioners in Webb were also submitted to the trial court, and the latter is presumed to have reviewed these documents as well, prior to its issuance of the warrants of arrest.</w:t>
      </w:r>
    </w:p>
    <w:p w:rsidR="00000000" w:rsidDel="00000000" w:rsidP="00000000" w:rsidRDefault="00000000" w:rsidRPr="00000000" w14:paraId="000004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the public respondent relied fully and completely upon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resolution of the graft investigation officer and the memorandum of the reviewing prosecutor, attached to the information filed ° before it, and its conjecture that the Ombudsman would not have approved their recommendation without supporting evidence. It had no other documents from either the complainant (the Anti-Graft League of the Philippines) or the People from which to sustain its own conclusion that probable cause exist[ed]. Clearly and ineluctably, Respondent Court's findings of ‘the conduct of a due and proper preliminary investigation’ and ‘the approval by proper officials clothed with statutory authority’ [were] not equivalent to the independent and personal responsibility required by the Constitution and settled jurisprudence. At least some of the documentary evidence mentioned (Contract of Affreightment between National Steel Corporation and National Marine Corporation, the COA-NSC audit report, and counter-affidavits of Rolando Narciso and NMC officials), upon which the investigating officials of the Ombudsman reportedly ascertained the existence of probable cause, should have been physically present before the public respondent for its examination, to enable it to determine on its own whether there [was] substantial evidence to support the finding of probable cause. But it stubbornly stood pat on its position that it had essentially complied with its responsibility. Indisputably, however, the procedure it undertook contravene[d] the Constitution and settled jurisprudence. Respondent Court palpably committed grave abuse of discretion in ipso facto issuing the challenged warrants of arrest on the sole basis of the prosecutor’s findings and recommendation, and without determining on its own the issue of probable cause based on evidence other than such bare findings and recommendation.”</w:t>
      </w:r>
    </w:p>
    <w:p w:rsidR="00000000" w:rsidDel="00000000" w:rsidP="00000000" w:rsidRDefault="00000000" w:rsidRPr="00000000" w14:paraId="000004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quite happy with the unanimous vote in Ho. Given the contentious opinions and divided vote in Roberts Jr. v. Court of Appeals," I had tried to reconcile the opposing views and came up with the abovequoted unanimous ruling.</w:t>
      </w:r>
    </w:p>
    <w:p w:rsidR="00000000" w:rsidDel="00000000" w:rsidP="00000000" w:rsidRDefault="00000000" w:rsidRPr="00000000" w14:paraId="000004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was indeed well enough. However, a wrinkle in the Ho doctrine developed later in Cojuangco Jr. v. Sandiganbayan,” a First Division case penned by Justice Leonardo A. Quisumbing. It was held that despite the nullity of the Warrant of Arrest arising from the failure of the trial court to follow the doctrine in Ho, it still retained jurisdiction over the accused, because the latter (1) had posted bail and (2) had participated in the proceedings in the Sandiganbayan. Thus, the majority’? ruled that he had waived his objections to the Sandiganbayan’s jurisdiction over his person.” Dissenting, I explained that he had expressly</w:t>
      </w:r>
      <w:r w:rsidDel="00000000" w:rsidR="00000000" w:rsidRPr="00000000">
        <w:rPr>
          <w:rFonts w:ascii="Georgia" w:cs="Georgia" w:eastAsia="Georgia" w:hAnsi="Georgia"/>
          <w:sz w:val="22"/>
          <w:szCs w:val="22"/>
          <w:vertAlign w:val="superscript"/>
        </w:rPr>
        <w:footnoteReference w:customMarkFollows="0" w:id="92"/>
      </w:r>
      <w:r w:rsidDel="00000000" w:rsidR="00000000" w:rsidRPr="00000000">
        <w:rPr>
          <w:rFonts w:ascii="Georgia" w:cs="Georgia" w:eastAsia="Georgia" w:hAnsi="Georgia"/>
          <w:sz w:val="22"/>
          <w:szCs w:val="22"/>
          <w:vertAlign w:val="superscript"/>
        </w:rPr>
        <w:footnoteReference w:customMarkFollows="0" w:id="93"/>
      </w:r>
      <w:r w:rsidDel="00000000" w:rsidR="00000000" w:rsidRPr="00000000">
        <w:rPr>
          <w:rFonts w:ascii="Georgia" w:cs="Georgia" w:eastAsia="Georgia" w:hAnsi="Georgia"/>
          <w:sz w:val="22"/>
          <w:szCs w:val="22"/>
          <w:rtl w:val="0"/>
        </w:rPr>
        <w:t xml:space="preserve"> objected to the jurisdiction of the lower court despite posting bail and participating in its proceedings. I wrote:</w:t>
      </w:r>
    </w:p>
    <w:p w:rsidR="00000000" w:rsidDel="00000000" w:rsidP="00000000" w:rsidRDefault="00000000" w:rsidRPr="00000000" w14:paraId="000004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posting of a bail bond by the petitioner despite the nullity or irregularity of the issuance of the warrant for his arrest should not be equated with ‘voluntary appearance’ as to cloak the respondent court with jurisdiction over his person. Truly, his ‘appearance’ in court was not ‘voluntary.’ It should be noted that immediately upon learning of the filing of the Information and the issuance of the warrant, petitioner filed an ‘Opposition to [the] Issuance of [a] Warrant of Arrest with Motion for Leave to File Motion for Reconsideration of [the] Ombudsman|[‘s] Resolutions.’ Said Opposition was based on the inadequacy of the respondent court’s basis for determining probable cause. It was essentially an express and continuing objection to the court's jurisdiction over his person.</w:t>
      </w:r>
    </w:p>
    <w:p w:rsidR="00000000" w:rsidDel="00000000" w:rsidP="00000000" w:rsidRDefault="00000000" w:rsidRPr="00000000" w14:paraId="000004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petitioner posted his bail bond, he expressly manifested at the same time that such was ‘without prejudice’ to his Opposition. Subsequently, he also filed a Memorandum in Amplification of said Opposition. When the graft court refused to recall the warrant, petitioner moved for a reconsideration. And following the filing by the Office of the Ombudsman, after reinvestigation, of a manifestation that there was no probable cause to charge petitioner, he moved for the dismissal of the case on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ground that ‘with the reversal of the earlier findings of the Ombudsman of probable cause, there was therefore nothing on record before the respondent Sandiganbayan which would warrant the issuance of a warrant of arrest and the assumption of jurisdiction over the instant case.’ Petitioner's actions more than conveyed his persistent objection to his arrest and, consequently, to the court's authority over his person.</w:t>
      </w:r>
    </w:p>
    <w:p w:rsidR="00000000" w:rsidDel="00000000" w:rsidP="00000000" w:rsidRDefault="00000000" w:rsidRPr="00000000" w14:paraId="000004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when he was arraigned, it was solely for the purpose of accommodating his request to travel, in view of the Sandiganbayan order barring him from leaving the country without its prior approval. His ‘conditional arraignment,’ in the words of the Sandiganbayan itself, was ‘subject to the condition that if petitioner is exonerated at the preliminary investigation, the arraignment is set aside.’ Moreover, it was ‘being undertaken solely to accommodate the accused in his request to travel pending determination of probable cause against him at reinvestigation.’</w:t>
      </w:r>
    </w:p>
    <w:p w:rsidR="00000000" w:rsidDel="00000000" w:rsidP="00000000" w:rsidRDefault="00000000" w:rsidRPr="00000000" w14:paraId="000004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therefore, in posting x x x bail and seeking permission to travel abroad, the petitioner merely made special appearances in order to obtain immediate urgent reliefs, without necessarily waiving the graft court’s want of jurisdiction. He merely wanted to avoid incarceration, as he hardly had any choice but to secure the court’s consent whenever he left the country to attend to his personal and business concerns. Otherwise, petitioner would have been effectively rendered immobile and worthless until the Sandiganbayan chose to resolve his case. And, as borne by the records, for three years said court practically sat on his case (reconsideration of the denial of his Opposition). Under the circumstances, petitioner’s actions should not be construed as a waiver of his right to object to the nullity of his arrest. With all due respect, I submit that to rule otherwise as the majority did is most unfair and unjust, because [the] accused could be indefinitely detained as a result of the trial court's expedient of merely sitting on the objection to the issuance of the warrant.</w:t>
      </w:r>
    </w:p>
    <w:p w:rsidR="00000000" w:rsidDel="00000000" w:rsidP="00000000" w:rsidRDefault="00000000" w:rsidRPr="00000000" w14:paraId="000004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submit that the case should be remanded ~ to the Sandiganbayan. The respondent court may require the prosecutor to submit evidence on file sufficient for the former to determine probable cause for the issuance of an arrest warrant; or the latter himself may voluntarily submit such evidence gathered during his investigation.</w:t>
      </w:r>
    </w:p>
    <w:p w:rsidR="00000000" w:rsidDel="00000000" w:rsidP="00000000" w:rsidRDefault="00000000" w:rsidRPr="00000000" w14:paraId="000004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procedure may appear cumbersome and unduly harsh on the prosecution, but the Constitution commands it. The Court, as the guardian of the basic law, is thus left with no choice but to enforce the provision.”</w:t>
      </w:r>
    </w:p>
    <w:p w:rsidR="00000000" w:rsidDel="00000000" w:rsidP="00000000" w:rsidRDefault="00000000" w:rsidRPr="00000000" w14:paraId="000004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Revised Rules on Criminal Procedure abandoned the ruling in Cojuangco and adopted my Dissent. Thus, the filing of a bail bond should not constitute a waiver of the right of the accused to question (a) the legality of the arrest or (b) the regularity or the absence of a preliminary investigation</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prior to the filing of the criminal charges against him, provided that such issue is raised before the plea is entered. A new provision, Section 26, was added to Rule 114 of the Revised 2000 Rules on Criminal Procedure:</w:t>
      </w:r>
    </w:p>
    <w:p w:rsidR="00000000" w:rsidDel="00000000" w:rsidP="00000000" w:rsidRDefault="00000000" w:rsidRPr="00000000" w14:paraId="000004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26. Bail not a bar to objections on illegal arrest, lack of or irregular preliminary investigation. — An application for or admission to bail shall not bar the accused from challenging the validity of his arrest or the legality of the warrant issued therefor, or from assailing the regularity or questioning the absence of a preliminary investigation of the charge against him, provided that he raises them before entering his plea. The court shall resolve the matter as early as practicable but not later than the start of the trial of the case. (n)”</w:t>
      </w:r>
    </w:p>
    <w:p w:rsidR="00000000" w:rsidDel="00000000" w:rsidP="00000000" w:rsidRDefault="00000000" w:rsidRPr="00000000" w14:paraId="000004D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Part III</w:t>
      </w:r>
    </w:p>
    <w:p w:rsidR="00000000" w:rsidDel="00000000" w:rsidP="00000000" w:rsidRDefault="00000000" w:rsidRPr="00000000" w14:paraId="000004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DIVERSITY</w:t>
      </w:r>
    </w:p>
    <w:p w:rsidR="00000000" w:rsidDel="00000000" w:rsidP="00000000" w:rsidRDefault="00000000" w:rsidRPr="00000000" w14:paraId="000004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Prologue</w:t>
      </w:r>
    </w:p>
    <w:p w:rsidR="00000000" w:rsidDel="00000000" w:rsidP="00000000" w:rsidRDefault="00000000" w:rsidRPr="00000000" w14:paraId="000004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Part III, DIVERSITY, discusses important decisions in which the Court was divided. In this sense, this Part of the book is a continuation of the judicial skirmishes which I started to discuss in Battles in the Supreme Court and Leadership by Example, except that the Decisions discussed in the present book were promulgated during my fifth year in office from October 10, 1999 to October 10, 2000.</w:t>
      </w:r>
    </w:p>
    <w:p w:rsidR="00000000" w:rsidDel="00000000" w:rsidP="00000000" w:rsidRDefault="00000000" w:rsidRPr="00000000" w14:paraId="000004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in the past, I endeavored to include not only my ponencias or dissents as the case may be, but also the opinions of the other members of the Court. It is my fervent hope that in doing so, I have presented fairly and adequately the opposing sides of the controversy. If I failed to explain fully or to bring out fairly all of my colleagues’ point of view, I would like to offer my apologies. Such failure is a product of human imperfection, not of any malevolent intent to be less than fair. </w:t>
      </w:r>
    </w:p>
    <w:p w:rsidR="00000000" w:rsidDel="00000000" w:rsidP="00000000" w:rsidRDefault="00000000" w:rsidRPr="00000000" w14:paraId="000004E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E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4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16</w:t>
      </w:r>
    </w:p>
    <w:p w:rsidR="00000000" w:rsidDel="00000000" w:rsidP="00000000" w:rsidRDefault="00000000" w:rsidRPr="00000000" w14:paraId="000004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Death Penalty Cases: </w:t>
      </w:r>
    </w:p>
    <w:p w:rsidR="00000000" w:rsidDel="00000000" w:rsidP="00000000" w:rsidRDefault="00000000" w:rsidRPr="00000000" w14:paraId="000004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 Moratorium on Death</w:t>
      </w:r>
    </w:p>
    <w:p w:rsidR="00000000" w:rsidDel="00000000" w:rsidP="00000000" w:rsidRDefault="00000000" w:rsidRPr="00000000" w14:paraId="000004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4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March 25, 2000, the news dailies reported that President Joseph Ejercito Estrada “yesterday declared an 11-month moratorium” on the executions of all convicts whose capital sentences had been affirmed by the Supreme Court.</w:t>
      </w:r>
    </w:p>
    <w:p w:rsidR="00000000" w:rsidDel="00000000" w:rsidP="00000000" w:rsidRDefault="00000000" w:rsidRPr="00000000" w14:paraId="000004FD">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President took this unprecedented action “out of respect for the worldwide celebration of the Jubilee Year marking the 2000th anniversary of the birth of Jesus Christ that was recently opened by Pope John Paul II in glorious rites at the Vatican” and upon recommendation of the “Presidential Conscience Commission? x x x following an appeal by the Catholic Bishops Conference of the Philippines (CBCP).”</w:t>
      </w:r>
      <w:r w:rsidDel="00000000" w:rsidR="00000000" w:rsidRPr="00000000">
        <w:rPr>
          <w:rtl w:val="0"/>
        </w:rPr>
      </w:r>
    </w:p>
    <w:p w:rsidR="00000000" w:rsidDel="00000000" w:rsidP="00000000" w:rsidRDefault="00000000" w:rsidRPr="00000000" w14:paraId="000004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Chief Executive invoked “his executive power of clemency” in granting a virtual reprieve to “18 death convicts scheduled to die by lethal injection this year [2000].”°</w:t>
      </w:r>
    </w:p>
    <w:p w:rsidR="00000000" w:rsidDel="00000000" w:rsidP="00000000" w:rsidRDefault="00000000" w:rsidRPr="00000000" w14:paraId="000004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Death Penalty Law, a convict “must be executed not earlier than 12 months and not later than 18 months after the Supreme Court had affirmed the death sentence on a convict.”</w:t>
      </w:r>
    </w:p>
    <w:p w:rsidR="00000000" w:rsidDel="00000000" w:rsidP="00000000" w:rsidRDefault="00000000" w:rsidRPr="00000000" w14:paraId="000005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Predictably, the pro-death advocates criticized this omnibus moratorium. But their protest was muted in comparison with the “conflagration ignited by [the] SC Resolution promulgated on January 4, 1999, temporarily postponing the execution of Leo Echegaray”* until June 15, 1999, “unless it sooner becomes certain that no repeal or modification of the [Death Penalty Law] is going to be made.”</w:t>
      </w:r>
    </w:p>
    <w:p w:rsidR="00000000" w:rsidDel="00000000" w:rsidP="00000000" w:rsidRDefault="00000000" w:rsidRPr="00000000" w14:paraId="000005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time, “[a]lmost the entire Philippine officialdom — from President Joseph Ejercito Estrada down to senators, congressmen and even municipal councilors — reacted swiftly and furiously. In street rallies and demonstrations, lynch mobs and anti-crime crusades demanded the ‘resignations’ or the ‘impeachment’ of the eight justices who voted for the TRO. These justices were attacked as incompetent, power hungry and insensitive to public opinion. Additionally, individual magistrates, Court employees and even their families were threatened, insulted and booed.”</w:t>
      </w:r>
    </w:p>
    <w:p w:rsidR="00000000" w:rsidDel="00000000" w:rsidP="00000000" w:rsidRDefault="00000000" w:rsidRPr="00000000" w14:paraId="000005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this eleven-month suspension may hopefully give our legislators and people some time to think about the repeal or the amendment of RA 7659. In the meantime, because of this “moratorium,” no convict will be put to death for the rest of Jubilee Year 2000.</w:t>
      </w:r>
    </w:p>
    <w:p w:rsidR="00000000" w:rsidDel="00000000" w:rsidP="00000000" w:rsidRDefault="00000000" w:rsidRPr="00000000" w14:paraId="000005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however, continued reviewing death penalties imposed by trial courts. The following are the more significant jurisprudential developments culled from the Court’s judgments.</w:t>
      </w:r>
    </w:p>
    <w:p w:rsidR="00000000" w:rsidDel="00000000" w:rsidP="00000000" w:rsidRDefault="00000000" w:rsidRPr="00000000" w14:paraId="000005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Only One Third of Death </w:t>
      </w:r>
    </w:p>
    <w:p w:rsidR="00000000" w:rsidDel="00000000" w:rsidP="00000000" w:rsidRDefault="00000000" w:rsidRPr="00000000" w14:paraId="000005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Cases Affirmed by SC</w:t>
      </w:r>
    </w:p>
    <w:p w:rsidR="00000000" w:rsidDel="00000000" w:rsidP="00000000" w:rsidRDefault="00000000" w:rsidRPr="00000000" w14:paraId="000005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statistical trend established in the previous year (1999) was maintained; namely, only about one third of all cases reviewed by the SC resulted in affirmations of the death sentence. Over one half led to the commutation of the penalty to reclusion perpetua; the rest resulted in lesser penalties, in remands to trial courts, or in acquittals. Most of the death cases involved rape, especially incestuous ones.</w:t>
      </w:r>
    </w:p>
    <w:p w:rsidR="00000000" w:rsidDel="00000000" w:rsidP="00000000" w:rsidRDefault="00000000" w:rsidRPr="00000000" w14:paraId="000005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Failure to Allege or Prove </w:t>
      </w:r>
    </w:p>
    <w:p w:rsidR="00000000" w:rsidDel="00000000" w:rsidP="00000000" w:rsidRDefault="00000000" w:rsidRPr="00000000" w14:paraId="000005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Qualifying Circumstances</w:t>
      </w:r>
    </w:p>
    <w:p w:rsidR="00000000" w:rsidDel="00000000" w:rsidP="00000000" w:rsidRDefault="00000000" w:rsidRPr="00000000" w14:paraId="000005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failure of the prosecution to allege in the Information or to prove certain “qualifying circumstances” beyond reasonable doubt during the trial led to the commutation of the death penalty to reclusion perpetua in the majority of the cases. This was</w:t>
      </w:r>
      <w:r w:rsidDel="00000000" w:rsidR="00000000" w:rsidRPr="00000000">
        <w:rPr>
          <w:rFonts w:ascii="Georgia" w:cs="Georgia" w:eastAsia="Georgia" w:hAnsi="Georgia"/>
          <w:sz w:val="22"/>
          <w:szCs w:val="22"/>
          <w:vertAlign w:val="superscript"/>
        </w:rPr>
        <w:footnoteReference w:customMarkFollows="0" w:id="94"/>
      </w:r>
      <w:r w:rsidDel="00000000" w:rsidR="00000000" w:rsidRPr="00000000">
        <w:rPr>
          <w:rFonts w:ascii="Georgia" w:cs="Georgia" w:eastAsia="Georgia" w:hAnsi="Georgia"/>
          <w:sz w:val="22"/>
          <w:szCs w:val="22"/>
          <w:rtl w:val="0"/>
        </w:rPr>
        <w:t xml:space="preserve"> especially true in those involving rape, which were either “simple” and thus punishable by reclusion perpetua or “qualified” and thus punishable by death.</w:t>
      </w:r>
    </w:p>
    <w:p w:rsidR="00000000" w:rsidDel="00000000" w:rsidP="00000000" w:rsidRDefault="00000000" w:rsidRPr="00000000" w14:paraId="000005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Rape is simple when committed under any of the first three circumstances enumerated in Article 335 of the Revised Penal Code, as amended by RA 2632’ and RA 4111,’ but prior to its further amendment by RA 7659 (the Death Penalty Law). The provision reads:</w:t>
      </w:r>
    </w:p>
    <w:p w:rsidR="00000000" w:rsidDel="00000000" w:rsidP="00000000" w:rsidRDefault="00000000" w:rsidRPr="00000000" w14:paraId="000005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 335. When and how rape is committed. — Rape is committed by having carnal knowledge of a woman under any of the following circumstances:</w:t>
      </w:r>
    </w:p>
    <w:p w:rsidR="00000000" w:rsidDel="00000000" w:rsidP="00000000" w:rsidRDefault="00000000" w:rsidRPr="00000000" w14:paraId="000005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By using force or intimidation;</w:t>
      </w:r>
    </w:p>
    <w:p w:rsidR="00000000" w:rsidDel="00000000" w:rsidP="00000000" w:rsidRDefault="00000000" w:rsidRPr="00000000" w14:paraId="000005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When the woman is deprived of reason or otherwise unconscious; and</w:t>
      </w:r>
    </w:p>
    <w:p w:rsidR="00000000" w:rsidDel="00000000" w:rsidP="00000000" w:rsidRDefault="00000000" w:rsidRPr="00000000" w14:paraId="000005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When the woman is under twelve years of age, even though neither of the circumstances mentioned in the two next preceding paragraphs shall be present.</w:t>
      </w:r>
    </w:p>
    <w:p w:rsidR="00000000" w:rsidDel="00000000" w:rsidP="00000000" w:rsidRDefault="00000000" w:rsidRPr="00000000" w14:paraId="000005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crime of rape shall be punished by reclusion perpetua.</w:t>
      </w:r>
    </w:p>
    <w:p w:rsidR="00000000" w:rsidDel="00000000" w:rsidP="00000000" w:rsidRDefault="00000000" w:rsidRPr="00000000" w14:paraId="000005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“Whenever the crime of rape is committed with the use of a deadly weapon or by two or more persons, the penalty shall be reclusion perpetua to death.</w:t>
      </w:r>
    </w:p>
    <w:p w:rsidR="00000000" w:rsidDel="00000000" w:rsidP="00000000" w:rsidRDefault="00000000" w:rsidRPr="00000000" w14:paraId="00000513">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“When by reason or on the occasion of the rape, the victim has become insane, the penalty shall be death.</w:t>
      </w:r>
      <w:r w:rsidDel="00000000" w:rsidR="00000000" w:rsidRPr="00000000">
        <w:rPr>
          <w:rtl w:val="0"/>
        </w:rPr>
      </w:r>
    </w:p>
    <w:p w:rsidR="00000000" w:rsidDel="00000000" w:rsidP="00000000" w:rsidRDefault="00000000" w:rsidRPr="00000000" w14:paraId="000005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the rape is attempted or frustrated and a homicide is committed by reason or on the occasion thereof, the penalty shall be likewise death.</w:t>
      </w:r>
    </w:p>
    <w:p w:rsidR="00000000" w:rsidDel="00000000" w:rsidP="00000000" w:rsidRDefault="00000000" w:rsidRPr="00000000" w14:paraId="000005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by reason or on the occasion of the tape, a homicide is committed, the penalty shall be death.’</w:t>
      </w:r>
    </w:p>
    <w:p w:rsidR="00000000" w:rsidDel="00000000" w:rsidP="00000000" w:rsidRDefault="00000000" w:rsidRPr="00000000" w14:paraId="000005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rape is qualified if its commission is attended by any of the “special circumstances” enumerated in RA 7659, which became effective on December 31, 1993; and in RA 8353,"° on October 22, 1997. These special circumstances are:</w:t>
      </w:r>
    </w:p>
    <w:p w:rsidR="00000000" w:rsidDel="00000000" w:rsidP="00000000" w:rsidRDefault="00000000" w:rsidRPr="00000000" w14:paraId="000005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When the victim is under eighteen (18) years of age and the offender is a parent, ascendant, step-parent, guardian, relative by consanguinity or affinity within the third civil degree, or the common-law spouse of the parent of the victim;</w:t>
      </w:r>
    </w:p>
    <w:p w:rsidR="00000000" w:rsidDel="00000000" w:rsidP="00000000" w:rsidRDefault="00000000" w:rsidRPr="00000000" w14:paraId="000005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When the victim is under the custody of the police or military authorities or any law enforcement or penal institution;</w:t>
      </w:r>
    </w:p>
    <w:p w:rsidR="00000000" w:rsidDel="00000000" w:rsidP="00000000" w:rsidRDefault="00000000" w:rsidRPr="00000000" w14:paraId="000005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When the rape is committed in full view of the spouse, parent, any of the children or other relatives within the third civil degree of consanguinity;</w:t>
      </w:r>
      <w:r w:rsidDel="00000000" w:rsidR="00000000" w:rsidRPr="00000000">
        <w:rPr>
          <w:rFonts w:ascii="Georgia" w:cs="Georgia" w:eastAsia="Georgia" w:hAnsi="Georgia"/>
          <w:sz w:val="22"/>
          <w:szCs w:val="22"/>
          <w:vertAlign w:val="superscript"/>
        </w:rPr>
        <w:footnoteReference w:customMarkFollows="0" w:id="95"/>
      </w:r>
      <w:r w:rsidDel="00000000" w:rsidR="00000000" w:rsidRPr="00000000">
        <w:rPr>
          <w:rFonts w:ascii="Georgia" w:cs="Georgia" w:eastAsia="Georgia" w:hAnsi="Georgia"/>
          <w:sz w:val="22"/>
          <w:szCs w:val="22"/>
          <w:vertAlign w:val="superscript"/>
        </w:rPr>
        <w:footnoteReference w:customMarkFollows="0" w:id="96"/>
      </w:r>
      <w:r w:rsidDel="00000000" w:rsidR="00000000" w:rsidRPr="00000000">
        <w:rPr>
          <w:rFonts w:ascii="Georgia" w:cs="Georgia" w:eastAsia="Georgia" w:hAnsi="Georgia"/>
          <w:sz w:val="22"/>
          <w:szCs w:val="22"/>
          <w:rtl w:val="0"/>
        </w:rPr>
        <w:t xml:space="preserve"> “4, When the victim is a religious engaged in legitimate religious vocation or calling and is personally known to be such by the offender before or at the time of the commission of the crime;</w:t>
      </w:r>
    </w:p>
    <w:p w:rsidR="00000000" w:rsidDel="00000000" w:rsidP="00000000" w:rsidRDefault="00000000" w:rsidRPr="00000000" w14:paraId="000005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When the victim is a child below seven (7) years old;</w:t>
      </w:r>
    </w:p>
    <w:p w:rsidR="00000000" w:rsidDel="00000000" w:rsidP="00000000" w:rsidRDefault="00000000" w:rsidRPr="00000000" w14:paraId="000005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When the offender knows that he is afflicted with Human Immuno-Deficiency Virus (HIV)/Acquired Immune Deficiency Syndrome (AIDS) or any other sexually transmissible disease and the virus or disease is transmitted to the victim;</w:t>
      </w:r>
    </w:p>
    <w:p w:rsidR="00000000" w:rsidDel="00000000" w:rsidP="00000000" w:rsidRDefault="00000000" w:rsidRPr="00000000" w14:paraId="000005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When committed by any member of the Armed Forces of the Philippines or paramilitary units thereof or the Philippine National Police or any law enforcement j agency or penal institution, when the offender took advantage of his position to facilitate the commission of the crime;</w:t>
      </w:r>
    </w:p>
    <w:p w:rsidR="00000000" w:rsidDel="00000000" w:rsidP="00000000" w:rsidRDefault="00000000" w:rsidRPr="00000000" w14:paraId="000005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When by reason or on the occasion of the rape, the victim has suffered permanent physical mutilation or disability;</w:t>
      </w:r>
    </w:p>
    <w:p w:rsidR="00000000" w:rsidDel="00000000" w:rsidP="00000000" w:rsidRDefault="00000000" w:rsidRPr="00000000" w14:paraId="000005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When the offender knew of the pregnancy of the offended party at the time of the commission of the crime; and</w:t>
      </w:r>
    </w:p>
    <w:p w:rsidR="00000000" w:rsidDel="00000000" w:rsidP="00000000" w:rsidRDefault="00000000" w:rsidRPr="00000000" w14:paraId="000005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“10. When the offender knew of the mental disability, emotional disorder and/or physical handicap of the offended party at the time of the commission of the crime.”</w:t>
      </w:r>
    </w:p>
    <w:p w:rsidR="00000000" w:rsidDel="00000000" w:rsidP="00000000" w:rsidRDefault="00000000" w:rsidRPr="00000000" w14:paraId="000005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Leadership by Example, I discussed the significant cases promulgated until October 10, 1999, in which the death penalty was reduced to reclusion perpetua because of the failure of the prosecution to allege or to prove these special qualifying circumstances. Now I will discuss the notable ones promulgated from October 11, 1999 to October 10, 2000," the cut-off date for the present book.</w:t>
      </w:r>
    </w:p>
    <w:p w:rsidR="00000000" w:rsidDel="00000000" w:rsidP="00000000" w:rsidRDefault="00000000" w:rsidRPr="00000000" w14:paraId="0000052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22">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1. Failure to Allege or Prove Relationship</w:t>
      </w:r>
    </w:p>
    <w:p w:rsidR="00000000" w:rsidDel="00000000" w:rsidP="00000000" w:rsidRDefault="00000000" w:rsidRPr="00000000" w14:paraId="000005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People v. Delos Santos. On September 17, 1998, the High Court, in a per curiam Decision, affirmed the death sentence of Appellant Felipe Delos Santos. After the Decision had become final and executory, appellant filed, with leave of court on January 5, 2000, a Motion for Reconsideration. He argued that the “Information filed against him failed to state that he [was] the stepfather of the victim x x x.” The Information had simply charged the accused with rape in this wise:</w:t>
      </w:r>
    </w:p>
    <w:p w:rsidR="00000000" w:rsidDel="00000000" w:rsidP="00000000" w:rsidRDefault="00000000" w:rsidRPr="00000000" w14:paraId="000005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on or about the 12th day of September, 1994, in Quezon City, Philippines, the said accused by means of force and intimidation, to wit: by then and there willfully, unlawfully and feloniously brought the undersigned complainant NHANETTE DELOS SANTOS y RIVERA, a minor, 13 years of age, to a vacant apartment located at General Avenue, Project 8, of this City, then forced her to lie down, undressed her, removed her panty, mashed her private parts, afterwhich [sic] accused put himself on top of her, and thereafter ha[d] carnal knowledge</w:t>
      </w:r>
      <w:r w:rsidDel="00000000" w:rsidR="00000000" w:rsidRPr="00000000">
        <w:rPr>
          <w:rFonts w:ascii="Georgia" w:cs="Georgia" w:eastAsia="Georgia" w:hAnsi="Georgia"/>
          <w:sz w:val="22"/>
          <w:szCs w:val="22"/>
          <w:vertAlign w:val="superscript"/>
        </w:rPr>
        <w:footnoteReference w:customMarkFollows="0" w:id="97"/>
      </w:r>
      <w:r w:rsidDel="00000000" w:rsidR="00000000" w:rsidRPr="00000000">
        <w:rPr>
          <w:rFonts w:ascii="Georgia" w:cs="Georgia" w:eastAsia="Georgia" w:hAnsi="Georgia"/>
          <w:sz w:val="22"/>
          <w:szCs w:val="22"/>
          <w:rtl w:val="0"/>
        </w:rPr>
        <w:t xml:space="preserve"> with the undersigned complainant against her will and without her consent.”</w:t>
      </w:r>
    </w:p>
    <w:p w:rsidR="00000000" w:rsidDel="00000000" w:rsidP="00000000" w:rsidRDefault="00000000" w:rsidRPr="00000000" w14:paraId="000005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Agreeing with appellant, the Supreme Court noted: “Nowhere in the Information is it alleged that accused-appellant is the stepfather of the victim Nhanette delos Santos.” In spite of the finality of the original judgment, the Court unanimously reopened the case, saved the appellant from lethal injection and modified his penalty to reclusion perpetua, ruling that doctrines favorable to the accused “must perforce, be given retroactive effect.”</w:t>
      </w:r>
    </w:p>
    <w:p w:rsidR="00000000" w:rsidDel="00000000" w:rsidP="00000000" w:rsidRDefault="00000000" w:rsidRPr="00000000" w14:paraId="000005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indeed fortunate that the defect or flaw in the Supreme Court's original Decision was detected and corrected prior to the lethal injection of the appellant. Otherwise, the error would have been literally fatal _ and irreversible.</w:t>
      </w:r>
    </w:p>
    <w:p w:rsidR="00000000" w:rsidDel="00000000" w:rsidP="00000000" w:rsidRDefault="00000000" w:rsidRPr="00000000" w14:paraId="000005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recall that in Leadership by Example,” 1 maintained that the death penalty imposed on Leo Echegaray was legally erroneous, because the ‘qualifying circumstance of his being the “common law spouse of the parent of the victim” had not been alleged in the Information or Complaint. In that book, I further wrote: “Echegaray is now in the Great Beyond, and no change in jurisprudence can resurrect him. This is one more reason why I believe the death penalty has no place in our statute books. Errors in its imposition become nightmarishly irreversible once the appellant is executed. Verily, human reversals do not affect the graveyard.”</w:t>
      </w:r>
    </w:p>
    <w:p w:rsidR="00000000" w:rsidDel="00000000" w:rsidP="00000000" w:rsidRDefault="00000000" w:rsidRPr="00000000" w14:paraId="000005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Delos Santos is one more example showing that even the Supreme Court can make mistakes, and that</w:t>
      </w:r>
      <w:r w:rsidDel="00000000" w:rsidR="00000000" w:rsidRPr="00000000">
        <w:rPr>
          <w:rFonts w:ascii="Georgia" w:cs="Georgia" w:eastAsia="Georgia" w:hAnsi="Georgia"/>
          <w:sz w:val="22"/>
          <w:szCs w:val="22"/>
          <w:vertAlign w:val="superscript"/>
          <w:rtl w:val="0"/>
        </w:rPr>
        <w:t xml:space="preserve"> </w:t>
      </w:r>
      <w:r w:rsidDel="00000000" w:rsidR="00000000" w:rsidRPr="00000000">
        <w:rPr>
          <w:rFonts w:ascii="Georgia" w:cs="Georgia" w:eastAsia="Georgia" w:hAnsi="Georgia"/>
          <w:sz w:val="22"/>
          <w:szCs w:val="22"/>
          <w:rtl w:val="0"/>
        </w:rPr>
        <w:t xml:space="preserve">the death penalty could be imposed and carried out because of such a mistake, as was done to Leo Echegaray, the first convict to die by lethal injection in this country.</w:t>
      </w:r>
    </w:p>
    <w:p w:rsidR="00000000" w:rsidDel="00000000" w:rsidP="00000000" w:rsidRDefault="00000000" w:rsidRPr="00000000" w14:paraId="000005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In People v. Mendez," the Information charged appellant with rape as follows:</w:t>
      </w:r>
    </w:p>
    <w:p w:rsidR="00000000" w:rsidDel="00000000" w:rsidP="00000000" w:rsidRDefault="00000000" w:rsidRPr="00000000" w14:paraId="000005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on or about the 11th day of December, 1996, at around 10:00 o’clock in the evening, in [B]arangay Agbudia, [M]unicipality of Romblon, [P]rovince of Romblon, Philippines, and within the jurisdiction of this Honorable Court, the said accused, did then and there willfully, unlawfully and feloniously ha[ve] carnal knowledge of his daughter VIRGINITA MENDEZ, a sixteen-year-old girl, against her will.”</w:t>
      </w:r>
    </w:p>
    <w:p w:rsidR="00000000" w:rsidDel="00000000" w:rsidP="00000000" w:rsidRDefault="00000000" w:rsidRPr="00000000" w14:paraId="000005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that the death penalty could not be imposed on Mendez, because the prosecution had proved that the victim was only the “stepdaughter” of the accused, not his “daughter” as alleged in the Information. In People v. Villanueva,'* People v. Melendrez* People v. Villaroza,” People v. Garcia,’* People v. Magtrayo,’ and People v. Dela Cuesta,?® the Informations alleged that the victim was the stepdaughter of the accused. However, it was proven during the trial that appellants were only the common-law spouses of the victims’ mothers. Hence, the death penalty imposed by the trial court was reduced to reclusion perpetua. The Court ruled that the words stepdaughter and stepfather presupposed a legitimate marriage between the accused and the victim’s mother. Again, these cases are reminiscent of Echegaray.</w:t>
      </w:r>
    </w:p>
    <w:p w:rsidR="00000000" w:rsidDel="00000000" w:rsidP="00000000" w:rsidRDefault="00000000" w:rsidRPr="00000000" w14:paraId="000005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 Similarly in People v. Cajara, the “third-degree relationship” alleged in the Information was, however, deemed unproven “because the accused and Merly Tagana, sister of the victim Marita Cajote, were mere common-law husband and wife and were not legally married at the time of the rape.” Again, the penalty was reduced to reclusion perpetua.</w:t>
      </w:r>
    </w:p>
    <w:p w:rsidR="00000000" w:rsidDel="00000000" w:rsidP="00000000" w:rsidRDefault="00000000" w:rsidRPr="00000000" w14:paraId="000005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 In People v. Panique,” People v. Tabion,” People v. Motos,* People v. Magbanua,* People v. Flores,” People v. Ramon,” People v. Bernaldez,* People v. Flores, People v. Pailanco,® People v. Cortes,?! People v. Bacule,? People v. Bagona,® People v. Bayra,* People v. Decena, People v. Mamac,* People v. Traya,*” People v. Ferolino,*® People v. Historillo,” People v. Nava Jr.,° People v. Arillas,*’ People v. Alcartado, People v. Surilla,? People v. Balacano,4 People v, Villar,° People v. Fraga, People v. Campaner,’” People v. Lomibao, People v. Cruz, People v. Gabiana, People v. Gutierrez,51 and People v. Nogar,** the Informations failed to mention or specify clearly the filial relationship between the offender and the offended party and/or the age of the victim. Hence, the penalties were accordingly reduced to reclusion perpetua.</w:t>
      </w:r>
    </w:p>
    <w:p w:rsidR="00000000" w:rsidDel="00000000" w:rsidP="00000000" w:rsidRDefault="00000000" w:rsidRPr="00000000" w14:paraId="000005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Significantly, in Ferolino, the Court through Chief Justice Hilario G. Davide Jr. held that the allegation in the Information that the victim was the niece of the accused was “not specific enough to satisfy” the law. It was still necessary “to further allege that such a relationship was within the third civil degree,” because there were uncle-niece relationships that were beyond that degree of proximity. In our country, even the daughter of a cousin is referred to as a pamangkin or</w:t>
      </w:r>
    </w:p>
    <w:p w:rsidR="00000000" w:rsidDel="00000000" w:rsidP="00000000" w:rsidRDefault="00000000" w:rsidRPr="00000000" w14:paraId="0000052F">
      <w:pPr>
        <w:ind w:lef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niece. The insufficiency of the uncle-niece relationship was reiterated in People v. Banihit.</w:t>
      </w:r>
    </w:p>
    <w:p w:rsidR="00000000" w:rsidDel="00000000" w:rsidP="00000000" w:rsidRDefault="00000000" w:rsidRPr="00000000" w14:paraId="000005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Reiterating People v. Teves, People v. Gianan held that an Information stating merely that appellant “with lewd design, taking advantage of his superior strength over the person of his own twelve (12) year old daughter” did not sufficiently allege “the qualifying circumstances of age and relationship,” because</w:t>
      </w:r>
    </w:p>
    <w:p w:rsidR="00000000" w:rsidDel="00000000" w:rsidP="00000000" w:rsidRDefault="00000000" w:rsidRPr="00000000" w14:paraId="000005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Be it in terms of syntax or composition, the wording of the information is unable to sufficiently notify the accused, a person of common understanding or ordinary intelligence, of the gravity or nature of the crime he had been charged [with], x x x.”</w:t>
      </w:r>
    </w:p>
    <w:p w:rsidR="00000000" w:rsidDel="00000000" w:rsidP="00000000" w:rsidRDefault="00000000" w:rsidRPr="00000000" w14:paraId="000005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Cajara,* the accused could not be convicted of qualified rape on the basis of the circumstance that the rape had been committed in full view of the relatives of the victim within the third degree of consanguinity, because this qualifying circumstance was not pleaded in the Information x x x.”</w:t>
      </w:r>
    </w:p>
    <w:p w:rsidR="00000000" w:rsidDel="00000000" w:rsidP="00000000" w:rsidRDefault="00000000" w:rsidRPr="00000000" w14:paraId="00000533">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34">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2. Failure to Prove Age</w:t>
      </w:r>
    </w:p>
    <w:p w:rsidR="00000000" w:rsidDel="00000000" w:rsidP="00000000" w:rsidRDefault="00000000" w:rsidRPr="00000000" w14:paraId="000005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Brigildo,” People v. Tipay, People v. Cula, People v. Licanda, People v. Tabanggay, and People v. Canonigo, the Court ruled that the victim's age, though properly alleged, had not been adequately proven; hence, the penalty was reduced to reclusion perpetua. In People v. Baniguid, the allegation in the Information that complainant was the “minor daughter” of appellant was held insufficient. Citing People v. Puertollano, the Court stressed that the exact age of the victim must be stated.</w:t>
      </w:r>
    </w:p>
    <w:p w:rsidR="00000000" w:rsidDel="00000000" w:rsidP="00000000" w:rsidRDefault="00000000" w:rsidRPr="00000000" w14:paraId="000005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critical issue of how to prove the ages of the victims was discussed by the Court in People v. Dela Cruz,” which ruled as follows:</w:t>
      </w:r>
    </w:p>
    <w:p w:rsidR="00000000" w:rsidDel="00000000" w:rsidP="00000000" w:rsidRDefault="00000000" w:rsidRPr="00000000" w14:paraId="000005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burden to prove the minority age of the victim is on the prosecution. As minority age is a qualifying circumstance, it must be proved beyond reasonable doubt. Using this unbending yardstick, the death penalty was not imposed by this Court in cases where there was no evidence at all of the minority age of the victim or where the evidence was weak, unreliable and insufficient.</w:t>
      </w:r>
    </w:p>
    <w:p w:rsidR="00000000" w:rsidDel="00000000" w:rsidP="00000000" w:rsidRDefault="00000000" w:rsidRPr="00000000" w14:paraId="00000538">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“In People vs. Javier,” the victim was alleged to be 16 years old. The Court observed that there is not much difference between a 16 and an 18 year old woman. Thus, we held that there [was] need to present independent proof of her actual age.</w:t>
      </w:r>
      <w:r w:rsidDel="00000000" w:rsidR="00000000" w:rsidRPr="00000000">
        <w:rPr>
          <w:rtl w:val="0"/>
        </w:rPr>
      </w:r>
    </w:p>
    <w:p w:rsidR="00000000" w:rsidDel="00000000" w:rsidP="00000000" w:rsidRDefault="00000000" w:rsidRPr="00000000" w14:paraId="000005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required the presentation of the minor’s birth certificate but rightly, we did not rule out the presentation of the testimony of the victim’s mother to prove minority in future cases. As the minority was not proved by the prosecution, we did not mete out the death penalty. </w:t>
      </w:r>
    </w:p>
    <w:p w:rsidR="00000000" w:rsidDel="00000000" w:rsidP="00000000" w:rsidRDefault="00000000" w:rsidRPr="00000000" w14:paraId="000005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vs. Tipay,” the victim was alleged to be 15 years old. Once more, the Court observed that it was difficult to differentiate a 16 from an 18 year-old girl. We stressed that the crucial years were between 15 to 17 years and we held that, in this situation, the prosecution’s proof of [the] minority age of the victim must be given the strictest scrutiny. We examined the record of the case and found that there was no ‘independent’ evidence that would prove the victim’s minority age. The victim’s age was merely alleged in the Information. Again, we did not impose the death penalty.</w:t>
      </w:r>
    </w:p>
    <w:p w:rsidR="00000000" w:rsidDel="00000000" w:rsidP="00000000" w:rsidRDefault="00000000" w:rsidRPr="00000000" w14:paraId="000005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vs. Cula, the Court again did not appreciate the qualifying circumstance of minority. We held that there was absolutely no evidence at all on record to prove the victim’s age. We even noted that the trial court failed to make a categorical finding regarding the minority of the victim. For failure of proof, we saved the accused-appellant from the death penalty.</w:t>
      </w:r>
    </w:p>
    <w:p w:rsidR="00000000" w:rsidDel="00000000" w:rsidP="00000000" w:rsidRDefault="00000000" w:rsidRPr="00000000" w14:paraId="000005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vs. Brigildo,” the prosecution again faltered in its task of proving the minority of the victim. We rejected the testimony of the victim’s mother as to the victim’s age as it contradicted the testimony of the victim herself. The Informations in said case even alleged a different age. ‘Faced with uncertainty regarding private complainant's age,’ we declined to penalize the accused-appellant with death.</w:t>
      </w:r>
    </w:p>
    <w:p w:rsidR="00000000" w:rsidDel="00000000" w:rsidP="00000000" w:rsidRDefault="00000000" w:rsidRPr="00000000" w14:paraId="000005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at bar, however, the prosecution proved the minority age of the victims beyond reasonable doubt. Delia, the victims’ mother, categorically testified in the hearing of October 9, 1996 that her daughters were both fourteen (14) years of age at the time of the rape incidents complained of. Thus: r</w:t>
      </w:r>
    </w:p>
    <w:p w:rsidR="00000000" w:rsidDel="00000000" w:rsidP="00000000" w:rsidRDefault="00000000" w:rsidRPr="00000000" w14:paraId="000005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Mrs. Witness, will you kindly tell the Court the age of your daughter Redelia dela Cruz? ‘A: She will be 15 this coming November, sir.</w:t>
      </w:r>
    </w:p>
    <w:p w:rsidR="00000000" w:rsidDel="00000000" w:rsidP="00000000" w:rsidRDefault="00000000" w:rsidRPr="00000000" w14:paraId="000005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How about your other daughter Jardelisa dela Cruz?</w:t>
      </w:r>
    </w:p>
    <w:p w:rsidR="00000000" w:rsidDel="00000000" w:rsidP="00000000" w:rsidRDefault="00000000" w:rsidRPr="00000000" w14:paraId="000005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14 years old, sir.</w:t>
      </w:r>
    </w:p>
    <w:p w:rsidR="00000000" w:rsidDel="00000000" w:rsidP="00000000" w:rsidRDefault="00000000" w:rsidRPr="00000000" w14:paraId="000005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Now, in the month of April 1996, would you recall any unusual incident that happened in your house?</w:t>
      </w:r>
      <w:r w:rsidDel="00000000" w:rsidR="00000000" w:rsidRPr="00000000">
        <w:rPr>
          <w:rFonts w:ascii="Georgia" w:cs="Georgia" w:eastAsia="Georgia" w:hAnsi="Georgia"/>
          <w:sz w:val="22"/>
          <w:szCs w:val="22"/>
          <w:vertAlign w:val="superscript"/>
        </w:rPr>
        <w:footnoteReference w:customMarkFollows="0" w:id="98"/>
      </w:r>
      <w:r w:rsidDel="00000000" w:rsidR="00000000" w:rsidRPr="00000000">
        <w:rPr>
          <w:rtl w:val="0"/>
        </w:rPr>
      </w:r>
    </w:p>
    <w:p w:rsidR="00000000" w:rsidDel="00000000" w:rsidP="00000000" w:rsidRDefault="00000000" w:rsidRPr="00000000" w14:paraId="000005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(Redelia was) raped.’”</w:t>
      </w:r>
    </w:p>
    <w:p w:rsidR="00000000" w:rsidDel="00000000" w:rsidP="00000000" w:rsidRDefault="00000000" w:rsidRPr="00000000" w14:paraId="000005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is no reason to doubt Delia’s testimony. As a mother, she has personal knowledge of the ages of her children. Her testimony was never challenged by the accused who could have presented the victims’ birth certificates.”’ Delia’s testimony stood unrebutted by any other evidence. To be sure, this is not the first time that the Court is relying on the testimony of the victim’s mother to establish the minority age of the victim. In People vs. Balgos,” where the rape victim was six (6) years of age, we relied on the testimony of the victim’s mother to prove the victim’s age. Reposing trust on the testimony of the victim’s mother, we imposed the death penalty on the accused-appellant.”</w:t>
      </w:r>
    </w:p>
    <w:p w:rsidR="00000000" w:rsidDel="00000000" w:rsidP="00000000" w:rsidRDefault="00000000" w:rsidRPr="00000000" w14:paraId="000005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short, the Court held that the ages of the two victims, which were alleged in the Information to be 14 and 15 years at the time they were raped, had sufficiently been proven by the testimony of the victims’ common mother. This ruling was, however, challenged by a Separate Opinion” which, after citing previous rulings, contended that “when the victims’ alleged ages at the time of the sexual assault were between 13 and 18, neither their bare testimonies nor those of their respective mothers would be sufficient proof of their ages qualify the crime and justify the imposition of the death penalty.”</w:t>
      </w:r>
    </w:p>
    <w:p w:rsidR="00000000" w:rsidDel="00000000" w:rsidP="00000000" w:rsidRDefault="00000000" w:rsidRPr="00000000" w14:paraId="00000545">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Because of their importance, relevant portions of</w:t>
      </w:r>
      <w:r w:rsidDel="00000000" w:rsidR="00000000" w:rsidRPr="00000000">
        <w:rPr>
          <w:rFonts w:ascii="Georgia" w:cs="Georgia" w:eastAsia="Georgia" w:hAnsi="Georgia"/>
          <w:sz w:val="22"/>
          <w:szCs w:val="22"/>
          <w:rtl w:val="0"/>
        </w:rPr>
        <w:t xml:space="preserve"> the Separate Opinion are reproduced below:</w:t>
      </w:r>
    </w:p>
    <w:p w:rsidR="00000000" w:rsidDel="00000000" w:rsidP="00000000" w:rsidRDefault="00000000" w:rsidRPr="00000000" w14:paraId="000005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 rulings of the Court relative to the rape of minors require that proof of the age of the victim must be indubitable. We have invariably stated that in order to justify the imposition of death, there must be independent evidence proving the age of the victim, other than the latter’s testimony or even that of her mother or the absence of denial by the accused.”* In People v. Javier," we unanimously held:</w:t>
      </w:r>
    </w:p>
    <w:p w:rsidR="00000000" w:rsidDel="00000000" w:rsidP="00000000" w:rsidRDefault="00000000" w:rsidRPr="00000000" w14:paraId="000005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Although the victim’s age was not contested by the defense, proof of age of the victim is particularly necessary in this case considering that the victim’s age which was then 16 years old [was] just two years less than the majority age of 18. In this age of modernism, there is hardly any difference between a 16-year-old girl and an 18-year old one insofar as physical features and attributes are concerned. A physically developed 16year-old lass may be mistaken for an 18year-old young woman, in the same manner that a frail and young looking 18-year-old lady may pass [for] a 16-year-old minor. Thus, it is in this context that independent proof of the actual age of a rape victim becomes vital and essential so as to remove an[y] iota of doubt that the victim [was] indeed under 18 years of age as to fall under the qualifying circumstances enumerated in Republic Act. No. 7659. In a criminal prosecution especially of cases involving the extreme penalty of death, nothing but proof beyond reasonable doubt of every fact necessary to constitute the crime with which an accused is charged must be established by the prosecution in order for said penalty to be upheld. x x x Verily, the minority of the victim must be proved with equal certainty and clearness as the crime itself. Otherwise, failure to sufficiently establish the victim’s age is fatal and consequently bars conviction for rape in its qualified j form.’</w:t>
      </w:r>
    </w:p>
    <w:p w:rsidR="00000000" w:rsidDel="00000000" w:rsidP="00000000" w:rsidRDefault="00000000" w:rsidRPr="00000000" w14:paraId="000005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Cula,”° we emphasized that the burden of proving the age of the victim fell on the prosecution. We ruled thus:</w:t>
      </w:r>
    </w:p>
    <w:p w:rsidR="00000000" w:rsidDel="00000000" w:rsidP="00000000" w:rsidRDefault="00000000" w:rsidRPr="00000000" w14:paraId="000005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all events, it is the burden of the prosecution to prove with certainty the fact that the victim was below 18 when the rape was committed in order to justify the imposition of the death penalty. The record of the case is bereft of any independent evidence, such as the victim’s duly certified Certificate of Live Birth, accurately showing private complainant’s age. The fact that accused-appellant Manuel has not denied the allegation in the complaint that Maricel was 16 years old when the crime was committed cannot make up for the failure of the Prosecution to discharge its burden in this regard. Because of this lapse, as well as the corresponding failure of the trial court to make a categorical finding as to the minority of the victim, we hold that the qualifying circumstance of minority under Republic Act No. 7659 cannot be appreciated in this case, and accordingly the death penalty cannot be imposed,’</w:t>
      </w:r>
    </w:p>
    <w:p w:rsidR="00000000" w:rsidDel="00000000" w:rsidP="00000000" w:rsidRDefault="00000000" w:rsidRPr="00000000" w14:paraId="000005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Tipay,” the victim was alleged to have been only 15 years of age at the time of the rape incident. But the records were ‘bereft of any independent evidence which would accurately show complainant's age.’ Hence, the Court ruled: ‘That complainant’s [age] was alleged in the information and /or complaint as under 16 years is not sufficient. Nor does the lack of denial on the part of accused-appellant excuse the prosecution from discharging its burden in this regard.’</w:t>
      </w:r>
    </w:p>
    <w:p w:rsidR="00000000" w:rsidDel="00000000" w:rsidP="00000000" w:rsidRDefault="00000000" w:rsidRPr="00000000" w14:paraId="000005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Brigildo,” the victim was alleged to be 11 years old only, and the Court agreed that she was undisputedly a minor. Yet, we sought more concrete evidence to prove her exact age. We held:</w:t>
      </w:r>
    </w:p>
    <w:p w:rsidR="00000000" w:rsidDel="00000000" w:rsidP="00000000" w:rsidRDefault="00000000" w:rsidRPr="00000000" w14:paraId="000005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separate Informations in Criminal Case Nos. 4591-0 and 4607-0 alleged that the offended party in the two rape cases was the appellant's ‘step-daughter who is 11 years old.’ It is undisputed that the victim in the instant case is a minor. However, the records are unclear as to her exact age. The prosecution failed to present her birth certificate or any other evidence to prove just how old she really is. The separate Information filed alleged that the victim was 11 years old when she was raped in March and October, 1994. Yet, testifying a year later, complainant claimed she was only 11 years old. Her mother’s testimony on cross-examination, [in] contrast, would seem to indicate that she was around 15 years old at the time of the rapes complained of x x x.</w:t>
      </w:r>
    </w:p>
    <w:p w:rsidR="00000000" w:rsidDel="00000000" w:rsidP="00000000" w:rsidRDefault="00000000" w:rsidRPr="00000000" w14:paraId="000005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we are faced with the uncertainty regarding private complainant's exact age, not only because of ambiguous testimony on record, but also because the prosecution failed to present her birth certificate or other equally acceptable official document concerning her date of birth.’</w:t>
      </w:r>
    </w:p>
    <w:p w:rsidR="00000000" w:rsidDel="00000000" w:rsidP="00000000" w:rsidRDefault="00000000" w:rsidRPr="00000000" w14:paraId="000005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considering that the true age of the complainant had been placed in doubt and not properly proved, the Court was constrained to reduce the penalty of death to reclusion perpetua.</w:t>
      </w:r>
    </w:p>
    <w:p w:rsidR="00000000" w:rsidDel="00000000" w:rsidP="00000000" w:rsidRDefault="00000000" w:rsidRPr="00000000" w14:paraId="000005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various cases, the certificate of live birth accurately showing the complainant's age or some other official document or record, such as a school record, has been recognized as competent evidence to establish the victim’s age. Thus, in People v. Amban, the Court appreciated the school record of the offended party to establish her age. But a bare photocopy of the victim’s Certificate of Birth that has not been formally offered in evidence would not suffice, even if the appellant has not contested the victim's age. Thus, we held in People v. Tabanggay:</w:t>
      </w:r>
    </w:p>
    <w:p w:rsidR="00000000" w:rsidDel="00000000" w:rsidP="00000000" w:rsidRDefault="00000000" w:rsidRPr="00000000" w14:paraId="000005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[W]e find insufficient the bare testimony of private complainants and their mother as to their ages as well as their kinship to the appellant. We note that a photocopy of Genalyn’s Birth Certificate is included in the records of the case. But it was neither duly certified nor formally offered in evidence, Therefore, no probative value can be given to it. Furthermore, we cannot agree with the solicitor general that appellant’s admission of his relationship</w:t>
      </w:r>
      <w:r w:rsidDel="00000000" w:rsidR="00000000" w:rsidRPr="00000000">
        <w:rPr>
          <w:rFonts w:ascii="Georgia" w:cs="Georgia" w:eastAsia="Georgia" w:hAnsi="Georgia"/>
          <w:sz w:val="22"/>
          <w:szCs w:val="22"/>
          <w:vertAlign w:val="superscript"/>
        </w:rPr>
        <w:footnoteReference w:customMarkFollows="0" w:id="99"/>
      </w:r>
      <w:r w:rsidDel="00000000" w:rsidR="00000000" w:rsidRPr="00000000">
        <w:rPr>
          <w:rFonts w:ascii="Georgia" w:cs="Georgia" w:eastAsia="Georgia" w:hAnsi="Georgia"/>
          <w:sz w:val="22"/>
          <w:szCs w:val="22"/>
          <w:vertAlign w:val="superscript"/>
        </w:rPr>
        <w:footnoteReference w:customMarkFollows="0" w:id="100"/>
      </w:r>
      <w:r w:rsidDel="00000000" w:rsidR="00000000" w:rsidRPr="00000000">
        <w:rPr>
          <w:rFonts w:ascii="Georgia" w:cs="Georgia" w:eastAsia="Georgia" w:hAnsi="Georgia"/>
          <w:sz w:val="22"/>
          <w:szCs w:val="22"/>
          <w:rtl w:val="0"/>
        </w:rPr>
        <w:t xml:space="preserve"> with his victims would suffice. Elementary is the rule that the prosecution bears the burden of proving all the elements of a crime, including the qualifying circumstances. In sum, the death penalty cannot be imposed upon the appellant.’</w:t>
      </w:r>
    </w:p>
    <w:p w:rsidR="00000000" w:rsidDel="00000000" w:rsidP="00000000" w:rsidRDefault="00000000" w:rsidRPr="00000000" w14:paraId="000005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foregoing case, the victims’ ages were alleged to be 13 and 14.</w:t>
      </w:r>
    </w:p>
    <w:p w:rsidR="00000000" w:rsidDel="00000000" w:rsidP="00000000" w:rsidRDefault="00000000" w:rsidRPr="00000000" w14:paraId="00000552">
      <w:pPr>
        <w:rPr>
          <w:rFonts w:ascii="Georgia" w:cs="Georgia" w:eastAsia="Georgia" w:hAnsi="Georgia"/>
          <w:sz w:val="22"/>
          <w:szCs w:val="22"/>
        </w:rPr>
      </w:pPr>
      <w:sdt>
        <w:sdtPr>
          <w:id w:val="2097957827"/>
          <w:tag w:val="goog_rdk_1"/>
        </w:sdtPr>
        <w:sdtContent>
          <w:r w:rsidDel="00000000" w:rsidR="00000000" w:rsidRPr="00000000">
            <w:rPr>
              <w:rFonts w:ascii="Cardo" w:cs="Cardo" w:eastAsia="Cardo" w:hAnsi="Cardo"/>
              <w:sz w:val="22"/>
              <w:szCs w:val="22"/>
              <w:rtl w:val="0"/>
            </w:rPr>
            <w:t xml:space="preserve">“Of course, to avoid any absurdity the rule may engender, insofar as victims aged 10 years or below are concerned, the full Court concurred in People v. Tipay™ that the Court may take judicial notice of the ages of such victims.</w:t>
          </w:r>
        </w:sdtContent>
      </w:sdt>
    </w:p>
    <w:p w:rsidR="00000000" w:rsidDel="00000000" w:rsidP="00000000" w:rsidRDefault="00000000" w:rsidRPr="00000000" w14:paraId="000005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does not mean, however, that the presentation of the certificate of birth is at all times necessary to prove minority. The minority of a victim of tender age who may be below the age of ten is quite manifest and the court can take judicial _ notice thereof. The crucial years pertain to the ages of fifteen to seventeen where minority may seem to be dubitable due to one’s physical appearance. In this situation, the prosecution has the burden of proving with certainty the fact that the victim was under 18 years of age when the rape was committed in order to justify the imposition of the death penalty x x x.’</w:t>
      </w:r>
    </w:p>
    <w:p w:rsidR="00000000" w:rsidDel="00000000" w:rsidP="00000000" w:rsidRDefault="00000000" w:rsidRPr="00000000" w14:paraId="000005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the victims according to the Informations were aged 14 and 15 years at the time they were raped. However, per the ponencia, “the victims’ mother categorically testified in the hearing of October 9, 1996 that her daughters were both fourteen (14) years of age at the time of the rape incidents.” In any event, whether 14 or 15, they were so near the borderline, necessitating more solid proof other than bare verbal statements. Consistent with our doctrine initially laid down in Javier and followed through in Cula, Tipay, Brigildo and Tabanggay, there must be independent evidence that accurately shows the victims’ ages. I must repeat the rationale: in this era of modernism and rapid growth, the victims’ mere physical appearances are not enough to gauge their exact ages. Based on the recent aforecited unanimous Decisions of this Court, I respectfully submit that when the victims’ alleged ages at the time of the sexual assault were between 13 and 18 years, neither their bare testimonies nor those of their respective mothers would be sufficient proof of their ages to qualify the crime and justify the imposition of the death penalty. Verily, independent proof of each element of a crime, especially a heinous one, must be shown with moral certainty and beyond reasonable doubt. Be it remembered that the proof of age in the present case spells the difference between life and death!”</w:t>
      </w:r>
    </w:p>
    <w:p w:rsidR="00000000" w:rsidDel="00000000" w:rsidP="00000000" w:rsidRDefault="00000000" w:rsidRPr="00000000" w14:paraId="000005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Subsequently, in People v. Bawang, which cited People v. Cula as authority, the death penalty was reduced to reclusion perpetua because, “while the offended party averred that she was fourteen years old at the time, she presented no birth certificate to substantiate the averment.”</w:t>
      </w:r>
    </w:p>
    <w:p w:rsidR="00000000" w:rsidDel="00000000" w:rsidP="00000000" w:rsidRDefault="00000000" w:rsidRPr="00000000" w14:paraId="0000055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5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3. Failure to Allege </w:t>
      </w:r>
    </w:p>
    <w:p w:rsidR="00000000" w:rsidDel="00000000" w:rsidP="00000000" w:rsidRDefault="00000000" w:rsidRPr="00000000" w14:paraId="0000055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Other Qualifying Circumstances</w:t>
      </w:r>
    </w:p>
    <w:p w:rsidR="00000000" w:rsidDel="00000000" w:rsidP="00000000" w:rsidRDefault="00000000" w:rsidRPr="00000000" w14:paraId="000005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through Justice Santiago M. Kapunan, reduced the death penalty imposed in People v. Paramil,* because the Information for carnapping did not allege that the driver of the vehicle had been killed “in the course of the commission” of the crime “or on the occasion thereof.” And with respect to murder, the “qualifying circumstance of abuse of superior strength was not alleged in the information”; thus, appellant was convicted only of homicide.</w:t>
      </w:r>
    </w:p>
    <w:p w:rsidR="00000000" w:rsidDel="00000000" w:rsidP="00000000" w:rsidRDefault="00000000" w:rsidRPr="00000000" w14:paraId="000005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Similarly, Justice Josue N. Bellosillo refused to impose death on the murder-indictee in People v. Diaz*” because of “the failure of the public prosecutor to file the appropriate information for accused-appellant’s sexual assault on the victim.”</w:t>
      </w:r>
    </w:p>
    <w:p w:rsidR="00000000" w:rsidDel="00000000" w:rsidP="00000000" w:rsidRDefault="00000000" w:rsidRPr="00000000" w14:paraId="0000055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5C">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Proof of Aggravating Circumstance </w:t>
      </w:r>
    </w:p>
    <w:p w:rsidR="00000000" w:rsidDel="00000000" w:rsidP="00000000" w:rsidRDefault="00000000" w:rsidRPr="00000000" w14:paraId="0000055D">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When Penalty Ranges from </w:t>
      </w:r>
    </w:p>
    <w:p w:rsidR="00000000" w:rsidDel="00000000" w:rsidP="00000000" w:rsidRDefault="00000000" w:rsidRPr="00000000" w14:paraId="0000055E">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Reclusion Perpetua to Death</w:t>
      </w:r>
    </w:p>
    <w:p w:rsidR="00000000" w:rsidDel="00000000" w:rsidP="00000000" w:rsidRDefault="00000000" w:rsidRPr="00000000" w14:paraId="000005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lower penalty should be imposed “if an accused is found guilty of a felony for which the law prescribes a penalty composed of two indivisible penalties,” and no aggravating circumstance is</w:t>
      </w:r>
      <w:r w:rsidDel="00000000" w:rsidR="00000000" w:rsidRPr="00000000">
        <w:rPr>
          <w:rFonts w:ascii="Georgia" w:cs="Georgia" w:eastAsia="Georgia" w:hAnsi="Georgia"/>
          <w:sz w:val="22"/>
          <w:szCs w:val="22"/>
          <w:vertAlign w:val="superscript"/>
        </w:rPr>
        <w:footnoteReference w:customMarkFollows="0" w:id="101"/>
      </w:r>
      <w:r w:rsidDel="00000000" w:rsidR="00000000" w:rsidRPr="00000000">
        <w:rPr>
          <w:rFonts w:ascii="Georgia" w:cs="Georgia" w:eastAsia="Georgia" w:hAnsi="Georgia"/>
          <w:sz w:val="22"/>
          <w:szCs w:val="22"/>
          <w:vertAlign w:val="superscript"/>
        </w:rPr>
        <w:footnoteReference w:customMarkFollows="0" w:id="102"/>
      </w:r>
      <w:r w:rsidDel="00000000" w:rsidR="00000000" w:rsidRPr="00000000">
        <w:rPr>
          <w:rFonts w:ascii="Georgia" w:cs="Georgia" w:eastAsia="Georgia" w:hAnsi="Georgia"/>
          <w:sz w:val="22"/>
          <w:szCs w:val="22"/>
          <w:rtl w:val="0"/>
        </w:rPr>
        <w:t xml:space="preserve"> proven.** Thus, in People v. Pedroso the Court imposed reclusion perpetua, not death, because robbery with homicide, of which appellant was found guilty, was punishable by “reclusion perpetua to death under Article 294 of the Revised Penal Code.” No aggravating circumstance was proven by the prosecution.</w:t>
      </w:r>
    </w:p>
    <w:p w:rsidR="00000000" w:rsidDel="00000000" w:rsidP="00000000" w:rsidRDefault="00000000" w:rsidRPr="00000000" w14:paraId="000005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Zheng Bai Hui, the Court sentenced appellant to reclusion perpetua, not death, because the “sale of 200 or more grams of methamphetamine hydrochloride, a regulated drug, is punishable by reclusion perpetua to death and a fine ranging from P500,000 to P10,000,000. No aggravating circumstance attended the commission of the crime.”</w:t>
      </w:r>
    </w:p>
    <w:p w:rsidR="00000000" w:rsidDel="00000000" w:rsidP="00000000" w:rsidRDefault="00000000" w:rsidRPr="00000000" w14:paraId="000005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People v. Gaspar and People v. Gallego was even more strict. The Court said in Gallego:</w:t>
      </w:r>
    </w:p>
    <w:p w:rsidR="00000000" w:rsidDel="00000000" w:rsidP="00000000" w:rsidRDefault="00000000" w:rsidRPr="00000000" w14:paraId="000005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It is worth noting that the aggravating circumstance of dwelling was not alleged in the information. Nor was it mentioned, much less appreciated, in the decision of the trial court convicting the accused Gallego of murder. Neither was it raised as an issue in the Briefs of the parties. It is only now that the issue of dwelling, apparently overlooked from the inception of the case up to its elevation to this Court, has been unearthed.. Considering that the accused Gallego was not apprised of the aggravating circumstance of dwelling at any stage of the judicial proceedings and the resulting penalty will be DEATH if dwelling is appreciated, do the previous rulings of the Court that an aggravating circumstance may be appreciated against the accused even if it was not alleged in the information when proved without any objection on his part, or - even over his objection, apply to the case at bar?</w:t>
      </w:r>
    </w:p>
    <w:p w:rsidR="00000000" w:rsidDel="00000000" w:rsidP="00000000" w:rsidRDefault="00000000" w:rsidRPr="00000000" w14:paraId="000005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Any decision authorizing the State to take life must be as error-free as possible, hence it is the bounden duty of the Court to exercise extreme caution x x x.”</w:t>
      </w:r>
    </w:p>
    <w:p w:rsidR="00000000" w:rsidDel="00000000" w:rsidP="00000000" w:rsidRDefault="00000000" w:rsidRPr="00000000" w14:paraId="000005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Citing several cases, the Court held that dwelling, even if proven during the trial, could not be appreciated; it had to be alleged in the Information, because such appreciation would have increased the penalty to death.</w:t>
      </w:r>
    </w:p>
    <w:p w:rsidR="00000000" w:rsidDel="00000000" w:rsidP="00000000" w:rsidRDefault="00000000" w:rsidRPr="00000000" w14:paraId="00000565">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56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Conviction for a Lesser Offense</w:t>
      </w:r>
    </w:p>
    <w:p w:rsidR="00000000" w:rsidDel="00000000" w:rsidP="00000000" w:rsidRDefault="00000000" w:rsidRPr="00000000" w14:paraId="000005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Campuhan, the Court found the accused guilty only of attempted, not consummated, rape because the “prosecution utterly failed to discharge its onus of proving that Primo’s penis was able to penetrate Crysthel’s vagina, however slight.” I believe that this case revolved not so much on a doctrinal change in jurisprudence, as on insufficient proof of factual bases. The ponencia of Justice Josue N. Bellosillo carefully explained:</w:t>
      </w:r>
    </w:p>
    <w:p w:rsidR="00000000" w:rsidDel="00000000" w:rsidP="00000000" w:rsidRDefault="00000000" w:rsidRPr="00000000" w14:paraId="000005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Jurisprudence dictates that the labia majora must be entered for rape to be consummated,” and not merely for the penis to stroke the surface of the female organ. Thus, a grazing of the surface of the female organ or touching the mons pubis of the pudendum is not sufficient to constitute consummated rape. Absent any showing of the slightest penetration of the female organ, i.e., touching of either labia of the pudendum by the penis, there can be no consummated tape; at most, it can only be attempted rape, if not acts of lasciviousness.</w:t>
      </w:r>
    </w:p>
    <w:p w:rsidR="00000000" w:rsidDel="00000000" w:rsidP="00000000" w:rsidRDefault="00000000" w:rsidRPr="00000000" w14:paraId="000005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6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Proper Behavior </w:t>
      </w:r>
    </w:p>
    <w:p w:rsidR="00000000" w:rsidDel="00000000" w:rsidP="00000000" w:rsidRDefault="00000000" w:rsidRPr="00000000" w14:paraId="0000056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of Juvenile Offenders</w:t>
      </w:r>
    </w:p>
    <w:p w:rsidR="00000000" w:rsidDel="00000000" w:rsidP="00000000" w:rsidRDefault="00000000" w:rsidRPr="00000000" w14:paraId="000005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Candelario and Legarda, the death penalty imposed on Ludigario Candelaria and reclusion perpetua on Gerry Legarda were affirmed by the Court on July 28, 1999, and became final on August 20, 1999.</w:t>
      </w:r>
    </w:p>
    <w:p w:rsidR="00000000" w:rsidDel="00000000" w:rsidP="00000000" w:rsidRDefault="00000000" w:rsidRPr="00000000" w14:paraId="000005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Thereafter, the Court received a “Final Report” from the Department of Social Welfare and Development (DSWD) on December 20, 1999. It recommended that “the case against [Legarda] be dismissed and his custody be transferred from [DSWD] to his father, Mr. Emilio Legarda,” on the ground that the youthful offender had “behaved properly and had shown his capability to be a useful member of the community.”</w:t>
      </w:r>
    </w:p>
    <w:p w:rsidR="00000000" w:rsidDel="00000000" w:rsidP="00000000" w:rsidRDefault="00000000" w:rsidRPr="00000000" w14:paraId="000005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solicitor general interposed no objection to the recommendation. Thus, the Court directed the trial court of origin “to review [the recommendation] and to pronounce judgment thereon as it may deem proper.” The High Tribunal did not act directly on the DSWD recommendation because, following People v. Galit,° the former deemed the trial court to be ina better position to “seek out concrete material and relevant facts to confirm that the youthful offender has indeed been reformed and is ready to re-enter society as a productive and law-abiding citizen.”</w:t>
      </w:r>
    </w:p>
    <w:p w:rsidR="00000000" w:rsidDel="00000000" w:rsidP="00000000" w:rsidRDefault="00000000" w:rsidRPr="00000000" w14:paraId="0000056F">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Appellant’s Minority </w:t>
      </w:r>
    </w:p>
    <w:p w:rsidR="00000000" w:rsidDel="00000000" w:rsidP="00000000" w:rsidRDefault="00000000" w:rsidRPr="00000000" w14:paraId="00000570">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When the Crime Happened</w:t>
      </w:r>
    </w:p>
    <w:p w:rsidR="00000000" w:rsidDel="00000000" w:rsidP="00000000" w:rsidRDefault="00000000" w:rsidRPr="00000000" w14:paraId="000005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ponencia of Justice Sabino R. De Leon Jr. in People v. Lumandong” saved the accused from lethal</w:t>
      </w:r>
      <w:r w:rsidDel="00000000" w:rsidR="00000000" w:rsidRPr="00000000">
        <w:rPr>
          <w:rFonts w:ascii="Georgia" w:cs="Georgia" w:eastAsia="Georgia" w:hAnsi="Georgia"/>
          <w:sz w:val="22"/>
          <w:szCs w:val="22"/>
          <w:vertAlign w:val="superscript"/>
        </w:rPr>
        <w:footnoteReference w:customMarkFollows="0" w:id="103"/>
      </w:r>
      <w:r w:rsidDel="00000000" w:rsidR="00000000" w:rsidRPr="00000000">
        <w:rPr>
          <w:rFonts w:ascii="Georgia" w:cs="Georgia" w:eastAsia="Georgia" w:hAnsi="Georgia"/>
          <w:sz w:val="22"/>
          <w:szCs w:val="22"/>
          <w:rtl w:val="0"/>
        </w:rPr>
        <w:t xml:space="preserve"> injection, because he was only “14 years, 8 months and 15 days” old at the time the heinous crime was committed. Thus, he was entitled to the privileged mitigating circumstance of minority under Article 13(2) in relation to Article 68(1) of the Revised Penal Code, which favored him with a penalty two degrees lower than that prescribed for murder under Article 248 of the same Code.</w:t>
      </w:r>
    </w:p>
    <w:p w:rsidR="00000000" w:rsidDel="00000000" w:rsidP="00000000" w:rsidRDefault="00000000" w:rsidRPr="00000000" w14:paraId="0000057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Fulfillment of a Duty or </w:t>
      </w:r>
    </w:p>
    <w:p w:rsidR="00000000" w:rsidDel="00000000" w:rsidP="00000000" w:rsidRDefault="00000000" w:rsidRPr="00000000" w14:paraId="0000057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Lawful Exercise of a Right</w:t>
      </w:r>
    </w:p>
    <w:p w:rsidR="00000000" w:rsidDel="00000000" w:rsidP="00000000" w:rsidRDefault="00000000" w:rsidRPr="00000000" w14:paraId="000005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Ulep, the death penalty imposed by the trial court was reduced because the appellant, a police officer, should have been credited with the “incomplete circumstance of fulfillment of a duty or lawful exercise of a right.” Explained the Court:</w:t>
      </w:r>
    </w:p>
    <w:p w:rsidR="00000000" w:rsidDel="00000000" w:rsidP="00000000" w:rsidRDefault="00000000" w:rsidRPr="00000000" w14:paraId="00000576">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“Incomplete justification is a special or privileged mitigating circumstance, which, not only cannot be offset by aggravating circumstances but also reduces the penalty by one or two degrees than that prescribed by law. Undoubtedly, the instant case would have fallen under Art. 11, par. 5 of The Revised Penal Code had the two (2) conditions therefor concurred which, to reiterate: first, that the accused acted in the performance of a duty or the lawful exercise of a right or office; and second, that the injury or offense committed be the necessary consequence of the due performance of such duty or the lawful exercise of such right or office. But here, only the first condition was fulfilled. Hence, Art.</w:t>
      </w:r>
      <w:r w:rsidDel="00000000" w:rsidR="00000000" w:rsidRPr="00000000">
        <w:rPr>
          <w:rtl w:val="0"/>
        </w:rPr>
      </w:r>
    </w:p>
    <w:p w:rsidR="00000000" w:rsidDel="00000000" w:rsidP="00000000" w:rsidRDefault="00000000" w:rsidRPr="00000000" w14:paraId="000005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69 is applicable, although its “that the majority of such conditions be present,” is immaterial since there are only two (2) conditions that may be taken into account under Art. 11, par. 5. Article 69 is obviously in favor of the accused as it provides for a penalty lower than that prescribed by law when the crime committed is not wholly justifiable. The intention of the legislature, obviously, is to mitigate the penalty by reason of the diminution of either freedom of action, intelligence, or intent, or of the lesser perversity of the offender.”</w:t>
      </w:r>
    </w:p>
    <w:p w:rsidR="00000000" w:rsidDel="00000000" w:rsidP="00000000" w:rsidRDefault="00000000" w:rsidRPr="00000000" w14:paraId="0000057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9">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Crime Committed Prior </w:t>
      </w:r>
    </w:p>
    <w:p w:rsidR="00000000" w:rsidDel="00000000" w:rsidP="00000000" w:rsidRDefault="00000000" w:rsidRPr="00000000" w14:paraId="0000057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to December 31, 1993</w:t>
      </w:r>
    </w:p>
    <w:p w:rsidR="00000000" w:rsidDel="00000000" w:rsidP="00000000" w:rsidRDefault="00000000" w:rsidRPr="00000000" w14:paraId="000005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De Leon, the Court reduced the penalty to reclusion perpetua, because the rape was committed “between March and April 1989,” prior to the effectivity of the Death Penalty Law on December 31, 1993. In the same Decision, the appellant was acquitted of 16 counts of rape, because “(t]he victim’s testimony was overly generalized and lacked specific details on how each of the alleged sixteen rapes was committed.”</w:t>
      </w:r>
    </w:p>
    <w:p w:rsidR="00000000" w:rsidDel="00000000" w:rsidP="00000000" w:rsidRDefault="00000000" w:rsidRPr="00000000" w14:paraId="0000057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7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Illegal Possession of Firearm </w:t>
      </w:r>
    </w:p>
    <w:p w:rsidR="00000000" w:rsidDel="00000000" w:rsidP="00000000" w:rsidRDefault="00000000" w:rsidRPr="00000000" w14:paraId="0000057E">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as an Aggravating Circumstance</w:t>
      </w:r>
    </w:p>
    <w:p w:rsidR="00000000" w:rsidDel="00000000" w:rsidP="00000000" w:rsidRDefault="00000000" w:rsidRPr="00000000" w14:paraId="000005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ponencia in People v. Molina (a 1998 case) ruled that under RA 8294, which took effect on July 6,</w:t>
      </w:r>
      <w:r w:rsidDel="00000000" w:rsidR="00000000" w:rsidRPr="00000000">
        <w:rPr>
          <w:rFonts w:ascii="Georgia" w:cs="Georgia" w:eastAsia="Georgia" w:hAnsi="Georgia"/>
          <w:sz w:val="22"/>
          <w:szCs w:val="22"/>
          <w:vertAlign w:val="superscript"/>
        </w:rPr>
        <w:footnoteReference w:customMarkFollows="0" w:id="104"/>
      </w:r>
      <w:sdt>
        <w:sdtPr>
          <w:id w:val="-601232820"/>
          <w:tag w:val="goog_rdk_2"/>
        </w:sdtPr>
        <w:sdtContent>
          <w:r w:rsidDel="00000000" w:rsidR="00000000" w:rsidRPr="00000000">
            <w:rPr>
              <w:rFonts w:ascii="Cardo" w:cs="Cardo" w:eastAsia="Cardo" w:hAnsi="Cardo"/>
              <w:sz w:val="22"/>
              <w:szCs w:val="22"/>
              <w:rtl w:val="0"/>
            </w:rPr>
            <w:t xml:space="preserve"> 1997, the use of an unlicensed firearm merely aggravated homicide or murder and may no longer be the source of a separate conviction for the crime of illegal possession. Such a ruling was reiterated in People v. Feloteo’” and People v. Narvasa.? This doctrine, according to Justice Bernardo P. Pardo in People v. Macoy,'™ should be given retroactive effect insofar as it was favorable to the accused. Hence, although the two Informations had alleged that the crimes were committed on October 9, 1995, Victor Macoy may nonetheless be convicted only of parricide, and no longer of illegal possession also. Further, even if illegal possession aggravated parricide, the death penalty may still not be imposed, because the retroactive application of the doctrine would be unfavorable to the accused. People v. Samonte’” followed suit by holding that the use of an illegally possessed firearm in a killing committed on June 13, 1993, prior to the effectivity of RA 8294, should be treated merely as an aggravation of the penalty and not penalized as a separate crime, “as it is advantageous to the accused-appellant.”</w:t>
          </w:r>
        </w:sdtContent>
      </w:sdt>
    </w:p>
    <w:p w:rsidR="00000000" w:rsidDel="00000000" w:rsidP="00000000" w:rsidRDefault="00000000" w:rsidRPr="00000000" w14:paraId="00000580">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People v. Ringor also refused to consider illegal possession as an aggravating circumstance and thereby give retroactive effect to RA 8294, inasmuch as the murder for which appellant was convicted happened on June 23, 1994. Hence, the penalty was reduced to reclusion perpetua.</w:t>
      </w:r>
      <w:r w:rsidDel="00000000" w:rsidR="00000000" w:rsidRPr="00000000">
        <w:rPr>
          <w:rtl w:val="0"/>
        </w:rPr>
      </w:r>
    </w:p>
    <w:p w:rsidR="00000000" w:rsidDel="00000000" w:rsidP="00000000" w:rsidRDefault="00000000" w:rsidRPr="00000000" w14:paraId="000005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Ladjaalam, the accused was convicted by the trial court of direct assault with multiple attempted homicide for firing an unlicensed M-14 rifle at several policemen who were about to serve a search warrant. Again applying RA 8294, the Supreme Court ruled that the accused could no longer be held guilty of illegal possession of the firearms used in the attempted killing. Neither could such unlawful act be considered to have aggravated the direct assault.</w:t>
      </w:r>
    </w:p>
    <w:p w:rsidR="00000000" w:rsidDel="00000000" w:rsidP="00000000" w:rsidRDefault="00000000" w:rsidRPr="00000000" w14:paraId="000005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justifying this ruling, the Court explained:</w:t>
      </w:r>
    </w:p>
    <w:p w:rsidR="00000000" w:rsidDel="00000000" w:rsidP="00000000" w:rsidRDefault="00000000" w:rsidRPr="00000000" w14:paraId="000005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penal laws are construed liberally in favor of the accused.’ In this case, the plain meaning of RA 8294's simple language is most favorable to herein appellant. Verily, no other interpretation is justified, for the language of the new law demonstrates the legislative intent to favor the accused.'” Accordingly, appellant cannot be convicted of two separate offenses of illegal possession of firearms and direct assault with attempted homicide. Moreover, since the crime committed was direct assault and not homicide or murder, illegal possession of firearms cannot be deemed an aggravating circumstance.</w:t>
      </w:r>
    </w:p>
    <w:p w:rsidR="00000000" w:rsidDel="00000000" w:rsidP="00000000" w:rsidRDefault="00000000" w:rsidRPr="00000000" w14:paraId="000005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reject the OSG’s contention that PD 1866, as worded prior to its amendment by RA 8294, should be applied in this case.</w:t>
      </w:r>
    </w:p>
    <w:p w:rsidR="00000000" w:rsidDel="00000000" w:rsidP="00000000" w:rsidRDefault="00000000" w:rsidRPr="00000000" w14:paraId="000005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the crime was committed on September 24, 1997, the original language of PD 1866 had already been expressly superseded by RA 8294 which took effect on July 6, 1997."° In other words, no longer in existence was the earlier provision of PD 1866, which justified a conviction for illegal possession of firearms separate from any other crime. It was replaced by RA 8294 which, among other amendments to PD 1866, contained the specific proviso that “no other crime was committed.”</w:t>
      </w:r>
    </w:p>
    <w:p w:rsidR="00000000" w:rsidDel="00000000" w:rsidP="00000000" w:rsidRDefault="00000000" w:rsidRPr="00000000" w14:paraId="00000586">
      <w:pPr>
        <w:rPr>
          <w:rFonts w:ascii="Georgia" w:cs="Georgia" w:eastAsia="Georgia" w:hAnsi="Georgia"/>
          <w:sz w:val="22"/>
          <w:szCs w:val="22"/>
        </w:rPr>
      </w:pPr>
      <w:sdt>
        <w:sdtPr>
          <w:id w:val="1538210063"/>
          <w:tag w:val="goog_rdk_3"/>
        </w:sdtPr>
        <w:sdtContent>
          <w:r w:rsidDel="00000000" w:rsidR="00000000" w:rsidRPr="00000000">
            <w:rPr>
              <w:rFonts w:ascii="Cardo" w:cs="Cardo" w:eastAsia="Cardo" w:hAnsi="Cardo"/>
              <w:sz w:val="22"/>
              <w:szCs w:val="22"/>
              <w:rtl w:val="0"/>
            </w:rPr>
            <w:t xml:space="preserve">“Furthermore, the OSG’s reliance on People v. Jayson™ is misplaced. True, this Court sustained the conviction of appellant for illegal possession of firearms, although he had also committed homicide. We explained, however, that “the criminal case for homicide [was] not before us for consideration.”</w:t>
          </w:r>
        </w:sdtContent>
      </w:sdt>
    </w:p>
    <w:p w:rsidR="00000000" w:rsidDel="00000000" w:rsidP="00000000" w:rsidRDefault="00000000" w:rsidRPr="00000000" w14:paraId="000005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unacceptable is the interpretation of the trial court. We find no justification for limiting the proviso in the second Paragraph to murder and homicide. The law is clear: the accused can be convicted of simple illegal Possession of firearms, provided that “no other crime was committed by the person arrested.” If the intention of the law in the second paragraph were to refer only to homicide and murder, it should have - expressly said so, as it did in the third paragraph. Verily, where the law does not distinguish, neither should we.”</w:t>
      </w:r>
    </w:p>
    <w:p w:rsidR="00000000" w:rsidDel="00000000" w:rsidP="00000000" w:rsidRDefault="00000000" w:rsidRPr="00000000" w14:paraId="0000058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Remands Resulting from </w:t>
      </w:r>
    </w:p>
    <w:p w:rsidR="00000000" w:rsidDel="00000000" w:rsidP="00000000" w:rsidRDefault="00000000" w:rsidRPr="00000000" w14:paraId="000005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Improvident Plea or </w:t>
      </w:r>
    </w:p>
    <w:p w:rsidR="00000000" w:rsidDel="00000000" w:rsidP="00000000" w:rsidRDefault="00000000" w:rsidRPr="00000000" w14:paraId="000005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Other Reasons</w:t>
      </w:r>
    </w:p>
    <w:p w:rsidR="00000000" w:rsidDel="00000000" w:rsidP="00000000" w:rsidRDefault="00000000" w:rsidRPr="00000000" w14:paraId="000005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Bello, People v. Tizon, People v. Nadera, People v. Abapo and People v. Durango, the Court vacated or set aside the lower courts’ judgments of conviction and remanded the cases for proper arraignment and trial with “all deliberate speed,” because the accused had “improvidently pleaded guilty.” Under the law and the Rules of Court, it is the duty of the trial court to conduct a “searching inquiry” to determine whether the accused freely and voluntarily admitted guilt and understood the meaning and the consequences of a positive plea.</w:t>
      </w:r>
    </w:p>
    <w:p w:rsidR="00000000" w:rsidDel="00000000" w:rsidP="00000000" w:rsidRDefault="00000000" w:rsidRPr="00000000" w14:paraId="000005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worthwhile to quote portions of these Decisions, because they teach a few lessons on “improvident pleas.”</w:t>
      </w:r>
    </w:p>
    <w:p w:rsidR="00000000" w:rsidDel="00000000" w:rsidP="00000000" w:rsidRDefault="00000000" w:rsidRPr="00000000" w14:paraId="000005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Bello, the Court through Justice Jose A.R. Melo observed:</w:t>
      </w:r>
    </w:p>
    <w:p w:rsidR="00000000" w:rsidDel="00000000" w:rsidP="00000000" w:rsidRDefault="00000000" w:rsidRPr="00000000" w14:paraId="000005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‘searching inquiry,’ under the Rules, means more than informing cursorily the accused that he faces a jail term but also, the exact length of imprisonment under the law and the certainty that he will serve time at the national penitentiary or a penal colony. Not infrequently indeed, an accused pleads guilty in the hope of a lenient treatment, or upon</w:t>
      </w:r>
      <w:r w:rsidDel="00000000" w:rsidR="00000000" w:rsidRPr="00000000">
        <w:rPr>
          <w:rFonts w:ascii="Georgia" w:cs="Georgia" w:eastAsia="Georgia" w:hAnsi="Georgia"/>
          <w:sz w:val="22"/>
          <w:szCs w:val="22"/>
          <w:vertAlign w:val="superscript"/>
          <w:rtl w:val="0"/>
        </w:rPr>
        <w:t xml:space="preserve"> </w:t>
      </w:r>
      <w:r w:rsidDel="00000000" w:rsidR="00000000" w:rsidRPr="00000000">
        <w:rPr>
          <w:rFonts w:ascii="Georgia" w:cs="Georgia" w:eastAsia="Georgia" w:hAnsi="Georgia"/>
          <w:sz w:val="22"/>
          <w:szCs w:val="22"/>
          <w:rtl w:val="0"/>
        </w:rPr>
        <w:t xml:space="preserve">bad advice, or because of promises of the authorities or parties of a lighter penalty should he admit guilt or express remorse. It is the duty of the judge to see to it that the accused does not labor under these mistaken impressions (People v. Dayot, supra).</w:t>
      </w:r>
    </w:p>
    <w:p w:rsidR="00000000" w:rsidDel="00000000" w:rsidP="00000000" w:rsidRDefault="00000000" w:rsidRPr="00000000" w14:paraId="000005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“Although there is no definite and concrete rule as to how a trial judge may go about the matter of a proper ‘searching inquiry,’ it would be well for the court, for instance, to require the accused to fully narrate the incident that spawned the charges against him, or by making him reenact the manner in which he perpetrated the crime, or by causing him to furnish and explain to the court missing details of significance (People v. Estomaca, 256 SCRA 429 [1996]). In the case under review, the record does not reveal any information about the personality profile of accused-appellant which can serve as a trustworthy index of his capacity to give a free and informed plea of guilt. Questions pertaining to the age, socio-economic status, and educational background of accused-appellant which may provide contributory insights for a proper verdict in this case were not propounded by the trial court.</w:t>
      </w:r>
    </w:p>
    <w:p w:rsidR="00000000" w:rsidDel="00000000" w:rsidP="00000000" w:rsidRDefault="00000000" w:rsidRPr="00000000" w14:paraId="000005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the trial court did not bother to explain to accused-appellant the essential elements of the crime of rape pursuant to Section 11 of Republic Act No. 7659 violation of which he was charged with. The trial judge also failed to inform accused-appellant that he would be made to indemnify his victim. As a result, accused-appellant was not properly accorded his fundamental right to be informed of the precise nature of the accusation against him, which is an integral aspect of the due process clause under the Constitution (People v. Sevilleno, G.R. No. 129058, March 29, 1999).</w:t>
      </w:r>
    </w:p>
    <w:p w:rsidR="00000000" w:rsidDel="00000000" w:rsidP="00000000" w:rsidRDefault="00000000" w:rsidRPr="00000000" w14:paraId="000005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“Likewise, there is no showing that accused-appellant was specifically warned that on his plea of guilty, he would definitely and in any event be given death penalty under Republic Act No. 7659. He was categorically advised that his plea of guilty would not under any circumstance affect or reduce the death sentence as he may have believed or as it may have been erroneously suggested to him. Such mistaken belief on the part of accused-appellant which may have impelled him to plead guilty is demonstrated in his testimony, to wit:</w:t>
      </w:r>
    </w:p>
    <w:p w:rsidR="00000000" w:rsidDel="00000000" w:rsidP="00000000" w:rsidRDefault="00000000" w:rsidRPr="00000000" w14:paraId="000005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PROS. CANA:</w:t>
      </w:r>
    </w:p>
    <w:p w:rsidR="00000000" w:rsidDel="00000000" w:rsidP="00000000" w:rsidRDefault="00000000" w:rsidRPr="00000000" w14:paraId="000005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Knowing the contents of the four Informations during the re-arraignment, you pleaded ‘Guilty’ to each of them?</w:t>
      </w:r>
    </w:p>
    <w:p w:rsidR="00000000" w:rsidDel="00000000" w:rsidP="00000000" w:rsidRDefault="00000000" w:rsidRPr="00000000" w14:paraId="000005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I was afraid because, according to them, I will be hanged and I do not want to be hanged because who will support my wife and my children. My wife has no work.</w:t>
      </w:r>
    </w:p>
    <w:p w:rsidR="00000000" w:rsidDel="00000000" w:rsidP="00000000" w:rsidRDefault="00000000" w:rsidRPr="00000000" w14:paraId="00000596">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COURT: </w:t>
      </w:r>
    </w:p>
    <w:p w:rsidR="00000000" w:rsidDel="00000000" w:rsidP="00000000" w:rsidRDefault="00000000" w:rsidRPr="00000000" w14:paraId="00000597">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Q: As a whole, you deny these four (4)</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incidents of Rape you have committed against your daughter?</w:t>
      </w:r>
    </w:p>
    <w:p w:rsidR="00000000" w:rsidDel="00000000" w:rsidP="00000000" w:rsidRDefault="00000000" w:rsidRPr="00000000" w14:paraId="000005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I do not know about that.</w:t>
      </w:r>
    </w:p>
    <w:p w:rsidR="00000000" w:rsidDel="00000000" w:rsidP="00000000" w:rsidRDefault="00000000" w:rsidRPr="00000000" w14:paraId="000005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 Inspite [sic] of the fact that previously you entered a plea of ‘guilty’ to each of these four (4) counts?</w:t>
      </w:r>
    </w:p>
    <w:p w:rsidR="00000000" w:rsidDel="00000000" w:rsidP="00000000" w:rsidRDefault="00000000" w:rsidRPr="00000000" w14:paraId="000005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Because I am afraid, I might be killed.</w:t>
      </w:r>
    </w:p>
    <w:p w:rsidR="00000000" w:rsidDel="00000000" w:rsidP="00000000" w:rsidRDefault="00000000" w:rsidRPr="00000000" w14:paraId="000005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repeated and emphatic declarations of accused-appellant should have attracted the attention of the trial court that accused-appellant did not have full knowledge of the consequences of his plea. The trial judge at this instance should have informed and forewarned accused-appellant, in ordinary language, of three things: First, that accused-appellant’s plea of guilty cannot be considered mitigating as it was made after the presentation of the evidence for the prosecution, thus, foreclosing the application of Paragraph 7, Article 13 of the Revised Penal Code. Second, that the penalty of death shall be imposed when the rape is committed by a father against a minor daughter, in accordance with Section 11 of Republic Act No. 7659. Third, that inasmuch as death is a single indivisible penalty, it shall be applied by the courts regardless of any mitigating or aggravating circumstance that may have attended the commission of the offense, as provided by Article 63 of the Revised Penal Code. Verily, accused-appellant cannot be reasonably expected to fully understand all the implications of his plea without the necessary detailed elucidation on the part of the trial judge. Clearly, the latter failed to observe the quantum of care which the Court had prescribed for the valid admission of a plea of guilty by an accused. As a dispenser of justice, the trial judge should have endeavored to discharge his duties competently and efficiently so as not to erode public confidence in the judiciary.</w:t>
      </w:r>
    </w:p>
    <w:p w:rsidR="00000000" w:rsidDel="00000000" w:rsidP="00000000" w:rsidRDefault="00000000" w:rsidRPr="00000000" w14:paraId="000005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 plea of guilty must be an unconditional admission of guilt. It must be of such nature as to foreclose the defendant's right to defend himself from said charge, thus leaving the court no alternative but to impose the penalty fixed by law (People v. De Luna, 174 SCRA 204 [1989]). An accused may not foist a conditional plea of guilty on the court in the sense that he admits his guilt provided that a certain penalty will be meted unto him. Likewise, a formal plea of not guilty should properly be entered if an accused admits the truth of some or all the allegations of the information, but interposes excuses or additional facts which, if duly established would exempt or relieve him in whole or in part of criminal responsibility (People v. Albert, supra).”</w:t>
      </w:r>
    </w:p>
    <w:p w:rsidR="00000000" w:rsidDel="00000000" w:rsidP="00000000" w:rsidRDefault="00000000" w:rsidRPr="00000000" w14:paraId="000005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Durango, the ponente, Justice Jose C. Vitug, held:</w:t>
      </w:r>
    </w:p>
    <w:p w:rsidR="00000000" w:rsidDel="00000000" w:rsidP="00000000" w:rsidRDefault="00000000" w:rsidRPr="00000000" w14:paraId="0000059E">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“Of most troublous concern is the fact that the accused has not been apprised at all of the consequences of the plea, let alone specifically warned that, given his plea of guilt, the death sentence decreed under Republic Act No. 7659 would nevertheless have to be imposed, contrary to what he might have entertained or been advised. It is essential that a searching inquiry is conducted after the accused pleads guilty to a capital offense, and it must focus on: (1) the voluntariness of the plea and (2) a complete comprehension of the legal effects of the plea so that the plea of guilt can be truly said as being based on a free and informed judgment. So indispensable is this requirement that a plea of guilt to a capital offense can he held null and void where the trial court has inadequately discharged the duty of conducting the prescribed ‘searching inquiry.’" The trial court should also be convinced that the accused has not been coerced or placed under a state of duress either by actual threats or physical harm coming from malevolent or avenging quarters, and this it can do either by eliciting from the accused himself the manner in which he has been brought into _ the custody of the law and whether he had the assistance of competent counsel during the custodial and preliminary investigations or by ascertaining from him the conditions of his detention and interrogation during the investigation. Likewise, a series of questions directed at defense counsel on whether or not counsel has conferred with the accused and has completely explained to him the meaning of a plea of guilt are well-taken steps along those lines.”</w:t>
      </w:r>
      <w:r w:rsidDel="00000000" w:rsidR="00000000" w:rsidRPr="00000000">
        <w:rPr>
          <w:rtl w:val="0"/>
        </w:rPr>
      </w:r>
    </w:p>
    <w:p w:rsidR="00000000" w:rsidDel="00000000" w:rsidP="00000000" w:rsidRDefault="00000000" w:rsidRPr="00000000" w14:paraId="000005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Nadera, the Court, speaking through Mr. Justice Vicente V. Mendoza, even chastised the lawyers of the accused in this language:</w:t>
      </w:r>
    </w:p>
    <w:p w:rsidR="00000000" w:rsidDel="00000000" w:rsidP="00000000" w:rsidRDefault="00000000" w:rsidRPr="00000000" w14:paraId="000005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cavalier attitude of the accused-appellant's counsel, Atty. Manolo A. Brotonel of the Public Attorney’s Office, cannot go unnoticed. It is discernible in (a) his refusal to cross examine Oleby Nadera; (b) the manner in which he conducted Maricris Nadera’s cross examination; and, (c) his failure not only to present evidence for the accused but also to inform the accused of his right to do so, if he desires.</w:t>
      </w:r>
    </w:p>
    <w:p w:rsidR="00000000" w:rsidDel="00000000" w:rsidP="00000000" w:rsidRDefault="00000000" w:rsidRPr="00000000" w14:paraId="000005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“Only [the] faithful performance by counsel of his duty towards his client can give meaning and substance to the accused’s right to due process and to be presumed innocent until proven otherwise. Hence, a lawyer's duty, especially that of a defense counsel, must not be taken lightly. It must be performed with all the zeal and vigor at his command to protect and safeguard the accused’s fundamental rights.</w:t>
      </w:r>
    </w:p>
    <w:p w:rsidR="00000000" w:rsidDel="00000000" w:rsidP="00000000" w:rsidRDefault="00000000" w:rsidRPr="00000000" w14:paraId="000005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”Atty. Brotonel, as counsel de oficio, had the duty to defend his client and protect his rights, no matter how guilty or evil he perceive[d] accused-appellant to be. The performance of this duty was all the more imperative because the life of the accused-appellant hangs in the balance. His duty was no less because he was counsel de oficio.</w:t>
      </w:r>
    </w:p>
    <w:p w:rsidR="00000000" w:rsidDel="00000000" w:rsidP="00000000" w:rsidRDefault="00000000" w:rsidRPr="00000000" w14:paraId="000005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view of the foregoing, we find it necessary to remand the case for the proper arraignment and trial of the accused, considering not only the accused’s improvident plea of guilt but also his lawyer’s neglect in representing his cause. A new trial has been ordered in criminal cases on the ground of retraction of witnesses, negligence or incompetency of counsel, improvident plea of guilty, disqualification of an attorney de oficio to represent the accused in the trial court, and where a judgment was rendered on a stipulation of facts entered into by both the prosecution and the defense,”</w:t>
      </w:r>
    </w:p>
    <w:p w:rsidR="00000000" w:rsidDel="00000000" w:rsidP="00000000" w:rsidRDefault="00000000" w:rsidRPr="00000000" w14:paraId="000005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Estrada,’ the Court through Justice Reynato S. Puno remanded the death conviction. The reason was that the trial judge had refused to subject the accused to a medical examination to determine “his mental illness,” as a result of which the latter was not able to testify on his own behalf. The High Tribunal ruled that “[b]y depriving appellant of a mental examination, the trial court effectively deprived [him] of a fair trial.”</w:t>
      </w:r>
    </w:p>
    <w:p w:rsidR="00000000" w:rsidDel="00000000" w:rsidP="00000000" w:rsidRDefault="00000000" w:rsidRPr="00000000" w14:paraId="000005A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A6">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Battered Woman Syndrome</w:t>
      </w:r>
    </w:p>
    <w:p w:rsidR="00000000" w:rsidDel="00000000" w:rsidP="00000000" w:rsidRDefault="00000000" w:rsidRPr="00000000" w14:paraId="000005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my law school days, the three elements of self-defense have not changed. They are: (1) unlawful aggression, (2) reasonable necessity of the means employed to prevent or repel it, and (3) lack of sufficient provocation on the part of the one defending oneself. The essence of this justifying circumstance is the presence of an imminent, actual, physical attack preceded by an outward and material aggression.</w:t>
      </w:r>
    </w:p>
    <w:p w:rsidR="00000000" w:rsidDel="00000000" w:rsidP="00000000" w:rsidRDefault="00000000" w:rsidRPr="00000000" w14:paraId="000005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Genosa, appellant, was convicted of parricide and sentenced to death by the trial court. On appeal, she asked the Supreme Court — through Counsel Katrina Legarda — to “re-evaluate the traditional elements” of self-defense and to consider the “battered woman syndrome” as a viable plea within the concept of self-defense. Appellant argued that because of the frequent, severe and cruel beating she had suffered at the hands of the deceased, she lived in constant danger of harm and death. “Trapped in a cycle of violence and constant terror x x x, she was seized by fear of an existing or impending lethal aggression,” blinding her reason and leading her to kill her tormentor. She further alleged that the syndrome was already a recognized form of self-defense in the United States and Europe.</w:t>
      </w:r>
    </w:p>
    <w:p w:rsidR="00000000" w:rsidDel="00000000" w:rsidP="00000000" w:rsidRDefault="00000000" w:rsidRPr="00000000" w14:paraId="000005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the absence of expert testimony on her mental and emotional state at the time of the killing, and because of the possible psychological cause and effect of her fatal act, the Court remanded the case to the trial court for the reception of expert psychological and/or psychiatric opinion on the “battered woman syndrome.”</w:t>
      </w:r>
    </w:p>
    <w:p w:rsidR="00000000" w:rsidDel="00000000" w:rsidP="00000000" w:rsidRDefault="00000000" w:rsidRPr="00000000" w14:paraId="000005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Resolution I penned explained this unusual action in these words:</w:t>
      </w:r>
    </w:p>
    <w:p w:rsidR="00000000" w:rsidDel="00000000" w:rsidP="00000000" w:rsidRDefault="00000000" w:rsidRPr="00000000" w14:paraId="000005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there is legal and jurisprudential lacuna with respect to the so-called “battered woman syndrome” as a possible modifying</w:t>
      </w:r>
      <w:r w:rsidDel="00000000" w:rsidR="00000000" w:rsidRPr="00000000">
        <w:rPr>
          <w:rFonts w:ascii="Georgia" w:cs="Georgia" w:eastAsia="Georgia" w:hAnsi="Georgia"/>
          <w:sz w:val="22"/>
          <w:szCs w:val="22"/>
          <w:vertAlign w:val="superscript"/>
        </w:rPr>
        <w:footnoteReference w:customMarkFollows="0" w:id="105"/>
      </w:r>
      <w:r w:rsidDel="00000000" w:rsidR="00000000" w:rsidRPr="00000000">
        <w:rPr>
          <w:rFonts w:ascii="Georgia" w:cs="Georgia" w:eastAsia="Georgia" w:hAnsi="Georgia"/>
          <w:sz w:val="22"/>
          <w:szCs w:val="22"/>
          <w:rtl w:val="0"/>
        </w:rPr>
        <w:t xml:space="preserve"> circumstance that could affect the criminal liability or penalty of the accused. The discourse of appellant on the subject in her Omnibus Motion has convinced the Court that the syndrome deserves serious consideration, especially in the light of its possible effect on her very life. It could be that very thin line between death and life or even acquittal. The Court cannot, for mere technical or procedural objections, deny appellant the opportunity to offer this defense, for any criminal conviction must be based on proof of guilt beyond reasonable doubt. Accused persons facing the possibility of the death penalty must be given fair opportunities to proffer all defenses possible that could save them from capital punishment.”</w:t>
      </w:r>
    </w:p>
    <w:p w:rsidR="00000000" w:rsidDel="00000000" w:rsidP="00000000" w:rsidRDefault="00000000" w:rsidRPr="00000000" w14:paraId="000005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due process, a partial reopening of the case was ordered, in order to accord the defense an opportunity to present expert evidence and the prosecution the chance to cross-examine and refute the same.</w:t>
      </w:r>
    </w:p>
    <w:p w:rsidR="00000000" w:rsidDel="00000000" w:rsidP="00000000" w:rsidRDefault="00000000" w:rsidRPr="00000000" w14:paraId="000005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Review of Death Penalty </w:t>
      </w:r>
    </w:p>
    <w:p w:rsidR="00000000" w:rsidDel="00000000" w:rsidP="00000000" w:rsidRDefault="00000000" w:rsidRPr="00000000" w14:paraId="000005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If Appellant Has Absconded</w:t>
      </w:r>
    </w:p>
    <w:p w:rsidR="00000000" w:rsidDel="00000000" w:rsidP="00000000" w:rsidRDefault="00000000" w:rsidRPr="00000000" w14:paraId="000005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Leadership by Example? and Battles in the Supreme Court,’ I reported that the Court, over my Dissent, had opted to review the appeal and promulgate a decision in a death penalty case, even if the appellant had escaped pending his appeal. Normally, where the penalty imposed by the trial court is less than death, the appeal is dismissed by the Supreme Court when the appellant absconds during the pendency of the appeal. While I agreed with the holding of the Court that it should not dismiss appeals involving the capital penalty even if the accused had jumped bail, I opined that the review and the promulgation of its Decision on the appeal should await the arrest of the accused.</w:t>
      </w:r>
    </w:p>
    <w:p w:rsidR="00000000" w:rsidDel="00000000" w:rsidP="00000000" w:rsidRDefault="00000000" w:rsidRPr="00000000" w14:paraId="000005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new case, People v. Contreras,’ the Court reiterated this ruling, again over my Dissent, and reviewed the death penalty imposed by the trial court, even if appellant had jumped bail during the pendency of the appeal. In its Decision promulgated on August 23, 2000, the Court acquitted the appellant of the rape of a six-year old girl, on the ground of insufficiency of evidence. Clearly, by reviewing the case and acquitting the accused who had absconded, the Court virtually rewarded him, even if by his escape he had mocked the judicial system.</w:t>
      </w:r>
    </w:p>
    <w:p w:rsidR="00000000" w:rsidDel="00000000" w:rsidP="00000000" w:rsidRDefault="00000000" w:rsidRPr="00000000" w14:paraId="000005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Fortunately, however, the trial court had sentenced the accused not only to death, but also to reclusion perpetua for three other cases of rape. Following Section 8 of Rule 124, the Court dismissed his appeal in these three cases. Hence, the trial court’s sentence was automatically sustained. In justifying the dismissal of the appeals involving reclusion perpetua,</w:t>
      </w:r>
      <w:r w:rsidDel="00000000" w:rsidR="00000000" w:rsidRPr="00000000">
        <w:rPr>
          <w:rFonts w:ascii="Georgia" w:cs="Georgia" w:eastAsia="Georgia" w:hAnsi="Georgia"/>
          <w:sz w:val="22"/>
          <w:szCs w:val="22"/>
          <w:vertAlign w:val="superscript"/>
          <w:rtl w:val="0"/>
        </w:rPr>
        <w:t xml:space="preserve"> </w:t>
      </w:r>
      <w:r w:rsidDel="00000000" w:rsidR="00000000" w:rsidRPr="00000000">
        <w:rPr>
          <w:rFonts w:ascii="Georgia" w:cs="Georgia" w:eastAsia="Georgia" w:hAnsi="Georgia"/>
          <w:sz w:val="22"/>
          <w:szCs w:val="22"/>
          <w:rtl w:val="0"/>
        </w:rPr>
        <w:t xml:space="preserve">the majority said, “Accused-appellant cannot invoke the jurisdiction of the Court to seek a review of his conviction after he has made a mockery of the judicial process by escaping from prison.”</w:t>
      </w:r>
    </w:p>
    <w:p w:rsidR="00000000" w:rsidDel="00000000" w:rsidP="00000000" w:rsidRDefault="00000000" w:rsidRPr="00000000" w14:paraId="000005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due respect, this case illustrates, in my humble opinion, the absurdity resulting from the majority’s ruling that the Court must review and pass judgment on a death penalty imposed on an escaped appellant, even before he is caught and brought back to the fold of the law; never mind that “he has made a mockery of the judicial system by his escape from prison.”</w:t>
      </w:r>
    </w:p>
    <w:p w:rsidR="00000000" w:rsidDel="00000000" w:rsidP="00000000" w:rsidRDefault="00000000" w:rsidRPr="00000000" w14:paraId="000005B4">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17</w:t>
      </w:r>
    </w:p>
    <w:p w:rsidR="00000000" w:rsidDel="00000000" w:rsidP="00000000" w:rsidRDefault="00000000" w:rsidRPr="00000000" w14:paraId="000005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Serrano v. NLRC: Are Workers Entitled to </w:t>
      </w:r>
    </w:p>
    <w:p w:rsidR="00000000" w:rsidDel="00000000" w:rsidP="00000000" w:rsidRDefault="00000000" w:rsidRPr="00000000" w14:paraId="000005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Due Process Prior to Dismissal?</w:t>
      </w:r>
    </w:p>
    <w:p w:rsidR="00000000" w:rsidDel="00000000" w:rsidP="00000000" w:rsidRDefault="00000000" w:rsidRPr="00000000" w14:paraId="000005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Serrano v. NLRC promulgated early this year, the Court, over the separate Dissents of Justice Puno and this writer, answered this question in the negative. But first, the background.</w:t>
      </w:r>
    </w:p>
    <w:p w:rsidR="00000000" w:rsidDel="00000000" w:rsidP="00000000" w:rsidRDefault="00000000" w:rsidRPr="00000000" w14:paraId="000005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BC">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Battle for More </w:t>
      </w:r>
    </w:p>
    <w:p w:rsidR="00000000" w:rsidDel="00000000" w:rsidP="00000000" w:rsidRDefault="00000000" w:rsidRPr="00000000" w14:paraId="000005B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Benefits to Labor</w:t>
      </w:r>
    </w:p>
    <w:p w:rsidR="00000000" w:rsidDel="00000000" w:rsidP="00000000" w:rsidRDefault="00000000" w:rsidRPr="00000000" w14:paraId="000005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book Battles in the Supreme Court, specifically in Chapter VIII entitled “Battles Over the Rights of Labor,” I narrated my efforts to accord | greater benefits to workers whose services had been — terminated for cause, but without due process. To justify the dismissal of its employees, the employer was required to prove two things: (1) just or</w:t>
      </w:r>
      <w:r w:rsidDel="00000000" w:rsidR="00000000" w:rsidRPr="00000000">
        <w:rPr>
          <w:rFonts w:ascii="Georgia" w:cs="Georgia" w:eastAsia="Georgia" w:hAnsi="Georgia"/>
          <w:sz w:val="22"/>
          <w:szCs w:val="22"/>
          <w:vertAlign w:val="superscript"/>
        </w:rPr>
        <w:footnoteReference w:customMarkFollows="0" w:id="106"/>
      </w:r>
      <w:r w:rsidDel="00000000" w:rsidR="00000000" w:rsidRPr="00000000">
        <w:rPr>
          <w:rFonts w:ascii="Georgia" w:cs="Georgia" w:eastAsia="Georgia" w:hAnsi="Georgia"/>
          <w:sz w:val="22"/>
          <w:szCs w:val="22"/>
          <w:rtl w:val="0"/>
        </w:rPr>
        <w:t xml:space="preserve"> authorized cause and (2) due process. Dismissals without just or authorized cause, as defined in Articles 282, 283 and 284 of the Labor Code, were always deemed illegal. In such instances, the sanction of reinstatement plus back wages was always resorted to, sometimes with an award of damages as well, whether due process was observed or not.</w:t>
      </w:r>
    </w:p>
    <w:p w:rsidR="00000000" w:rsidDel="00000000" w:rsidP="00000000" w:rsidRDefault="00000000" w:rsidRPr="00000000" w14:paraId="000005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 dismissals wherein just or authorized cause was proven, no reinstatement with back wages was imposed, even if due process had not been observed. Instead, the employee was granted merely an “indemnity” or nominal damages ranging from P1,000 to P10,000 depending on the circumstances of each case.</w:t>
      </w:r>
    </w:p>
    <w:p w:rsidR="00000000" w:rsidDel="00000000" w:rsidP="00000000" w:rsidRDefault="00000000" w:rsidRPr="00000000" w14:paraId="000005C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MGG Marine Services v. NLRC; Better Buildings v. NLRC? and Del Val v. NLRC,5 I rankled at what I thought was the Supreme Court's cavalier treatment of the right to due process. At the end of that chapter (Chapter VIII of Battles), I expressed the hope that one day soon, the Court en banc would review this legal point: What is the proper sanction for the violation of due process?</w:t>
      </w:r>
    </w:p>
    <w:p w:rsidR="00000000" w:rsidDel="00000000" w:rsidP="00000000" w:rsidRDefault="00000000" w:rsidRPr="00000000" w14:paraId="000005C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review opportunity drew to an end on January 27, 2000 when the full Court, after more than a year of internal deliberations and debates, promulgated Serrano v. NLRC.’ In that case, Tsetann Department Store terminated the services of Ruben Serrano, head of its Security Checkers Section, “in view of the retrenchment program of the company.” As a cost-cutting measure, Isetann phased out its entire Security Section and engaged the services of an independent security agency. Petitioner’s services were ended by Isetann on October 11, 1991, the very same day he received the notice of termination.</w:t>
      </w:r>
    </w:p>
    <w:p w:rsidR="00000000" w:rsidDel="00000000" w:rsidP="00000000" w:rsidRDefault="00000000" w:rsidRPr="00000000" w14:paraId="000005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speaking through Mr. Justice Vicente V. Mendoza, held that the petitioner had been laid off due to redundancy, a cause authorized under Article 283 of the Labor Code.’ Pursuant to this provision, the Court awarded him separation pay at the rate of one month for every year of service. It explained that Isetann could not be held liable for illegal dismissal, and that “management cannot be denied the faculty of promoting efficiency and attaining economy by a study of what units are essential for its operation. To it belongs the ultimate determination of whether services should be performed by its personnel or contracted to outside agencies.”</w:t>
      </w:r>
    </w:p>
    <w:p w:rsidR="00000000" w:rsidDel="00000000" w:rsidP="00000000" w:rsidRDefault="00000000" w:rsidRPr="00000000" w14:paraId="000005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 that the notice of termination was given to petitioner only on the very same day his services were terminated, according to Justice Mendoza, meant that he was “thus denied his right to be given written notice before the termination of his employment.” For this lapse, the termination was characterized by the ponente, with whom the majority of the Court en banc concurred, as merely “ineffectual,” for which the employee “should be paid back wages,” not reinstated.</w:t>
      </w:r>
    </w:p>
    <w:p w:rsidR="00000000" w:rsidDel="00000000" w:rsidP="00000000" w:rsidRDefault="00000000" w:rsidRPr="00000000" w14:paraId="000005C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C5">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Court’s Reasons Why Due </w:t>
      </w:r>
    </w:p>
    <w:p w:rsidR="00000000" w:rsidDel="00000000" w:rsidP="00000000" w:rsidRDefault="00000000" w:rsidRPr="00000000" w14:paraId="000005C6">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Process Was Not Applicable</w:t>
      </w:r>
    </w:p>
    <w:p w:rsidR="00000000" w:rsidDel="00000000" w:rsidP="00000000" w:rsidRDefault="00000000" w:rsidRPr="00000000" w14:paraId="000005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 that Justice Mendoza, speaking for the Court, emphatically ruled that the failure to observe the “notice requirement” was not a violation of due process. According to him, there were several reasons why the due process clause of the Constitution did not protect employees. In his words:</w:t>
      </w:r>
    </w:p>
    <w:p w:rsidR="00000000" w:rsidDel="00000000" w:rsidP="00000000" w:rsidRDefault="00000000" w:rsidRPr="00000000" w14:paraId="000005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is that the Due Process Clause of the Constitution is a limitation on governmental powers. It does not apply to the exercise of private power, such as the termination of employment under the Labor Code. This is plain from the text of Art. III, §1 of the Constitution, viz.: ‘No person shall be deprived of life, liberty, or property without due process of law...’ The reason is simple: Only the State has authority to take the life, liberty, or property of the individual. The purpose of the Due Process Clause is to ensure that the exercise of this power is consistent with what are considered civilized methods.</w:t>
      </w:r>
    </w:p>
    <w:p w:rsidR="00000000" w:rsidDel="00000000" w:rsidP="00000000" w:rsidRDefault="00000000" w:rsidRPr="00000000" w14:paraId="000005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reason is that notice and hearing are required under the Due Process Clause before the powers of organized society are brought to bear upon the individual. This is obviously not the case of termination of employment under Art. 283. Here the employee is not faced with an aspect of the adversary system. The purpose for requiring a 30-day written notice before an employee is laid off is not to afford him an opportunity to be heard on any charge against him, for there is none. The purpose rather is to give him time to prepare for the eventual loss of his job and the DOLE an opportunity to determine whether economic causes do exist justifying the termination of his employment.</w:t>
      </w:r>
    </w:p>
    <w:p w:rsidR="00000000" w:rsidDel="00000000" w:rsidP="00000000" w:rsidRDefault="00000000" w:rsidRPr="00000000" w14:paraId="000005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“Even in cases of dismissal under Art. 282, the purpose for the requirement of notice and hearing is not to comply with Due Process Clause of the Constitution. The time for notice and hearing is at the trial stage. Then that is the time we speak of notice and hearing as the essence of procedural due process. Thus, compliance by the employer with the notice requirement before he dismisses an employee does not foreclose the right of the latter to question the legality of his dismissal. As Art. 277(b) provides, ‘Any decision taken by the employer shall be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without prejudice to the right of the worker to contest the validity or legality of his dismissal by filing a complaint with the regional branch of the National Labor Relations Commission.’</w:t>
      </w:r>
    </w:p>
    <w:p w:rsidR="00000000" w:rsidDel="00000000" w:rsidP="00000000" w:rsidRDefault="00000000" w:rsidRPr="00000000" w14:paraId="000005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to contend that the notice requirement in the Labor Code is an aspect of due process is to overlook the fact that Art. 283 had its origin in Art. 302 of the Spanish Code of Commerce of 1882 which gave either party to the employer-employee relationship the right to terminate their relationship by giving notice to the other one month in advance. In lieu of notice, an employee could be laid off by paying him a mesada equivalent to his salary for one month. This provision was repealed by Art. 2270 of the Civil Code, which took effect on August 30, 1950. But on June 12, 1954, R.A. No. 1052, otherwise known as the Termination Pay Law, was enacted reviving the mesada. On June 21, 1957, the law was amended by R.A. No. 1787 providing for the giving of advance notice or the payment of compensation at the rate of one-half month for every year of service.</w:t>
      </w:r>
    </w:p>
    <w:p w:rsidR="00000000" w:rsidDel="00000000" w:rsidP="00000000" w:rsidRDefault="00000000" w:rsidRPr="00000000" w14:paraId="000005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Termination Pay Law was held not to be a substantive law but a regulatory measure, the purpose of which was to give the employer the opportunity to find a replacement or substitute, and the employee the equal opportunity to look for another job or source of employment. Where the termination of employment was for a just cause, no notice was required to be given to the employee. It was only on September 4, 1981 that notice was required to be given even where the dismissal or termination of an employee was for cause. This was made in the rules issued by the then Minister of Labor and Employment to implement B.P. Blg. 130 which amended the Labor Code. And it was still much later when the notice requirement was embodied in the law with the amendment of Art. 277(b) by R.A. No. 6715 on March 2, 1989. It cannot be that the former regime denied due process to the employee. Otherwise, there should now likewise be a rule that, in case an employee leaves his job without cause and without prior notice to his employer, his act should be void instead of simply making him liable for damages.</w:t>
      </w:r>
    </w:p>
    <w:p w:rsidR="00000000" w:rsidDel="00000000" w:rsidP="00000000" w:rsidRDefault="00000000" w:rsidRPr="00000000" w14:paraId="000005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reason why the notice requirement under Art. 283 cannot be considered a requirement of the Due Process Clause that the employer cannot really be expected to be entirely an impartial judge of his own cause. This is also the case in termination of employment for a just cause under Art. 282 (i.e., serious misconduct or willful disobedience by the employee of the lawful orders of the employer, gross and habitual neglect of duties, fraud or willful breach of trust of the employer, commission of crime against the employer or the latter’s immediate family or duly authorized representatives, Or other analogous cases).”</w:t>
      </w:r>
    </w:p>
    <w:p w:rsidR="00000000" w:rsidDel="00000000" w:rsidP="00000000" w:rsidRDefault="00000000" w:rsidRPr="00000000" w14:paraId="000005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further justifying his point, Justice Mendoza compared the lack of notice to the notarial demand which the Civil Code required before a rescission of a contract could be effected. Wrote Justice Mendoza:</w:t>
      </w:r>
    </w:p>
    <w:p w:rsidR="00000000" w:rsidDel="00000000" w:rsidP="00000000" w:rsidRDefault="00000000" w:rsidRPr="00000000" w14:paraId="000005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 all notice requirements are requirements of due process. Some are simply part of a procedure to be followed before a right granted to a party can be exercised, Others are simply an application of the Justinian precept, embodied in the Civil Code, to act with justice, give everyone his due, and observe honesty and good faith toward one’s fellowmen. Such is the notice requirement in Arts. 282-283. The consequence of the failure either of the employer or the employee to live up to this precept is to make him liable in damages, not to render his act (dismissal or resignation, as the case may be) void. The measure of damages is the amount of wages the employee should have received were it not for the termination of his employment without prior notice. If warranted, nominal and moral damages may also be awarded.</w:t>
      </w:r>
    </w:p>
    <w:p w:rsidR="00000000" w:rsidDel="00000000" w:rsidP="00000000" w:rsidRDefault="00000000" w:rsidRPr="00000000" w14:paraId="000005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hold, therefore, that, with respect to Art. 283 of the Labor Code, the employer’s failure to comply with the notice requirement does not constitute a denial of due process but a mere failure to observe a procedure for the termination of employment which makes the termination of employment merely ineffectual. It is similar to the failure to observe the provisions of Art. 1592, in relation to Art. 1191, of the Civil Code in rescinding a contract for the sale of immovable property. Under these provisions, while the power of a party to rescind a contract is implied in reciprocal obligations, nonetheless, in cases involving the sale of immovable property, the vendor cannot exercise this power even though the vendee defaults in the payment of the price, except by bringing an action in court or giving notice of rescission by means of a notarial demand. Consequently, a notice of rescission given in the letter of an attorney has no legal effect, and the vendee can make payment even after the due date since no valid notice of rescission has been given.”</w:t>
      </w:r>
    </w:p>
    <w:p w:rsidR="00000000" w:rsidDel="00000000" w:rsidP="00000000" w:rsidRDefault="00000000" w:rsidRPr="00000000" w14:paraId="000005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Vigorous Dissents from Justice Puno and me were elicited by the majority’s all-embracing dictum that dismissals without proper and timely notices to the employees concerned did not violate the due process clause.</w:t>
      </w:r>
    </w:p>
    <w:p w:rsidR="00000000" w:rsidDel="00000000" w:rsidP="00000000" w:rsidRDefault="00000000" w:rsidRPr="00000000" w14:paraId="000005D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D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Why I Believe the Due Process </w:t>
      </w:r>
    </w:p>
    <w:p w:rsidR="00000000" w:rsidDel="00000000" w:rsidP="00000000" w:rsidRDefault="00000000" w:rsidRPr="00000000" w14:paraId="000005D4">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Clause Protects Employees</w:t>
      </w:r>
    </w:p>
    <w:p w:rsidR="00000000" w:rsidDel="00000000" w:rsidP="00000000" w:rsidRDefault="00000000" w:rsidRPr="00000000" w14:paraId="000005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prefaced my Dissenting Opinion with a note of gratitude that “the Court has decided to reexamine our ten-year doctrine on the question (of sanction for failure to give proper notice) and has at least, in the process, increased the monetary award that should go to the dismissed employee — from a nominal sum in the concept of ‘indemnity or damages’ to ‘full back wages.” Then I took issue with the legal basis of Justice Mendoza’s conclusion that (1) the notice requirement found roots only in the Labor Code, and (2) the sanction for its violation was only back wages. I contended:</w:t>
      </w:r>
    </w:p>
    <w:p w:rsidR="00000000" w:rsidDel="00000000" w:rsidP="00000000" w:rsidRDefault="00000000" w:rsidRPr="00000000" w14:paraId="000005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notice requirement finds basis not only in the Labor Code but, more important, in the due process clause of the Constitution.</w:t>
      </w:r>
    </w:p>
    <w:p w:rsidR="00000000" w:rsidDel="00000000" w:rsidP="00000000" w:rsidRDefault="00000000" w:rsidRPr="00000000" w14:paraId="000005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Consequently, when the employee is dismissed without due process, the necessary consequence is an illegal dismissal and the appropriate sanction is full back wages plus reinstatement, not merely full back wages. Itong jurisprudentially settled that when procedural due process is violated, the proceedings - in this case, the dismissal — will be voided, and the parties will have to be returned to their status quo ante; that is, the employee will have to be given back his old job and paid all benefits as if he were never dismissed.</w:t>
      </w:r>
    </w:p>
    <w:p w:rsidR="00000000" w:rsidDel="00000000" w:rsidP="00000000" w:rsidRDefault="00000000" w:rsidRPr="00000000" w14:paraId="000005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3.In any event, contrary to Mr. Justice Mendoza’s premise, even the Labor Code expressly grants the dismissed employee not only the right to be notified but also the right to be heard.</w:t>
      </w:r>
    </w:p>
    <w:p w:rsidR="00000000" w:rsidDel="00000000" w:rsidP="00000000" w:rsidRDefault="00000000" w:rsidRPr="00000000" w14:paraId="000005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quote from my Dissenting Opinion to explain my foregoing thesis:</w:t>
      </w:r>
    </w:p>
    <w:p w:rsidR="00000000" w:rsidDel="00000000" w:rsidP="00000000" w:rsidRDefault="00000000" w:rsidRPr="00000000" w14:paraId="000005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past, this Court has untiringly reiterated that there are two essential requisites for an employer's valid termination of an employee’s services: (1) a just’ or authorized cause and (2) due process. During the last ten years, the Court has been quite firm in this doctrinal concept, but it has been less than consistent in declaring the illegality of a dismissal when due process has not been observed. This is particularly noticeable in the relief granted. Where there has been no just or authorized cause, the employee is awarded reinstatement or separation pay, and back wages." If only the second requisite (due process) has not been fulfilled, the employee, as earlier stated, is granted indemnity or damages amounting to a measly P1,000 up to P10,000."</w:t>
      </w:r>
    </w:p>
    <w:p w:rsidR="00000000" w:rsidDel="00000000" w:rsidP="00000000" w:rsidRDefault="00000000" w:rsidRPr="00000000" w14:paraId="000005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respectfully submit that illegal dismissal results not only from the absence of a legal cause (enumerated in Arts, 282 to 284 of the Labor Code), but likewise from the failure to observe due process. Indeed, many are the cases, labor or otherwise, in which acts violative of due process are unequivocally voided or declared illegal by the Supreme Court. In Pepsi-Cola Bottling Co. v. NLRC,’* the Court categorically ruled that the failure of management to comply with the requirements of due process made its judgment of dismissal ‘void and nonexistent.’</w:t>
      </w:r>
    </w:p>
    <w:p w:rsidR="00000000" w:rsidDel="00000000" w:rsidP="00000000" w:rsidRDefault="00000000" w:rsidRPr="00000000" w14:paraId="000005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Court in People v. Bocar emphatically made the following pronouncement, which has been reiterated in several cases:””</w:t>
      </w:r>
    </w:p>
    <w:p w:rsidR="00000000" w:rsidDel="00000000" w:rsidP="00000000" w:rsidRDefault="00000000" w:rsidRPr="00000000" w14:paraId="000005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cardinal precept is that where there is a violation of basic constitutional rights, courts are ousted of their jurisdiction. Thus the violation of the State’s right to due process raises a serious jurisdictional issue (Gumabon vs. Director of the Bureau of Prisons, L- ~ 30026, 37 SCRA 420 [Jan. 30, 1971]) which cannot be glossed over or disregarded at will. Where the denial of the fundamental right of due process is apparent, a decision rendered in disregard of that right is void for lack of jurisdiction (Aducayen vs. Flores, L- 30370, [May 25, 1973] 51 SCRA 78; Shell Co. vs. Enage, L-30111-12, 49 SCRA 416 [Feb. 27, 1973]). Any judgment or decision rendered notwithstanding such violation may be regarded as a ‘lawless thing, which can be treated as an outlaw and slain at sight, or ignored wherever it exhibits its head’ (Aducayen vs. Flores, supra).’</w:t>
      </w:r>
    </w:p>
    <w:p w:rsidR="00000000" w:rsidDel="00000000" w:rsidP="00000000" w:rsidRDefault="00000000" w:rsidRPr="00000000" w14:paraId="000005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earlier case Bacus v. Ople, this Court also nullified the then labor minister’s clearance to terminate the employment of company workers who had supposedly staged an illegal strike. The reason for this ruling was the denial of sufficient opportunity for them to present their evidence and prove their case. The Court explained:”</w:t>
      </w:r>
    </w:p>
    <w:p w:rsidR="00000000" w:rsidDel="00000000" w:rsidP="00000000" w:rsidRDefault="00000000" w:rsidRPr="00000000" w14:paraId="000005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mere finding of the illegality of a strike should not be automatically followed by a wholesale dismissal of the strikers from their employment. What is more, the finding of the illegality of the strike by the Respondent Minister of Labor and Employment is predicated on the evidence ascertained through an irregular procedure conducted under the semblance of summary methods and speedy disposition of labor disputes involving striking employees.</w:t>
      </w:r>
    </w:p>
    <w:p w:rsidR="00000000" w:rsidDel="00000000" w:rsidP="00000000" w:rsidRDefault="00000000" w:rsidRPr="00000000" w14:paraId="000005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it is true that administrative agencies exercising quasi-judicial functions are free from the rigidities of procedure, it is equally well-settled in this jurisdiction that avoidance of such technicalities of law or procedure in ascertaining objectively the facts in each case should not, however, cause a denial of due process. The relative freedom of the labor arbiter from the rigidities of procedure cannot be invoked to evade what was clearly emphasized in the landmark case of Ang Tibay v. Court of Industrial Relations that all administrative bodies cannot ignore or disregard the fundamental and essential requirements of due process.’</w:t>
      </w:r>
    </w:p>
    <w:p w:rsidR="00000000" w:rsidDel="00000000" w:rsidP="00000000" w:rsidRDefault="00000000" w:rsidRPr="00000000" w14:paraId="000005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said case, the respondent company was ordered to reinstate the dismissed workers, pending a hearing ‘giving them the opportunity to be heard and present their evidence.’</w:t>
      </w:r>
    </w:p>
    <w:p w:rsidR="00000000" w:rsidDel="00000000" w:rsidP="00000000" w:rsidRDefault="00000000" w:rsidRPr="00000000" w14:paraId="000005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Philippine National Bank v, Apalisok,” Primitivo: Virtudazo, an employee of PNB, was served a Memorandum stating the finding against him of a prima facie case for dishonesty and violation of bank rules and regulations. He submitted his Answer denying the charges and explaining his defenses.</w:t>
      </w:r>
    </w:p>
    <w:p w:rsidR="00000000" w:rsidDel="00000000" w:rsidP="00000000" w:rsidRDefault="00000000" w:rsidRPr="00000000" w14:paraId="000005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“Later, two personnel examiners of the bank conducted a fact-finding investigation. They stressed to him that a formal investigation would follow, in which he could confront and examine the witnesses for the bank, as well as present his own. What followed, however, was a Memorandum notifying him that he had been found guilty of the charges and that he was being dismissed. After several futile attempts to secure a copy of the Decision rendered against him, he instituted against PNB a Complaint for illegal dismissal and prayed for reinstatement and damages.</w:t>
      </w:r>
    </w:p>
    <w:p w:rsidR="00000000" w:rsidDel="00000000" w:rsidP="00000000" w:rsidRDefault="00000000" w:rsidRPr="00000000" w14:paraId="000005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trial court held that Virtudazo had been deprived of his rights to be formally investigated and to cross-examine the witnesses. This Court sustained the trial court, stating resolutely: ‘The proceedings having been conducted without according to Virtudazo the ‘cardinal primary rights of due process’ guaranteed to every party in an administrative or quasi-judicial proceeding, said proceedings must be pronounced null and void.”</w:t>
      </w:r>
    </w:p>
    <w:p w:rsidR="00000000" w:rsidDel="00000000" w:rsidP="00000000" w:rsidRDefault="00000000" w:rsidRPr="00000000" w14:paraId="000005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“Also in Fabella v. Court of Appeals,” this Court declared the dismissal of the schoolteachers illegal, because the administrative body that heard the charges against them had not afforded them their right to procedural due process. The proceedings were declared void, and the orders for their dismissal set aside. We unqualifiedly reinstated the schoolteachers, to whom we awarded all monetary benefits that had accrued to them during the period of their unjustified suspension or dismissal.</w:t>
      </w:r>
    </w:p>
    <w:p w:rsidR="00000000" w:rsidDel="00000000" w:rsidP="00000000" w:rsidRDefault="00000000" w:rsidRPr="00000000" w14:paraId="000005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San Diego,* People v. Sola,” People v. Dacudao,** People v. Calo Jr.2° and People v. Burgos,” this Court similarly voided the trial court's grant of bail to the accused upon a finding that the prosecution had been deprived of procedural due process.</w:t>
      </w:r>
    </w:p>
    <w:p w:rsidR="00000000" w:rsidDel="00000000" w:rsidP="00000000" w:rsidRDefault="00000000" w:rsidRPr="00000000" w14:paraId="000005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People v. Sevilleno, the Court noted that the trial judge ‘hardly satisfied the requisite searching inquiry’ due the accused when he pleaded guilty to the capital offense he had been charged with. We thus concluded that ‘the accused was not properly accorded his fundamental right to be informed of the precise nature of the accusation leveled against him.’ Because of the nonobservance of ‘the fundamental requirements of fairness and due process,’ the appealed Decision was annulled and set aside, and the case was remanded for the proper arraignment and trial of the accused.</w:t>
      </w:r>
    </w:p>
    <w:p w:rsidR="00000000" w:rsidDel="00000000" w:rsidP="00000000" w:rsidRDefault="00000000" w:rsidRPr="00000000" w14:paraId="000005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“Recently, the Court vacated its earlier Decision” in People v. Parazo upon realizing that the accused - ‘a deaf-mute, a mental retardate, whose mental age [was] only seven (7) years and nine (9) months, and with low 1Q of 60 only” — had not been ably assisted by a sign language expert during his arraignment and trial. Citing People v. Crisologo, we ruled that the accused had been deprived of ‘a full and fair trial and a reasonable opportunity to defend himself.’ He had in effect been denied his fundamental right to due process of law. Hence, we set aside the trial proceedings and granted the accused a re-arraignment and a retrial.</w:t>
      </w:r>
    </w:p>
    <w:p w:rsidR="00000000" w:rsidDel="00000000" w:rsidP="00000000" w:rsidRDefault="00000000" w:rsidRPr="00000000" w14:paraId="000005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“Of late, we also set aside a Comelec Resolution disallowing the use by a candidate of a certain nickname for the purpose of her election candidacy. The Resolution was issued pursuant to a letter-petition which was passed upon by the Comelec without affording the candidate the opportunity to explain her side and to counter the allegations in said letter-petition. In invalidating the said Resolution, we again underscored the necessity of the observance of the twin requirements of notice and hearing before any decision can be validly rendered in a case.</w:t>
      </w:r>
    </w:p>
    <w:p w:rsidR="00000000" w:rsidDel="00000000" w:rsidP="00000000" w:rsidRDefault="00000000" w:rsidRPr="00000000" w14:paraId="000005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“Clearly deducible from our extant jurisprudence is that the denial of a person’s fundamental right to due process amounts to the illegality of the proceedings against him. Consequently, he is brought back to his status quo ante, not merely awarded nominal damages or indemnity.</w:t>
      </w:r>
    </w:p>
    <w:p w:rsidR="00000000" w:rsidDel="00000000" w:rsidP="00000000" w:rsidRDefault="00000000" w:rsidRPr="00000000" w14:paraId="000005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labor force deserves no less. Indeed, the State recognizes it as its primary social economic force, to which it is constitutionally mandated to-afford full protection.*4 Yet, refusing to declare the illegality of dismissals without due process, we have continued to impose upon the erring employer the simplistic penalty of paying indemnity only. Hence, I submit that it is time for us to denounce these dismissals as null and void and to grant our workers these proper reliefs: (1) the declaration that the termination or dismissal is illegal and unconstitutional and (2) the reinstatement of the employee plus full back wages. The present ruling of the Court is manifestly inconsistent with existing jurisprudence which holds that proceedings held without notice and hearing are null and void, since they amount to a violation of due process,</w:t>
      </w:r>
      <w:r w:rsidDel="00000000" w:rsidR="00000000" w:rsidRPr="00000000">
        <w:rPr>
          <w:rFonts w:ascii="Georgia" w:cs="Georgia" w:eastAsia="Georgia" w:hAnsi="Georgia"/>
          <w:sz w:val="22"/>
          <w:szCs w:val="22"/>
          <w:vertAlign w:val="superscript"/>
        </w:rPr>
        <w:footnoteReference w:customMarkFollows="0" w:id="107"/>
      </w:r>
      <w:r w:rsidDel="00000000" w:rsidR="00000000" w:rsidRPr="00000000">
        <w:rPr>
          <w:rFonts w:ascii="Georgia" w:cs="Georgia" w:eastAsia="Georgia" w:hAnsi="Georgia"/>
          <w:sz w:val="22"/>
          <w:szCs w:val="22"/>
          <w:rtl w:val="0"/>
        </w:rPr>
        <w:t xml:space="preserve"> and therefore bring back the parties to the status quo ante.</w:t>
      </w:r>
    </w:p>
    <w:p w:rsidR="00000000" w:rsidDel="00000000" w:rsidP="00000000" w:rsidRDefault="00000000" w:rsidRPr="00000000" w14:paraId="000005EC">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ED">
      <w:pP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5E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“Exception: When Due Process </w:t>
      </w:r>
    </w:p>
    <w:p w:rsidR="00000000" w:rsidDel="00000000" w:rsidP="00000000" w:rsidRDefault="00000000" w:rsidRPr="00000000" w14:paraId="000005EF">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Is Impractical and Futile</w:t>
      </w:r>
    </w:p>
    <w:p w:rsidR="00000000" w:rsidDel="00000000" w:rsidP="00000000" w:rsidRDefault="00000000" w:rsidRPr="00000000" w14:paraId="000005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fully aware that in a long line of cases starting with Wenphil v. NLRC, the Court has held: where there is just cause for the dismissal of an employee but the employer fails to follow the requirements of procedural due process, the former is not entitled to back wages, reinstatement (or separation pay in case reinstatement is no longer feasible) or other benefits. Instead, the employee is granted an indemnity (or penalty or damages) ranging from P1,000% to as much as P10,000,?” depending on the circumstances of the case and the gravity of the employer’s omission. Since then, Wenphil has perfunctorily been applied in most subsequent cases* involving a violation of due process (although just cause has been duly proven), without regard for the peculiar</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factual milieu of each case. Indemnity or damages has become an easy substitute for due process.</w:t>
      </w:r>
    </w:p>
    <w:p w:rsidR="00000000" w:rsidDel="00000000" w:rsidP="00000000" w:rsidRDefault="00000000" w:rsidRPr="00000000" w14:paraId="000005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 it remembered, however, that the facts in Wenphil clearly showed the impracticality and the futility of observing the procedure laid down by law and by the Constitution for terminating employment. The employee involved therein appeared to have exhibited a violent temper and caused trouble during office hours. In an altercation with a co-employee, he ‘slapped [the latter’s] cap, stepped on his foot and picked up the ice scooper and brandished it against [him].’ When summoned by the assistant manager, the employee ‘shouted and uttered profane words’ instead of giving an explanation. He was caught virtually in flagrante delicto in the presence of many people. Under the circumstances obtaining, swift action was necessary to preserve order and discipline, as well as to safeguard the customers’ confidence in the employer's business — a fast-food chain catering to the general public where courtesy [was] a prized virtue,</w:t>
      </w:r>
    </w:p>
    <w:p w:rsidR="00000000" w:rsidDel="00000000" w:rsidP="00000000" w:rsidRDefault="00000000" w:rsidRPr="00000000" w14:paraId="000005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in most of the succeeding cases, including the present one before us in which the petitioner was dismissed on the very day he was served notice, there were ample opportunities for the employers to observe the requisites of due process. There were no exigencies that called for immediate response. And yet, Wenphil was instantly invoked and due process brushed aside.</w:t>
      </w:r>
    </w:p>
    <w:p w:rsidR="00000000" w:rsidDel="00000000" w:rsidP="00000000" w:rsidRDefault="00000000" w:rsidRPr="00000000" w14:paraId="000005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believe that the price that the Court has set for the infringement of the fundamental right to due process is too insignificant, too niggardly, and sometimes even too late. I believe that imposing a stiffer sanction is the only way to emphasize to employers the extreme importance of the right to due process in our democratic system. Such right is too sacred to be taken for granted or glossed over in a cavalier fashion. To hold otherwise, as by simply imposing an indemnity or even ‘full back wages,’ is to allow the rich and powerful to virtually purchase and to thereby stifle a constitutional right granted to the poor and marginalized.</w:t>
      </w:r>
    </w:p>
    <w:p w:rsidR="00000000" w:rsidDel="00000000" w:rsidP="00000000" w:rsidRDefault="00000000" w:rsidRPr="00000000" w14:paraId="000005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may be asked: If the employee is guilty anyway, what difference would it make if he is fired without due process? By the same token, it may be asked: If in the end, after due hearing, a criminal offender is found guilty anyway, what difference would it make if he is simply penalized immediately without the trouble and the expense of trial? The absurdity of this argument is too apparent to deserve further discourse.”</w:t>
      </w:r>
    </w:p>
    <w:p w:rsidR="00000000" w:rsidDel="00000000" w:rsidP="00000000" w:rsidRDefault="00000000" w:rsidRPr="00000000" w14:paraId="000005F5">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“Worker's Right to Notice Is </w:t>
      </w:r>
    </w:p>
    <w:p w:rsidR="00000000" w:rsidDel="00000000" w:rsidP="00000000" w:rsidRDefault="00000000" w:rsidRPr="00000000" w14:paraId="000005F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Constitutional, Not Merely Statutory</w:t>
      </w:r>
    </w:p>
    <w:p w:rsidR="00000000" w:rsidDel="00000000" w:rsidP="00000000" w:rsidRDefault="00000000" w:rsidRPr="00000000" w14:paraId="000005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ponencia of Mr. Justice Mendoza, the ‘violation of the notice requirement cannot be considered a denial of due process resulting in the nullity of the employee's dismissal or lay-off.’ He argues that the due process clause of the Constitution may be used against the government only. Since the Labor Code does not accord employees the right to a hearing, ergo, he concludes, they do not have the right to due process.</w:t>
      </w:r>
    </w:p>
    <w:p w:rsidR="00000000" w:rsidDel="00000000" w:rsidP="00000000" w:rsidRDefault="00000000" w:rsidRPr="00000000" w14:paraId="000005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disagree. True, as pointed out by Mr. Justice Mendoza, traditional doctrine holds that constitutional rights may be invoked only against the State. This is because in the past, only the State was in a position to violate these rights, including the due process clause. However, with the advent of liberalization, deregulation and privatization, the State tended to cede some of its powers to the ‘market forces.’ Hence, corporate behemoths and even individuals may now be sources of abuses and threats to human rights and liberties. I believe, therefore, that such traditional doctrine should be modified to enable the judiciary to cope with these new paradigms and to continue protecting the people from new forms of abuses.“</w:t>
      </w:r>
    </w:p>
    <w:p w:rsidR="00000000" w:rsidDel="00000000" w:rsidP="00000000" w:rsidRDefault="00000000" w:rsidRPr="00000000" w14:paraId="000005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employee is entitled to due process not because of the Labor Code, but because of the Constitution. Elementary is the doctrine that constitutional provisions are deemed written into every statute, contract or undertaking. Worth noting is that ‘[o]ne’s employment, profession, trade or calling is a</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property right within the protection of the constitutional guarantee of due process of law."</w:t>
      </w:r>
    </w:p>
    <w:p w:rsidR="00000000" w:rsidDel="00000000" w:rsidP="00000000" w:rsidRDefault="00000000" w:rsidRPr="00000000" w14:paraId="000005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long line of cases involving judicial, quasi-judicial and administrative proceedings, some of which I summarized earlier, the Court has held that the twin requirements of notice and hearing (or, at the very least, an opportunity to be heard) constitute the essential elements of due process. In labor proceedings, both are the conditio sine qua non for a dismissal to be validly effected.” The perceptive Justice Irene Cortes has aptly stated: ‘One cannot go without the other, for otherwise the termination would, in the eyes of the law, be illegal.’</w:t>
      </w:r>
    </w:p>
    <w:p w:rsidR="00000000" w:rsidDel="00000000" w:rsidP="00000000" w:rsidRDefault="00000000" w:rsidRPr="00000000" w14:paraId="000005F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5FD">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“Even the Labor Code Grants </w:t>
      </w:r>
    </w:p>
    <w:p w:rsidR="00000000" w:rsidDel="00000000" w:rsidP="00000000" w:rsidRDefault="00000000" w:rsidRPr="00000000" w14:paraId="000005FE">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the Right to a Hearing</w:t>
      </w:r>
    </w:p>
    <w:p w:rsidR="00000000" w:rsidDel="00000000" w:rsidP="00000000" w:rsidRDefault="00000000" w:rsidRPr="00000000" w14:paraId="000005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it is really inaccurate to say that the Labor Code grants ‘notice alone’ to employees being dismissed due to an authorized cause. Article 277 (b) of the said Code explicitly provides that the termination of employment by the employer is ‘subject to the constitutional right of workers to security of tenure[;] x x x without prejudice to the requirement of notice under Article 283 of this Code, the employer shall furnish the worker whose employment is sought to be terminated a written notice containing a statement of the causes for termination and shall afford the latter ample opportunity to be heard x x x.’ Significantly, the provision requires the employer ‘to afford [the employee] ample opportunity to be heard’ when the termination is due to a ‘just and authorized cause.’ I submit that this provision on ‘ample opportunity to be heard’ applies to dismissals under Articles 282, 283 and 284 of the Labor Code.</w:t>
      </w:r>
    </w:p>
    <w:p w:rsidR="00000000" w:rsidDel="00000000" w:rsidP="00000000" w:rsidRDefault="00000000" w:rsidRPr="00000000" w14:paraId="000006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to say that the termination is ‘simply ineffectual’ for failure to comply with the 30-day written notice and, at the same time, to conclude that it has ‘legal effect’ appears to be contradictory. Ineffectual means</w:t>
      </w:r>
      <w:r w:rsidDel="00000000" w:rsidR="00000000" w:rsidRPr="00000000">
        <w:rPr>
          <w:rFonts w:ascii="Georgia" w:cs="Georgia" w:eastAsia="Georgia" w:hAnsi="Georgia"/>
          <w:sz w:val="22"/>
          <w:szCs w:val="22"/>
          <w:vertAlign w:val="superscript"/>
        </w:rPr>
        <w:footnoteReference w:customMarkFollows="0" w:id="108"/>
      </w:r>
      <w:r w:rsidDel="00000000" w:rsidR="00000000" w:rsidRPr="00000000">
        <w:rPr>
          <w:rFonts w:ascii="Georgia" w:cs="Georgia" w:eastAsia="Georgia" w:hAnsi="Georgia"/>
          <w:sz w:val="22"/>
          <w:szCs w:val="22"/>
          <w:rtl w:val="0"/>
        </w:rPr>
        <w:t xml:space="preserve"> ‘having no legal force. If a dismissal has no legal force or effect, the consequence should be the reinstatement of the dismissed employee and the grant of full back wages thereto, as provided by law — not the latter only. Limiting the consequence merely to the payment of full back wages has no legal or statutory basis. No provision in the Labor Code or any other law authorizes such limitation of sanction, which Mr. Justice Mendoza advocates.</w:t>
      </w:r>
    </w:p>
    <w:p w:rsidR="00000000" w:rsidDel="00000000" w:rsidP="00000000" w:rsidRDefault="00000000" w:rsidRPr="00000000" w14:paraId="000006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contends that it is not fair to reinstate the employee, because the employer should not be forced to accommodate an unwanted worker. I believe however that it is not the Court that forces the employer to rehire the worker. By violating the latter’s constitutional right to due process, the former brings this sanction upon itself. Is it unfair to imprison a criminal? No! By violating the law, one brings the penal sanction upon oneself. There is nothing unfair or unusual about this inevitable chain of cause and effect, of crime and punishment, of violation and sanction.</w:t>
      </w:r>
    </w:p>
    <w:p w:rsidR="00000000" w:rsidDel="00000000" w:rsidP="00000000" w:rsidRDefault="00000000" w:rsidRPr="00000000" w14:paraId="0000060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03">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“Due Process Begins </w:t>
      </w:r>
    </w:p>
    <w:p w:rsidR="00000000" w:rsidDel="00000000" w:rsidP="00000000" w:rsidRDefault="00000000" w:rsidRPr="00000000" w14:paraId="00000604">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With Each of Us</w:t>
      </w:r>
    </w:p>
    <w:p w:rsidR="00000000" w:rsidDel="00000000" w:rsidP="00000000" w:rsidRDefault="00000000" w:rsidRPr="00000000" w14:paraId="000006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repeat, due process begins with the employer, not with the labor tribunals. An</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objective reading of the Bill of Rights clearly shows that the due process protection is not limited to government action alone. The Constitution does not say that the right cannot be claimed against private individuals and entities. Thus, in PNB v. Apalisok, which I cited earlier, this Court voided the proceedings conducted by petitioner bank because of its failure to observe Apalisok’s right to due process.</w:t>
      </w:r>
    </w:p>
    <w:p w:rsidR="00000000" w:rsidDel="00000000" w:rsidP="00000000" w:rsidRDefault="00000000" w:rsidRPr="00000000" w14:paraId="000006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“Truly, justice is dispensed not just by the courts and quasi-judicial bodies like the public respondent here. The administration of justice begins with each of us, in our everyday dealings with one another and, as in this case, in the employers’ affording their employees the right to be heard. If we, as a people and as individuals, cannot or will not deign to act with justice and render unto everyone his or her due in little, everyday things, can we honestly hope and seriously expect to do so when monumental, life-or-death issues are at stake? Unless each one is committed to a faithful observance of day-to-day fundamental rights, our ideal of a just society can never be approximated, not to say attained.</w:t>
      </w:r>
    </w:p>
    <w:p w:rsidR="00000000" w:rsidDel="00000000" w:rsidP="00000000" w:rsidRDefault="00000000" w:rsidRPr="00000000" w14:paraId="000006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final analysis, what is involved here is not simply the amount of monetary award, whether insignificant or substantial; whether termed indemnity, penalty or ‘full back wages.’ Neither is it merely a matter of respect for workers’ rights or adequate protection of labor. The bottom line is really the constitutionally granted right to due process. And due process is the very essence of justice itself. Where the rule of law is the bedrock of our free society, justice is its very lifeblood. Denial of due process is thus no less than a denial of justice itself.”</w:t>
      </w:r>
    </w:p>
    <w:p w:rsidR="00000000" w:rsidDel="00000000" w:rsidP="00000000" w:rsidRDefault="00000000" w:rsidRPr="00000000" w14:paraId="000006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of its length, my Dissent ended with a summary, as follows:</w:t>
      </w:r>
    </w:p>
    <w:p w:rsidR="00000000" w:rsidDel="00000000" w:rsidP="00000000" w:rsidRDefault="00000000" w:rsidRPr="00000000" w14:paraId="000006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conclude, I believe that even if there may be a just or an authorized cause for termination but due process is absent, the dismissal proceedings must be declared null and void. The dismissal should still be branded as illegal. Consequently, the employee must be reinstated and given full back wages.</w:t>
      </w:r>
    </w:p>
    <w:p w:rsidR="00000000" w:rsidDel="00000000" w:rsidP="00000000" w:rsidRDefault="00000000" w:rsidRPr="00000000" w14:paraId="000006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there is an exception. The employer can adequately prove that under the peculiar circumstances of the case, there was no opportunity to comply with due process requirements; or doing so would have been impractical or gravely adverse to the employer, as when the employee [had been] caught in flagrante delicto. Under any of these circumstances, the dismissal will not be illegal and no award may properly be granted. Nevertheless, as a measure of compassion, the employee may be given a nominal sum depending on _ the circumstances, pursuant to Article 2221 of the Civil Code,</w:t>
      </w:r>
    </w:p>
    <w:p w:rsidR="00000000" w:rsidDel="00000000" w:rsidP="00000000" w:rsidRDefault="00000000" w:rsidRPr="00000000" w14:paraId="000006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“Depending on the facts of each case, damages as provided under applicable articles of the Civil Code may additionally be awarded.”</w:t>
      </w:r>
    </w:p>
    <w:p w:rsidR="00000000" w:rsidDel="00000000" w:rsidP="00000000" w:rsidRDefault="00000000" w:rsidRPr="00000000" w14:paraId="0000060C">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0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Justice Puno’s Dissent</w:t>
      </w:r>
    </w:p>
    <w:p w:rsidR="00000000" w:rsidDel="00000000" w:rsidP="00000000" w:rsidRDefault="00000000" w:rsidRPr="00000000" w14:paraId="000006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opened his Dissenting Opinion with a stirring plea:</w:t>
      </w:r>
    </w:p>
    <w:p w:rsidR="00000000" w:rsidDel="00000000" w:rsidP="00000000" w:rsidRDefault="00000000" w:rsidRPr="00000000" w14:paraId="000006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rule of audi alteram partem - - - hear the other side, is the essence of procedural due process, That a ‘party is not to suffer in person or in purse without an opportunity of being heard’ is the oldest established principle in administrative law. Today, the majority is ruling that the all important right of an employee to be notified before he is dismissed for a just or authorized cause is not a requirement of due process. This is a blow on the breadbasket of our lowly employees, a considerable erosion of their constitutional right to security of tenure, hence this humble dissenting opinion.”</w:t>
      </w:r>
    </w:p>
    <w:p w:rsidR="00000000" w:rsidDel="00000000" w:rsidP="00000000" w:rsidRDefault="00000000" w:rsidRPr="00000000" w14:paraId="000006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then reviewed the law and jurisprudence on dismissals under Articles 282 (due to just causes) and 283 (due to authorized causes). He emphasized that even Wenphil v. NLRC, which had started the grant of indemnity only for the failure of the employer to give notice and hearing prior to dismissals, already recognized the constitutional right to due process. According to him, “the standards of due process of law in judicial as well as administrative proceedings have long been established.” But “our ten (10) years experience with Wenphil is not a happy one. Unscrupulous employees have abused the Wenphil ruling x x x.” Thus, he advocated “a return to the pre- Wenphil rule where a reasonless violation of the pre-dismissal notice requirement makes the dismissal of an employee illegal and results in his reinstatement.” He assailed the majority for espousing “a doctrine more pernicious than Wenphil for now it announces that a violation of the pre-dismissal notice requirement does not even concern due process.” I quote him:</w:t>
      </w:r>
    </w:p>
    <w:p w:rsidR="00000000" w:rsidDel="00000000" w:rsidP="00000000" w:rsidRDefault="00000000" w:rsidRPr="00000000" w14:paraId="000006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 would like to emphasize that one undersirable effect of Wenphil is to compel employees to seek relief against illegal dismissals with the DOLE whereas before, a remedy can be sought before the employer. In shifting this burden, an employee’s uneven fight against his employer has become more uneven. Now, an illegally dismissed employee often goes to the DOLE without an exact knowledge of the cause of his dismissal. As a matter of strategy, some employers today dismiss employees without notice. They know that it is more advantageous for them to litigate with an employee who has no knowledge of the cause of dismissal. The probability is that said employee will fail to prove the illegality of his dismissal. All that he can prove is that he was dismissed without notice and the penalty for the omission is a mere fine, a pittance.</w:t>
      </w:r>
    </w:p>
    <w:p w:rsidR="00000000" w:rsidDel="00000000" w:rsidP="00000000" w:rsidRDefault="00000000" w:rsidRPr="00000000" w14:paraId="000006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majority holds that ‘the need is for a rule which, while recognizing the employee’s right to notice before he is dismissed or laid off, at the same time acknowledges the right of the employer to dismiss for any of the just causes enumerated</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in Art. 282 or to terminate employment for any of the authorized causes mentioned in Arts. 283-284. If the Wenphil rule imposing a fine on an employer who is found to have dismissed an employee for cause without employer violations of the notice requirement, the remedy is not to declare the dismissal void if there are just or valid grounds for such dismissal or if the termination is for an authorized cause. That would be to uphold the right of the employee but deny the right of the employer to dismiss for cause. Rather, the remedy is to consider the dismissal or termination to be simply ineffectual for failure of the employer to comply with the procedure for dismissal or termination.’</w:t>
      </w:r>
    </w:p>
    <w:p w:rsidR="00000000" w:rsidDel="00000000" w:rsidP="00000000" w:rsidRDefault="00000000" w:rsidRPr="00000000" w14:paraId="000006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due respect, I find it most difficult to follow the logic of the majority. Before Wenphil, we protected employees with the ruling that dismissals without prior notice are illegal and the illegally dismissed employee must be reinstated with backwages. Wenphil diluted that rule when it held that due process is satisfied if the employee is given the opportunity to be heard by the Labor Arbiter. It further held that an employee cannot be reinstated if it is established in the hearing that his dismissal is for a just cause. The failure of the employer to give a pre-dismissal notice is only to be penalized by payment of an indemnity. The dilution of the rule has been abused by unscrupulous employers who then followed the ‘dismiss now, pay later’ strategy. This evil practice of employers was what I expected the majority to address in re-examining the Wenphil doctrine. At the very least, I thought that the majority would restore the balance of rights between an employee and an employer by giving back the employee’s mandatory right to notice before dismissal. It is disquieting, however, that the majority re-arranged this balance of right by tilting it more in favor of the employer’s right to dismiss. Thus, instead of weakening a bit the right to dismiss of employers, the majority further strengthens it by insisting that a dismissal without prior notice is merely ‘ineffectual’ and not illegal.</w:t>
      </w:r>
    </w:p>
    <w:p w:rsidR="00000000" w:rsidDel="00000000" w:rsidP="00000000" w:rsidRDefault="00000000" w:rsidRPr="00000000" w14:paraId="000006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stubborn refusal of the majority to appreciate the importance of pre-dismissal notice is difficult to understand. It is the linchpin of an employee’s right against an illegal dismissal. The notice tells him the cause of his dismissal. It gives him a better chance to contest his dismissal in an appropriate proceeding as laid down in the parties’ collective bargaining agreement or the rules of employment established by the employer, as the case may be. In addition, it gives to both the employee and employer more cooling time to settle their differences amicably. In fine, the prior notice requirement and the hearing before the employer give an employee a distinct, different and effective first level of remedy to protect his job. In the event the employee is dismissed, he can still file a complaint with</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the DOLE with better knowledge of the cause of his dismissal, with longer time to prepare his case, and with greater opportunity to take care of the financial needs of his family </w:t>
      </w:r>
      <w:r w:rsidDel="00000000" w:rsidR="00000000" w:rsidRPr="00000000">
        <w:rPr>
          <w:rFonts w:ascii="Georgia" w:cs="Georgia" w:eastAsia="Georgia" w:hAnsi="Georgia"/>
          <w:i w:val="1"/>
          <w:iCs w:val="1"/>
          <w:sz w:val="22"/>
          <w:szCs w:val="22"/>
          <w:rtl w:val="0"/>
        </w:rPr>
        <w:t xml:space="preserve">pendente lite</w:t>
      </w:r>
      <w:r w:rsidDel="00000000" w:rsidR="00000000" w:rsidRPr="00000000">
        <w:rPr>
          <w:rFonts w:ascii="Georgia" w:cs="Georgia" w:eastAsia="Georgia" w:hAnsi="Georgia"/>
          <w:sz w:val="22"/>
          <w:szCs w:val="22"/>
          <w:rtl w:val="0"/>
        </w:rPr>
        <w:t xml:space="preserve">. The majority has taken away from employees this effective remedy. This is not to say that the pre-dismissal notice requirement equalizes the fight between an employee and an employer for the fight will remain unequal. This notice requirement merely gives an employee a fighting chance but that fighting chance is now gone.</w:t>
      </w:r>
    </w:p>
    <w:p w:rsidR="00000000" w:rsidDel="00000000" w:rsidP="00000000" w:rsidRDefault="00000000" w:rsidRPr="00000000" w14:paraId="000006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equally puzzling why the majority believes that restoring the employee's right to pre-dismissal notice will negate the right of an employer to dismiss for cause. The pre- Wenphil rule simply requires that before the right of the employer to dismiss can be exercised, he must give prior notice to the employee of its cause. There is nothing strange nor difficult about this requirement. It is no burden to an employer. He is bereft of reason not to give the simple notice. If he fails to give notice, he can only curse himself. He forfeits his right to dismiss by failing to follow the procedure for the exercise of his right. Employees in the public sector cannot be dismissed without prior notice. Equal protection of law demands similar treatment of employees in the private sector.</w:t>
      </w:r>
    </w:p>
    <w:p w:rsidR="00000000" w:rsidDel="00000000" w:rsidP="00000000" w:rsidRDefault="00000000" w:rsidRPr="00000000" w14:paraId="000006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case at bar specifically involves Article 283 of the Labor Code which lays down four (4) authorized causes for termination of employment. These authorized causes are: (1) installation of labor-saving devices; (2) redundancy; (3) retrenchment to prevent losses; and (4) closing or cessation of operation of the establishment or undertaking unless the closing is for the purpose of circumventing the law. It also provides that prior to the dismissal of an employee for an authorized cause, the employer must send two written notices at least one month before the intended dismissal - one notice to the employee and another notice to the Department of Labor and Employment (DOLE). We have ruled that the right to dismiss on authorized causes is not an absolute prerogative of an employer. We explained that the notice to the DOLE is necessary to enable it to ascertain the truth of the cause of termination. The DOLE is equipped with men and machines to determine whether the planned closure or cessation of business or retrenchment or redundancy or installation of labor saving device is justified by economic facts. For this reason too, we have held that notice to the employee is required to enable him to contest the factual bases of the management decision or good faith of the retrenchment or redundancy before the DOLE. In addition, this notice requirement gives an employee a little time to adjust to his joblessness.</w:t>
      </w:r>
    </w:p>
    <w:p w:rsidR="00000000" w:rsidDel="00000000" w:rsidP="00000000" w:rsidRDefault="00000000" w:rsidRPr="00000000" w14:paraId="000006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insists that if an employee is laid off for an authorized cause under Article 283 in violation of the prior notice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requirement, his dismissal should not be considered void but only ineffectual. He shall not be reinstated but paid separation pay and some backwages. I respectfully submit that an employee under Article 283 has a stronger claim to the right to a pre-dismissal notice and hearing. To begin with, he is an innocent party for he has not violated any term or condition of his employment. Moreover, an employee in an Article 283 situation may lose his job simply because of his employer’s desire for more profit. Thus, the installation of a labor saving device is an authorized cause to terminate employment even if its non-installation need not necessarily result in an over-all loss to an employer possessed by his possessions. In an Article 283 situation, it is easy to see that there is a greater need to scrutinize the allegations of the employer that he is dismissing an employee for an authorized cause. The acts involved here are unilateral acts of the employer. Their nature requires that they should be proved by the employer himself. The need for a labor saving device, the reason for redundancy, the cause for retrenchment, the necessity for closing or cessation of business are all within the knowledge of the employer and the employer alone. They involve a constellation of economic facts and factors usually beyond the ken of knowledge of an ordinary employee. Thus, the burden should be on the employer to establish and justify these authorized causes. Due to their complexity, the law correctly directs that notice should be given to the DOLE for it is the DOLE more than the lowly employee that has the expertise to validate the alleged cause in an appropriate hearing. In fine, the DOLE provides the equalizer to the powers of the employer in an Article 283 situation. Without the equalizing influence of DOLE, the employee can be abused by his employer.</w:t>
      </w:r>
    </w:p>
    <w:p w:rsidR="00000000" w:rsidDel="00000000" w:rsidP="00000000" w:rsidRDefault="00000000" w:rsidRPr="00000000" w14:paraId="00000618">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“Further, I venture the view that the employee’s right to security of tenure guaranteed in our Constitution calls for a pre-dismissal notice and hearing rather than a post facto dismissal hearing. The need for an employee to be heard before he can be dismissed cannot be overemphasized. As aforestated, in the case at bar, petitioner was a regular employee of ISETANN. He had the right to continue with his employment. The burden to establish that this right has ceased is with ISETANN, as petitioner’s employer. In fine, IETANN must be the one to first show that the alleged authorized cause for dismissing petitioner is real. And on this factual issue, petitioner must be heard. Before the validity of the alleged authorized cause is established by ISETANN, the petitioner cannot be separated from employment. This is the simple meaning of security of tenure. With due respect, the majority opinion will reduce this right of our employees to a mere illusion. It will allow the employer to dismiss an employee for a cause that is yet to be established. It tells the employee that if he wants to be heard, he can file a case with the labor arbiter, then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NLRC, and then this Court. Thus, it unreasonably shifts the burden to the employee to prove that his dismissal is for an unauthorized cause.</w:t>
      </w:r>
      <w:r w:rsidDel="00000000" w:rsidR="00000000" w:rsidRPr="00000000">
        <w:rPr>
          <w:rtl w:val="0"/>
        </w:rPr>
      </w:r>
    </w:p>
    <w:p w:rsidR="00000000" w:rsidDel="00000000" w:rsidP="00000000" w:rsidRDefault="00000000" w:rsidRPr="00000000" w14:paraId="000006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The majority has inflicted a most serious cut on the job security of employees. The majority did nothing to restore the pre-Wenphil right of employees but even expanded the right to dismiss of employer by holding that the pre-dismissal notice requirement is not even a function of due process. This seismic shift in our jurisprudence ought not to pass.</w:t>
      </w:r>
    </w:p>
    <w:p w:rsidR="00000000" w:rsidDel="00000000" w:rsidP="00000000" w:rsidRDefault="00000000" w:rsidRPr="00000000" w14:paraId="000006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key to the new majority ruling is that the ‘due process clause of the Constitution is a limitation on governmental powers. It does not apply to the exercise of private power such as the termination of employment under the Labor Code.’ The main reason alleged is that ‘only the State has authority to take the life, liberty, or property of the individual. The purpose of the Due Process Clause is to ensure that the exercise of this power is consistent with settled usage of civilized society.’</w:t>
      </w:r>
    </w:p>
    <w:p w:rsidR="00000000" w:rsidDel="00000000" w:rsidP="00000000" w:rsidRDefault="00000000" w:rsidRPr="00000000" w14:paraId="000006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can be no room for disagreement on the proposition that the due process clause found in the Bill of Rights of the Constitution is a limitation on governmental powers. Nor can there be any debate that acts of government violative of due process are null and void. Thus, former Chief Justice Roberto Concepcion emphasized in Cuaycong v. Senbengco that ‘x x x acts of Congress as well as those of the Executive, can deny due process only under pain of nullity, and judicial proceedings suffering from the same flaw are subject to the same sanction, any statutory provision to the contrary notwithstanding.’ With due respect to the majority, however, I part ways with the majority in its new ruling that the due process requirement does not apply to the exercise of private power. This overly restrictive majority opinion will sap the due process right of employees of its remaining utility. Indeed, the new majority opinion limiting violations of due process to government action alone is a throwback to a regime of law long discarded by more progressive countries. Today, private due process is a settled norm in administrative law.</w:t>
      </w:r>
    </w:p>
    <w:p w:rsidR="00000000" w:rsidDel="00000000" w:rsidP="00000000" w:rsidRDefault="00000000" w:rsidRPr="00000000" w14:paraId="0000061C">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“But we need not rely on foreign jurisprudence to repudiate the new majority ruling that due process restricts government alone and not private employers like ISETANN. This Court has always protected employees whenever they are dismissed for an unjust cause by private employers. We have consistently held that before dismissing an employee for a just cause, he must be given notice and hearing by his private employer. In Kingsize Manufacturing Corporation vs. NLRC, this Court, thru Mr. Justice Mendoza, categorically ruled:</w:t>
      </w:r>
      <w:r w:rsidDel="00000000" w:rsidR="00000000" w:rsidRPr="00000000">
        <w:rPr>
          <w:rtl w:val="0"/>
        </w:rPr>
      </w:r>
    </w:p>
    <w:p w:rsidR="00000000" w:rsidDel="00000000" w:rsidP="00000000" w:rsidRDefault="00000000" w:rsidRPr="00000000" w14:paraId="000006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(P)etitioner’s failure to give notice with warning to the private respondents before their services were terminated puts in grave doubt petitioners’ claim that dismissal was for a just cause. Section 2 Rule XIV of the Rules implementing the Labor Code provides:</w:t>
      </w:r>
    </w:p>
    <w:p w:rsidR="00000000" w:rsidDel="00000000" w:rsidP="00000000" w:rsidRDefault="00000000" w:rsidRPr="00000000" w14:paraId="000006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 employer who seeks to dismiss a worker shall furnish him a written notice stating the particular acts or omission constituting the ground for dismissal. In case of abandonment of work, the notice shall be served on the worker’s last known address.”</w:t>
      </w:r>
    </w:p>
    <w:p w:rsidR="00000000" w:rsidDel="00000000" w:rsidP="00000000" w:rsidRDefault="00000000" w:rsidRPr="00000000" w14:paraId="000006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notice required, x x x, actually consists of two parts to be separately served on the employee, to wit: (1) notice to apprise the employee of the particular acts or omissions for which the dismissal is sought; and (2) subsequent notice to inform him of the employer’s decision to dismiss him.</w:t>
      </w:r>
    </w:p>
    <w:p w:rsidR="00000000" w:rsidDel="00000000" w:rsidP="00000000" w:rsidRDefault="00000000" w:rsidRPr="00000000" w14:paraId="0000062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requirement is not a mere technicality but a requirement of due process to which every employee is entitled to insure that the employer’s prerogative to dismiss or lay off is not abused or exercised in an arbitrary manner. This rule is clear and unequivocal x x x.’</w:t>
      </w:r>
    </w:p>
    <w:p w:rsidR="00000000" w:rsidDel="00000000" w:rsidP="00000000" w:rsidRDefault="00000000" w:rsidRPr="00000000" w14:paraId="0000062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we have long adopted in our decisions the doctrine of private due process. This is as it ought to be. The 1987 Constitution guarantees the rights of workers, especially the right to security of tenure in a separate article - - - Section 3 of Article XIII entitled Social Justice and Human Rights. Thus, a 20-20 vision of the Constitution will show that the more specific rights of labor are not in the Bill of Rights which is historically directed against government acts alone. Needless to state, the constitutional rights of labor should be safeguarded against assaults from both government and private parties. The majority should not reverse our settled rulings outlawing violations of due process by employers in just causes cases.</w:t>
      </w:r>
    </w:p>
    <w:p w:rsidR="00000000" w:rsidDel="00000000" w:rsidP="00000000" w:rsidRDefault="00000000" w:rsidRPr="00000000" w14:paraId="00000622">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“To prop up its new ruling against our employees, the majority relates the evolution of our law on dismissal starting from Article 302 of the Spanish Code of Commerce, to the New Civil Code of 1950, to R.A. No. 1052 (Termination Pay Law), then to RA No. 1787. To complete the picture, let me add that on May 1, 1974, the Labor Code (PD 442) was signed into law by former President Marcos. It took effect on [November] 1, 1974 or six months after its promulgation. The right of the employer to terminate the employment was embodied in Articles 283, 284, and 285. Batas Pambansa Blg. 130 which was enacted on August 21, 1981 amended Articles 283 and 284, which today are cited as Arts. 282 and 283 of the Labor Code.</w:t>
      </w:r>
      <w:r w:rsidDel="00000000" w:rsidR="00000000" w:rsidRPr="00000000">
        <w:rPr>
          <w:rtl w:val="0"/>
        </w:rPr>
      </w:r>
    </w:p>
    <w:p w:rsidR="00000000" w:rsidDel="00000000" w:rsidP="00000000" w:rsidRDefault="00000000" w:rsidRPr="00000000" w14:paraId="00000623">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“On March 2, 1989, Republic Act No. 6715 was approved which amended, among others, Article 277 of the Labor Code. x x x</w:t>
      </w:r>
      <w:r w:rsidDel="00000000" w:rsidR="00000000" w:rsidRPr="00000000">
        <w:rPr>
          <w:rtl w:val="0"/>
        </w:rPr>
      </w:r>
    </w:p>
    <w:p w:rsidR="00000000" w:rsidDel="00000000" w:rsidP="00000000" w:rsidRDefault="00000000" w:rsidRPr="00000000" w14:paraId="000006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laws, rules and regulations should be related to our decisions interpreting them. Let me therefore emphasize our rulings holding that the pre-dismissal notice requirement is part of due process. In Batangas Laguna Tayabas Bus Co. vs. Court of Appeals, which was decided under the provisions of RA No. 1052 as amended by RA No. 1787, this Court ruled that ‘the failure of the employer to give the [employee] the benefit of a hearing before he was dismissed constituted an infringement on his constitutional right to due process of law and not to be denied the equal protection of the laws’ xxx. Since the right of [an employee] to his labor is in itself a property and x x x the labor agreement between him and [his employer] is the law between the parties, his summary and arbitrary dismissal amounted to deprivation of his property without due process. Since then, we have consistently held that before dismissing an employee for a just cause, he must be given notice and hearing by his private employer as a matter of due process.</w:t>
      </w:r>
    </w:p>
    <w:p w:rsidR="00000000" w:rsidDel="00000000" w:rsidP="00000000" w:rsidRDefault="00000000" w:rsidRPr="00000000" w14:paraId="000006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wish also to stress that the 1999 Rules and Regulations implementing the Labor Code categorically characterize this pre-dismissal notice requirement as a requirement of due process. </w:t>
      </w:r>
    </w:p>
    <w:p w:rsidR="00000000" w:rsidDel="00000000" w:rsidP="00000000" w:rsidRDefault="00000000" w:rsidRPr="00000000" w14:paraId="000006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we are really zealous of protecting the rights of labor as called for by the Constitution, we should guard against every violation of their rights regardless of whether the government or a private party is the culprit. Section 3 of Article XIII of the Constitution requires the State to give full protection to labor. We cannot be faithful to this duty if we give no protection to labor when the violator of its rights happens to be private parties like private employers. A private person does not have a better right than the government to violate an employee’s right to due process. To be sure, violation of the particular right of employees to security of tenure comes almost always from their private employers. To suggest that we take mere geriatric steps when it comes to protecting the rights of labor from infringement by private parties is farthest from the intent of the Constitution. We trivialize the right of the employee if we adopt the rule allowing the employer to dismiss an employee without any prior hearing and say let him be heard later on. To a dismissed employee that remedy is too little and too late. The new majority ruling is doubly to be regretted because it comes at a time when deregulation and privatization are buzzwords in the world being globalized. In such a setting, the new gods will not be governments but non-governmental corporations. The greater need of the day</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therefore is protection from illegal dismissals sans due process by these non-governmental corporations.</w:t>
      </w:r>
    </w:p>
    <w:p w:rsidR="00000000" w:rsidDel="00000000" w:rsidP="00000000" w:rsidRDefault="00000000" w:rsidRPr="00000000" w14:paraId="000006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also holds that the ‘third reason why the notice requirement under Art. 283 is not a requirement of due process that the employer cannot really be expected to be entirely an impartial judge of his own cause. This is also the case in termination of employment for a just cause under Art. 282.’ Again, with due respect, I beg to disagree. In an Article 283 situation, dismissal due to an authorized cause, the employer is not called upon to act as an impartial judge. The employer is given the duty to serve a written notice on the worker and the DOLE at least one month before the intended date of lay-off. It is the DOLE, an impartial agency that will judge whether or not the employee is being laid off for an authorized caused. It is not the employer who will adjudge whether the alleged authorized cause for dismissing the employee is fact or fiction. On the other hand, in an Article 282 situation, dismissal for a just cause, it is also incorrect to hold that an employer cannot be an impartial judge. Today, the procedure on discipline and dismissal of employees is usually defined in the parties’ collective bargaining agreement or in its absence, in the rules and regulations made by the employer himself. This procedure is carefully designed to be bias free for it is to the interest of both the employee and the employer that only a guilty employee is disciplined or dismissed. Hence, where the charge against an employee is serious, it is standard practice to include in the investigating committee an employee representative to assure the integrity of the process. In addition, it is usual practice to give the aggrieved employee an appellate body to review an unfavorable decision. Stated otherwise, the investigators are mandated to act impartially for to do otherwise can bring havoc less to the employee but more to the employer. For one, if the integrity of the grievance procedure becomes suspect, the employees may shun it and instead resort to coercive measures like picketing and strikes that can financially bleed employers. For another, a wrong, especially a biased judgment can always be challenged in the DOLE and the courts and can result in awards of huge damages against the company. Indeed, the majority ruling - that an employer cannot act as an impartial judge has no empirical evidence to support itself. Statistics in the DOLE will prove the many cases won by employees before the grievance committees manned by impartial judges of the company.</w:t>
      </w:r>
    </w:p>
    <w:p w:rsidR="00000000" w:rsidDel="00000000" w:rsidP="00000000" w:rsidRDefault="00000000" w:rsidRPr="00000000" w14:paraId="000006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“Next, the majority holds that ‘the requirement to hear an employee before he is dismissed should be considered simply as an application of the Justinian precept, embodied in the Civil Code, to act with justice, give everyone his due, and observe honesty and good faith toward one’s fellowmen.’ It then rules that violation of this</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norm will render the employer liable for damages but will not render his act of dismissal void. Again, I cannot join the majority stance. The faultline of this ruling lies in the refusal to recognize that employer-employee relationship is governed by special labor laws and not by the Civil Code. The majority has disregarded the precept that relations between capital and labor are impressed with public interest. For this reason, we have the Labor Code that specially regulates the relationship between the employer-employee including dismissals of employees. Thus, Article 279 of the Labor Code specifically provides that “in cases of regular employment, the employer shall not terminate the services of an employee except for a just cause or when authorized by this Title. An employee who is unjustly dismissed from work shall be entitled to reinstatement without loss of seniority rights and other privileges and to his full backwages, inclusive of allowances, and to his other benefits or their monetary equivalent computed from the time his compensation was withheld from him up to the time of his actual reinstatement.” This provision of the Labor Code clearly gives the remedies that an unjustly dismissed employee deserves. It is not the Civil Code that is the source of his remedies.</w:t>
      </w:r>
    </w:p>
    <w:p w:rsidR="00000000" w:rsidDel="00000000" w:rsidP="00000000" w:rsidRDefault="00000000" w:rsidRPr="00000000" w14:paraId="00000629">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“The majority also holds that lack of notice in an Article 283 situation merely makes an employee dismissal “ineffectual” but not illegal. Again, the ruling is sought to be justified by analogy and our attention is called to Article 1592, in relation to Article 1191 of the Civil Code. It is contended that “under these provisions, while the power to rescind is implied in reciprocal obligations, nonetheless, in cases involving the sale of immovable property, the vendor cannot rescind the contract even though the vendee defaults in the payment of the price, except ‘by bringing an action in court or giving notice of rescission by means of a notarial demand.’ The analogy of the majority cannot be allowed both in law and in logic. The legal relationship of an employer to his employee is not similar to that of a vendor and a vendee. An employee suffers from a distinct disadvantage in his relationship with an employer, hence, the Constitution and our laws give him extra protection. In contrast, a vendor and a vendee in a sale of immovable property are at economic par with each other. To consider an employer-employee relationship as similar to a sale of commodity is an archaic abomination. An employer-employee relationship involves the common good and labor cannot be treated as a mere commodity. As well-settled by former Governor General Leonard Wood in his inaugural message before the 6th Philippine Legislature on October 27, 1922, ‘it is opportunate that we strive to impress upon all the people that labor is neither a chattel nor a commodity, but human and must be dealt with from the standpoint of human interests.’</w:t>
      </w:r>
      <w:r w:rsidDel="00000000" w:rsidR="00000000" w:rsidRPr="00000000">
        <w:rPr>
          <w:rtl w:val="0"/>
        </w:rPr>
      </w:r>
    </w:p>
    <w:p w:rsidR="00000000" w:rsidDel="00000000" w:rsidP="00000000" w:rsidRDefault="00000000" w:rsidRPr="00000000" w14:paraId="000006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“Next, the majority holds that under the Labor Code, only the absence of a just cause for the termination of employment can make the dismissal of an employee illegal. x x x.</w:t>
      </w:r>
    </w:p>
    <w:p w:rsidR="00000000" w:rsidDel="00000000" w:rsidP="00000000" w:rsidRDefault="00000000" w:rsidRPr="00000000" w14:paraId="000006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x x x rationalized that ‘to hold that the employer’s failure to give notice before dismissing an employee x x x results in the nullity of the dismissal would, in effect, be to amend Article 279 by adding another ground, for considering a dismissal illegal.’ With due respect, the majority has misread Article 279. To start with, the article is entitled “Security of Tenure” and therefore protects an employee against dismissal not only for an unjust cause but also for an unauthorized cause. Thus, the phrase “unjustly dismissed” refers to employees who are dismissed without just cause and to employees who are laid off without any authorized cause. As heretofore shown, we have interpreted dismissals without prior notice as illegal for violating the right to due process of the employee. These rulings form part of the law of the land and Congress was aware of them when it enacted the Labor Code and when its implementing rules and regulations were promulgated especially the rule ordering employers to follow due process when dismissing employees. Needless to state, it is incorrect for the majority to urge that we are in effect amending Article 279.</w:t>
      </w:r>
    </w:p>
    <w:p w:rsidR="00000000" w:rsidDel="00000000" w:rsidP="00000000" w:rsidRDefault="00000000" w:rsidRPr="00000000" w14:paraId="000006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further explication of its ruling, the majority contends ‘what is more, it would ignore the fact that under Art. 285, if it is the employee who fails to give a written notice to the employer that he is leaving the service of the latter, at least one month in advance, his failure to comply with the legal requirement does not result in making his resignation void but only in making him liable for damages.’ Article 285(a) states: ‘An employee may terminate without just cause the employee-employer relationship by serving a written notice on the employer at least one (1) month in advance. The employer upon whom no such notice was served may hold the employee liable for damages.’</w:t>
      </w:r>
    </w:p>
    <w:p w:rsidR="00000000" w:rsidDel="00000000" w:rsidP="00000000" w:rsidRDefault="00000000" w:rsidRPr="00000000" w14:paraId="000006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effect, the majority view is that its new ruling puts at par both the employer and the employee — under Article 285, the failure of an employee to pre-notify in writing his employer that he is terminating their relationship does not make his walk-out void; under its new ruling, the failure of an employer to pre-notify an employee before his dismissal does not also render the dismissal void. By this new ruling, the majority in a short stroke has rewritten the law on dismissal and tampered its pro-employee philosophy. Undoubtedly, Article 285 favors the employee as it does not consider void his act of terminating his employment relationship before giving the required notice. But this favor given to an employee just like the other favors in the Labor Code and the Constitution are precisely designed to level the playing field</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between the employer and the employee. It cannot be gainsaid that employees are the special subject of solicitous laws because they have been and they continue to be exploited by unscrupulous employers. Their exploitation has resulted in labor warfare that has broken industrial peace and slowed down economic progress. In the exercise of their wisdom, the founding fathers of our 1935, 1973 and 1987 Constitutions as well as the members of our past and present Congresses, have decided to give more legal protection and better legal treatment to our employees in their relationship with their employer. Expressive of this policy is President Magsaysay’s call that ‘he who has less in life should have more in law.’ I respectfully submit that the majority cannot revise our laws nor shun the social justice thrust of our Constitution in the guise of interpretation especially when its result is to favor employers and disfavor employees. The majority talk of high nobility but the highest nobility is to stoop down to reach the poor.”</w:t>
      </w:r>
    </w:p>
    <w:p w:rsidR="00000000" w:rsidDel="00000000" w:rsidP="00000000" w:rsidRDefault="00000000" w:rsidRPr="00000000" w14:paraId="000006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concluded his piéce de résistance with a supplication to understand the plight of ordinary employees:</w:t>
      </w:r>
    </w:p>
    <w:p w:rsidR="00000000" w:rsidDel="00000000" w:rsidP="00000000" w:rsidRDefault="00000000" w:rsidRPr="00000000" w14:paraId="000006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an employee, a job is everything. Its loss involves terrible repercussions - - stoppage of the schooling of children, ejectment from leased premises, hunger to the family, a life without any safety net. Indeed, to many employees, dismissal is their lethal injection. Mere payment of money by way of separation pay and backwages will not secure food in the mouths of employees who do not even have the right to choose what they will chew.”</w:t>
      </w:r>
    </w:p>
    <w:p w:rsidR="00000000" w:rsidDel="00000000" w:rsidP="00000000" w:rsidRDefault="00000000" w:rsidRPr="00000000" w14:paraId="00000630">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631">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Opinions of Justices </w:t>
      </w:r>
    </w:p>
    <w:p w:rsidR="00000000" w:rsidDel="00000000" w:rsidP="00000000" w:rsidRDefault="00000000" w:rsidRPr="00000000" w14:paraId="00000632">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Bellosillo and Vitug</w:t>
      </w:r>
    </w:p>
    <w:p w:rsidR="00000000" w:rsidDel="00000000" w:rsidP="00000000" w:rsidRDefault="00000000" w:rsidRPr="00000000" w14:paraId="000006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his part, Justice Josue N. Bellosillo concurred in the contention of the ponencia that the termination of Serrano’s services should be “sustained as valid although declared irregular for having been effected without the mandatory 30-day notice.” Basically, he agreed with Justice Mendoza that “due process starts with the tribunal or hearing officer and not with the employer.” He opined, though, that a violation of the notice requirement entitled the employee only to a “disturbance compensation,” not to back wages, the amount of which, according to him, should range from P5,000 to P10,000 depending on the facts of each case. He voted to grant Serrano P10,000 as “disturbance compensation.”</w:t>
      </w:r>
    </w:p>
    <w:p w:rsidR="00000000" w:rsidDel="00000000" w:rsidP="00000000" w:rsidRDefault="00000000" w:rsidRPr="00000000" w14:paraId="00000634">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On the other hand, Justice Jose C. Vitug said that the lack of prescribed notices could entitle the employee to “an award of damages but, to repeat, not to the extent of rendering outrightly illegal that dismissal or lay-off predicated on valid grounds.” He concluded that for such lack, Serrano was entitled to “his unpaid wages, proportionate 13" month pay, and an indemnity of P10,000 in keeping with the nature and purpose of, as well as the rationale behind, the grant of nominal damages.”</w:t>
      </w:r>
      <w:r w:rsidDel="00000000" w:rsidR="00000000" w:rsidRPr="00000000">
        <w:rPr>
          <w:rtl w:val="0"/>
        </w:rPr>
      </w:r>
    </w:p>
    <w:p w:rsidR="00000000" w:rsidDel="00000000" w:rsidP="00000000" w:rsidRDefault="00000000" w:rsidRPr="00000000" w14:paraId="000006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Epilogue</w:t>
      </w:r>
    </w:p>
    <w:p w:rsidR="00000000" w:rsidDel="00000000" w:rsidP="00000000" w:rsidRDefault="00000000" w:rsidRPr="00000000" w14:paraId="000006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while the majority in Serrano v. NLRC granted labor a larger award in monetary terms — from a mere indemnity (ranging from P1,000 to P10,000) to full back wages — it deprived our working force of a very vital right: the right to due process prior to dismissal. This was so significant and so fundamental a shift in jurisprudence and legal philosophy that I reckon it would not be the last time the issue would be debated on. Justice Puno and I — and perhaps some other justices too — will see to that.</w:t>
      </w:r>
    </w:p>
    <w:p w:rsidR="00000000" w:rsidDel="00000000" w:rsidP="00000000" w:rsidRDefault="00000000" w:rsidRPr="00000000" w14:paraId="00000637">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18</w:t>
      </w:r>
    </w:p>
    <w:p w:rsidR="00000000" w:rsidDel="00000000" w:rsidP="00000000" w:rsidRDefault="00000000" w:rsidRPr="00000000" w14:paraId="000006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Secretary of Justice v. Lantion and Jimenez: </w:t>
      </w:r>
    </w:p>
    <w:p w:rsidR="00000000" w:rsidDel="00000000" w:rsidP="00000000" w:rsidRDefault="00000000" w:rsidRPr="00000000" w14:paraId="000006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Due Process in Extradition Cases</w:t>
      </w:r>
    </w:p>
    <w:p w:rsidR="00000000" w:rsidDel="00000000" w:rsidP="00000000" w:rsidRDefault="00000000" w:rsidRPr="00000000" w14:paraId="000006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November 13, 1994, the Philippines and the United States signed an Extradition Treaty, which the Philippine Senate later ratified. Pursuant to this Agreement, the US-via Note Verbale No. 0522 requested on June 18, 1999, the extradition of Mark Jimenez. He had been charged in the United States with violation of the US Code (USC), specifically “(1) conspiracy to commit an offense or to defraud the US; (2) attempt to evade or defeat tax; (3) fraud by wire, radio or television; (4) false statements or entries and (5) election contributions in [the] name of another.”</w:t>
      </w:r>
    </w:p>
    <w:p w:rsidR="00000000" w:rsidDel="00000000" w:rsidP="00000000" w:rsidRDefault="00000000" w:rsidRPr="00000000" w14:paraId="000006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same day (June 18, 1999), the secretary of justice created a panel of government lawyers to evaluate the request. It found that “the official English translation of some documents in Spanish were not attached to the request and that there [were] some other matters that needed to be addressed.” Hence, it asked the US government to correct these inadequacies.</w:t>
      </w:r>
    </w:p>
    <w:p w:rsidR="00000000" w:rsidDel="00000000" w:rsidP="00000000" w:rsidRDefault="00000000" w:rsidRPr="00000000" w14:paraId="000006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meantime, the intended extraditee, Mark Jimenez, through Counsel Estelito P. Mendoza in a letter dated July 1, 1999, asked the secretary of justice for copies of the official request for his extradition, as well as other documents in connection therewith, and to be given ample time to comment on them. The request was however denied.</w:t>
      </w:r>
    </w:p>
    <w:p w:rsidR="00000000" w:rsidDel="00000000" w:rsidP="00000000" w:rsidRDefault="00000000" w:rsidRPr="00000000" w14:paraId="000006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on August 6, 1999, Jimenez filed a suit with the Regional Trial Court of Manila to compel the secretaries of justice and of foreign affairs and the director of the National Bureau of Investigation to give him copies of the extradition documents and an opportunity to comment on them. After a hearing, then Manila RTC Judge Ralph C. Lantion (now a commissioner of the Commission on Elections), to whom the case had been raffled, ordered the three government officials to “maintain the status quo”; that is, to refrain from conducting further proceedings on the extradition request.</w:t>
      </w:r>
    </w:p>
    <w:p w:rsidR="00000000" w:rsidDel="00000000" w:rsidP="00000000" w:rsidRDefault="00000000" w:rsidRPr="00000000" w14:paraId="000006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Disagreeing with the trial court, the secretary of justice brought the matter to the Supreme Court with this basic question: Was Mark Jimenez entitled to be given copies of the extradition documents and to comment on them, before the executive department could continue evaluating them?</w:t>
      </w:r>
    </w:p>
    <w:p w:rsidR="00000000" w:rsidDel="00000000" w:rsidP="00000000" w:rsidRDefault="00000000" w:rsidRPr="00000000" w14:paraId="000006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answering the question, I should explain that there are two phases in an extradition proceeding: first, a preliminary or an evaluation stage, during which the executive authority of the requested state ascertains whether the extradition request is supported by the documents and the information required under the Extradition Treaty; and second, the extradition hearing, during which the executive authority, after determining that the extradition request is properly supported by the required documents, files the extradition charge before a court of justice, which in turn determines whether the wanted person should be extradited. The first is essentially an executive determination, while the second is a judicial process.</w:t>
      </w:r>
    </w:p>
    <w:p w:rsidR="00000000" w:rsidDel="00000000" w:rsidP="00000000" w:rsidRDefault="00000000" w:rsidRPr="00000000" w14:paraId="000006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 precisely then, the question in Secretary of Justice v. Lantion and Jimenez! was as follows: During the evaluation stage undertaken by the executive department, was Mark Jimenez entitled to be given copies of the extradition documents sent by the US government to our secretary of foreign affairs? Otherwise stated, the issue was whether an extraditee was entitled to the due process rights of notice and hearing during the preliminary or evaluation phase of an extradition proceeding.</w:t>
      </w:r>
    </w:p>
    <w:p w:rsidR="00000000" w:rsidDel="00000000" w:rsidP="00000000" w:rsidRDefault="00000000" w:rsidRPr="00000000" w14:paraId="000006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By a vote of 9-6, the Supreme Court, in a 40-page Decision penned by Justice Jose A.R. Melo,? answered the question in the affirmative: the extraditee was entitled to be heard, even during the initial or preliminary stage, for the following reasons:</w:t>
      </w:r>
    </w:p>
    <w:p w:rsidR="00000000" w:rsidDel="00000000" w:rsidP="00000000" w:rsidRDefault="00000000" w:rsidRPr="00000000" w14:paraId="000006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initial evaluation process “may result in the deprivation of liberty of the prospective extraditee. This deprivation can be effected at two stages: First, the provisional arrest of the prospective extraditee</w:t>
      </w:r>
    </w:p>
    <w:p w:rsidR="00000000" w:rsidDel="00000000" w:rsidP="00000000" w:rsidRDefault="00000000" w:rsidRPr="00000000" w14:paraId="000006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Concurring with J. Melo were J] Bellosillo, Vitug, Kapunan, Quisumbing, Purisima, Buena, Santiago and De Leon; with JJ Vitug, Kapunan and Quisumbing writing separate Concurrences. Dissenting were CJ Davide; J] Puno, Mendoza, Panganiban, Pardo and Reyes, with JJ Puno and Panganiban writing separate Dissents.</w:t>
      </w:r>
      <w:r w:rsidDel="00000000" w:rsidR="00000000" w:rsidRPr="00000000">
        <w:rPr>
          <w:rFonts w:ascii="Georgia" w:cs="Georgia" w:eastAsia="Georgia" w:hAnsi="Georgia"/>
          <w:sz w:val="22"/>
          <w:szCs w:val="22"/>
          <w:vertAlign w:val="superscript"/>
        </w:rPr>
        <w:footnoteReference w:customMarkFollows="0" w:id="109"/>
      </w:r>
      <w:r w:rsidDel="00000000" w:rsidR="00000000" w:rsidRPr="00000000">
        <w:rPr>
          <w:rtl w:val="0"/>
        </w:rPr>
      </w:r>
    </w:p>
    <w:p w:rsidR="00000000" w:rsidDel="00000000" w:rsidP="00000000" w:rsidRDefault="00000000" w:rsidRPr="00000000" w14:paraId="000006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pending the submission of the request. This is so because the [RP-US Extradition] Treaty provides that in case of urgency, a contracting party may request the provisional arrest of the person sought pending presentation of the request (Paragraph 1, Article 9, RP- US Extradition Treaty), but he shall be automatically discharged after 60 days if no request is submitted (Paragraph 4). Presidential Decree No. 1069 provides for a shorter period of 20 days after which the arrested person could be discharged (Section 20d). Logically, although the Extradition Law is silent on this respect, the provisions only mean that once a request is forwarded to the requested state, the prospective extraditee may be continuously detained, or if not, subsequently rearrested (Paragraph 5, Article 9, RP- US Extradition Treaty), for he will only be discharged if no request is submitted. Practically, the purpose of this detention is to prevent his possible flight from the requested state. Second, the temporary arrest of the prospective extraditee during the pendency of the extradition petition in court (Section 6, Presidential Decree No. 1069).”</w:t>
      </w:r>
    </w:p>
    <w:p w:rsidR="00000000" w:rsidDel="00000000" w:rsidP="00000000" w:rsidRDefault="00000000" w:rsidRPr="00000000" w14:paraId="000006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“evaluation procedure is akin to a preliminary investigation since both procedures may have the same result — the arrest and imprisonment of the respondent or the person charged. Similar to the evaluation stage of extradition proceedings, a preliminary investigation, which may result in the filing of an information against the respondent, can possibly lead to his arrest, and to the deprivation of his liberty.”</w:t>
      </w:r>
    </w:p>
    <w:p w:rsidR="00000000" w:rsidDel="00000000" w:rsidP="00000000" w:rsidRDefault="00000000" w:rsidRPr="00000000" w14:paraId="000006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“basic rights of notice and hearing pervade not only in criminal and civil proceedings, but in administrative proceedings as well. Non-observance of these rights will invalidate the proceedings. Individuals are entitled to be notified of any pending case affecting their interests, and upon notice, they may claim the right to appear therein and present their side and to refute the position of the opposing parties.”</w:t>
      </w:r>
    </w:p>
    <w:p w:rsidR="00000000" w:rsidDel="00000000" w:rsidP="00000000" w:rsidRDefault="00000000" w:rsidRPr="00000000" w14:paraId="000006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Melo elaborated this point thus: “In a preliminary investigation which is an administrative investigatory proceeding, Section 3, Rule 112 of the Rules of Court guarantees the respondent's basic due process rights, granting him the right to be furnished a copy of the complaint, the affidavits, and other supporting documents, and the right to submit counter-affidavits and other supporting documents within ten days from receipt thereof. Moreover, the respondent shall have the right to examine all other evidence submitted by the complainant.”</w:t>
      </w:r>
    </w:p>
    <w:p w:rsidR="00000000" w:rsidDel="00000000" w:rsidP="00000000" w:rsidRDefault="00000000" w:rsidRPr="00000000" w14:paraId="000006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Jimenez was entitled to the constitutional right to information? on matters of public concern, especially because the extradition documents directly and personally affected him and his rights.</w:t>
      </w:r>
    </w:p>
    <w:p w:rsidR="00000000" w:rsidDel="00000000" w:rsidP="00000000" w:rsidRDefault="00000000" w:rsidRPr="00000000" w14:paraId="000006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Neither the RP-US Extradition Treaty nor the Extradition Law (PD 1069) precluded the “twin due process rights of notice and hearing.” Similarly, American jurisprudence posed no such proscription. “In fact, in interstate extradition proceedings x x x, the prospective extraditee may even request x x x copies of the extradition documents from the governor of the asylum state, and if he does, his rights to be supplied</w:t>
      </w:r>
      <w:r w:rsidDel="00000000" w:rsidR="00000000" w:rsidRPr="00000000">
        <w:rPr>
          <w:rFonts w:ascii="Georgia" w:cs="Georgia" w:eastAsia="Georgia" w:hAnsi="Georgia"/>
          <w:sz w:val="22"/>
          <w:szCs w:val="22"/>
          <w:vertAlign w:val="superscript"/>
        </w:rPr>
        <w:footnoteReference w:customMarkFollows="0" w:id="110"/>
      </w:r>
      <w:r w:rsidDel="00000000" w:rsidR="00000000" w:rsidRPr="00000000">
        <w:rPr>
          <w:rFonts w:ascii="Georgia" w:cs="Georgia" w:eastAsia="Georgia" w:hAnsi="Georgia"/>
          <w:sz w:val="22"/>
          <w:szCs w:val="22"/>
          <w:vertAlign w:val="superscript"/>
        </w:rPr>
        <w:footnoteReference w:customMarkFollows="0" w:id="111"/>
      </w:r>
      <w:r w:rsidDel="00000000" w:rsidR="00000000" w:rsidRPr="00000000">
        <w:rPr>
          <w:rFonts w:ascii="Georgia" w:cs="Georgia" w:eastAsia="Georgia" w:hAnsi="Georgia"/>
          <w:sz w:val="22"/>
          <w:szCs w:val="22"/>
          <w:rtl w:val="0"/>
        </w:rPr>
        <w:t xml:space="preserve"> the same becomes a demandable right,” the ponente emphasized.</w:t>
      </w:r>
    </w:p>
    <w:p w:rsidR="00000000" w:rsidDel="00000000" w:rsidP="00000000" w:rsidRDefault="00000000" w:rsidRPr="00000000" w14:paraId="000006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The granting of Jimenez’s request would not violate the RP-US Extradition Treaty or any norm of international law. Quite the contrary, such grant was “in keeping with the principles of democracy on which our Constitution is premised.”</w:t>
      </w:r>
    </w:p>
    <w:p w:rsidR="00000000" w:rsidDel="00000000" w:rsidP="00000000" w:rsidRDefault="00000000" w:rsidRPr="00000000" w14:paraId="000006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Melo ended his ponencia with a brief gene call for freedom. In his words:</w:t>
      </w:r>
    </w:p>
    <w:p w:rsidR="00000000" w:rsidDel="00000000" w:rsidP="00000000" w:rsidRDefault="00000000" w:rsidRPr="00000000" w14:paraId="000006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“Verily, as one traverses treacherous waters of conflicting and opposing currents of liberty and government authority, he must ever hold the oar of freedom in the stronger arm, lest an errant and wayward course be laid.”</w:t>
      </w:r>
    </w:p>
    <w:p w:rsidR="00000000" w:rsidDel="00000000" w:rsidP="00000000" w:rsidRDefault="00000000" w:rsidRPr="00000000" w14:paraId="0000065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and I separately wrote Dissenting Opinions. In my Dissent, I explained:</w:t>
      </w:r>
    </w:p>
    <w:p w:rsidR="00000000" w:rsidDel="00000000" w:rsidP="00000000" w:rsidRDefault="00000000" w:rsidRPr="00000000" w14:paraId="0000065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In the context of the peculiar factual milieu of Jimenez, there was no danger that he would be deprived of his “life, liberty or property.” Only when a person is in danger of losing it does the Constitution guarantee due process.*</w:t>
      </w:r>
    </w:p>
    <w:p w:rsidR="00000000" w:rsidDel="00000000" w:rsidP="00000000" w:rsidRDefault="00000000" w:rsidRPr="00000000" w14:paraId="000006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will be presently explained, this due process clause had no relevance to his case, because his “life, liberty or property” was not in jeopardy during the preliminary stage of his extradition proceedings.</w:t>
      </w:r>
    </w:p>
    <w:p w:rsidR="00000000" w:rsidDel="00000000" w:rsidP="00000000" w:rsidRDefault="00000000" w:rsidRPr="00000000" w14:paraId="000006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Justice Melo’s ponencia held that Jimenez, even during the preliminary stage, could be provisionally arrested pursuant to Article 9 of the RP-US Extradition Treaty, which I quote below:</w:t>
      </w:r>
      <w:r w:rsidDel="00000000" w:rsidR="00000000" w:rsidRPr="00000000">
        <w:rPr>
          <w:rFonts w:ascii="Georgia" w:cs="Georgia" w:eastAsia="Georgia" w:hAnsi="Georgia"/>
          <w:sz w:val="22"/>
          <w:szCs w:val="22"/>
          <w:vertAlign w:val="superscript"/>
        </w:rPr>
        <w:footnoteReference w:customMarkFollows="0" w:id="112"/>
      </w:r>
      <w:r w:rsidDel="00000000" w:rsidR="00000000" w:rsidRPr="00000000">
        <w:rPr>
          <w:rFonts w:ascii="Georgia" w:cs="Georgia" w:eastAsia="Georgia" w:hAnsi="Georgia"/>
          <w:sz w:val="22"/>
          <w:szCs w:val="22"/>
          <w:vertAlign w:val="superscript"/>
        </w:rPr>
        <w:footnoteReference w:customMarkFollows="0" w:id="113"/>
      </w:r>
      <w:r w:rsidDel="00000000" w:rsidR="00000000" w:rsidRPr="00000000">
        <w:rPr>
          <w:rFonts w:ascii="Georgia" w:cs="Georgia" w:eastAsia="Georgia" w:hAnsi="Georgia"/>
          <w:sz w:val="22"/>
          <w:szCs w:val="22"/>
          <w:rtl w:val="0"/>
        </w:rPr>
        <w:t xml:space="preserve"> “In case of urgency, a Contracting Party may request the provisional arrest of the person sought pending presentation of the request for extradition. A request for provisional arrest may be transmitted through the diplomatic channel or directly between the Philippine Department of Justice and the United States Department of Justice.”</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 x</w:t>
      </w:r>
    </w:p>
    <w:p w:rsidR="00000000" w:rsidDel="00000000" w:rsidP="00000000" w:rsidRDefault="00000000" w:rsidRPr="00000000" w14:paraId="000006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Answering this point, I contended that the foregoing Article of the Treaty “is not automatically operative at all times, and its enforcement does not depend solely on the discretion of the requested state. From the wordings of the provision itself, there are at least three requisites: (1) there must be an urgency, and (2) there is a corresponding request (3) which must be made prior to the presentation of the request for extradition.”</w:t>
      </w:r>
    </w:p>
    <w:p w:rsidR="00000000" w:rsidDel="00000000" w:rsidP="00000000" w:rsidRDefault="00000000" w:rsidRPr="00000000" w14:paraId="000006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added that “[i]n the instant case, there appears to be no urgency characterizing the nature of the extradition of private respondent. Petitioner does not claim any such urgency. There is no request from the United States for the provisional arrest of Mark Jimenez either. And the secretary of justice stated during the Oral Argument that he had no intention of applying for the provisional arrest of private respondent.&gt; Finally, the formal request for extradition had already been made; therefore, provisional arrest was not likely, as it should really come before the extradition request.°” In sum, Jimenez was not in danger at all of being arrested or detained during the evaluation stage of the extradition proceedings. 5 TSN, p. 76. ® See also TSN, p. 30.</w:t>
      </w:r>
    </w:p>
    <w:p w:rsidR="00000000" w:rsidDel="00000000" w:rsidP="00000000" w:rsidRDefault="00000000" w:rsidRPr="00000000" w14:paraId="0000065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evaluation stage was not adjudicative in nature. It was essentially executive and ministerial in character. It “simply involves the ascertainment by the foreign affairs secretary of whether the extradition request is accompanied by the documents stated in paragraphs 2 and 3, Article 7 of the Treaty, relating to the identity and the probable location of the fugitive; the facts of the offense and the procedural history of the case; provisions of the law describing the essential elements of the offense charged and the punishment therefor; its prescriptive period; such evidence as would provide probable cause for the arrest and the committal for trial of the fugitive; and copies of the warrant or order of arrest and the charging document. The foreign affairs secretary also sees to it that these accompanying documents have been certified by the principal diplomatic or consular officer of the Philippines in the United States, and that they are in the English language or have English translations. Pursuant to Article 3 of the Treaty, he also determines whether the request is politically motivated, and whether the offense charged is a military offense not punishable under non-military penal legislation.”” In fine, I stressed:</w:t>
      </w:r>
    </w:p>
    <w:p w:rsidR="00000000" w:rsidDel="00000000" w:rsidP="00000000" w:rsidRDefault="00000000" w:rsidRPr="00000000" w14:paraId="000006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“Upon a finding of the secretary of foreign affairs that the extradition request and its supporting documents are sufficient and complete in form and substance, he shall deliver the same to the justice secretary, who shall immediately designate and authorize an attorney in his office to take charge of the case. The lawyer designated shall then file a</w:t>
      </w:r>
      <w:r w:rsidDel="00000000" w:rsidR="00000000" w:rsidRPr="00000000">
        <w:rPr>
          <w:rFonts w:ascii="Georgia" w:cs="Georgia" w:eastAsia="Georgia" w:hAnsi="Georgia"/>
          <w:sz w:val="22"/>
          <w:szCs w:val="22"/>
          <w:vertAlign w:val="superscript"/>
        </w:rPr>
        <w:footnoteReference w:customMarkFollows="0" w:id="114"/>
      </w:r>
      <w:r w:rsidDel="00000000" w:rsidR="00000000" w:rsidRPr="00000000">
        <w:rPr>
          <w:rFonts w:ascii="Georgia" w:cs="Georgia" w:eastAsia="Georgia" w:hAnsi="Georgia"/>
          <w:sz w:val="22"/>
          <w:szCs w:val="22"/>
          <w:rtl w:val="0"/>
        </w:rPr>
        <w:t xml:space="preserve"> written petition with the proper regional trial court, with a prayer that the court take the extradition request under consideration.*”</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x x x</w:t>
      </w:r>
    </w:p>
    <w:p w:rsidR="00000000" w:rsidDel="00000000" w:rsidP="00000000" w:rsidRDefault="00000000" w:rsidRPr="00000000" w14:paraId="000006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must be borne in mind that during the preliminary stage, the foreign affairs secretary’s determination of whether the offense charged is extraditable or politically motivated is merely preliminary. The same issue will be resolved by the trial court.’ Moreover, it is also the power and the duty of the court, not the executive authority, to determine whether there is sufficient evidence to establish probable cause that the extraditee committed the crimes charged." The sufficiency of the evidence of criminality is to be determined based on the laws of the requested state.’ Private Respondent Jimenez will, therefore, definitely have his full opportunity before the court, in case an extradition petition will indeed be filed, to be heard on all issues including the sufficiency of the documents supporting the extradition request.”</w:t>
      </w:r>
    </w:p>
    <w:p w:rsidR="00000000" w:rsidDel="00000000" w:rsidP="00000000" w:rsidRDefault="00000000" w:rsidRPr="00000000" w14:paraId="000006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From the foregoing process, it is clear there was really nothing that the prospective extraditee could genuinely comment on, since his rights were not yet affected.</w:t>
      </w:r>
    </w:p>
    <w:p w:rsidR="00000000" w:rsidDel="00000000" w:rsidP="00000000" w:rsidRDefault="00000000" w:rsidRPr="00000000" w14:paraId="000006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remedy which Jimenez should have resorted to, in order to alleviate the alleged “incalculable prejudice” that had been brought upon him by the extradition request, was to fight the charges directly in the US Courts. “The concrete charges that he has allegedly committed certain offenses already exist. These charges have been filed in the United States and are part of public and official records there. Assuming the existence of moral injury, the only means by which he can restore his good reputation is to prove before the proper judicial authorities in the US that the charges against him are unfounded. Such restoration cannot be accomplished by simply contending that the documents supporting the request for his extradition are insufficient.”</w:t>
      </w:r>
    </w:p>
    <w:p w:rsidR="00000000" w:rsidDel="00000000" w:rsidP="00000000" w:rsidRDefault="00000000" w:rsidRPr="00000000" w14:paraId="000006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Justice Puno began his scholarly Dissent with a “brief review of the history of extradition law,” traversing various schools of thought in international law, from the early practices of the Egyptians and the Chinese, to Grotius and Vattel, thence to Kelsen, later to Mc Dougall and to our own Florentino Feliciano — all these to emphasize that the executive department should be given great latitude in dealing with extradition as an instrument of foreign policy. He proposed a “balancing approach” between international obligations and our Constitution and concluded that Jimenez had not proven his entitlement to due process. Indeed, “the degree of denial of private respondent’s rights to due process and to information is too slight to warrant the interposition of judicial power.” He argued that an extradition proceeding could not be likened to a criminal case. In his words: “x x x, As admitted in the ponencia itself, an extradition proceeding is sui generis. It is, thus, futile to determine what it is. What is certain is that it is not a criminal proceeding where there is an accused who can claim the entire array of rights guaranteed by the Bill of Rights. Let it be stressed that in an extradition proceeding, there is no accused and the guilt or innocence of the extraditee will not be passed upon by our executive officials nor by the extradition judge. Hence, constitutional rights that are only relevant to determine the guilt or innocence of an accused cannot be invoked by an extraditee. Indeed, an extradition proceeding is summary in nature which is untrue of criminal proceedings.’* Even the rules of evidence are different in an extradition proceeding. Admission of evidence is less stringent, again because the guilt of the extraditee is not under litigation.“It is not only the quality but even the quantum of evidence in [an] extradition proceeding [that] is different. In a criminal case, an accused can only be convicted by proof beyond reasonable doubt.'5 In an extradition proceeding, an extraditee can be ordered extradited “upon showing of the existence of a prima facie case.” If more</w:t>
      </w:r>
      <w:r w:rsidDel="00000000" w:rsidR="00000000" w:rsidRPr="00000000">
        <w:rPr>
          <w:rFonts w:ascii="Georgia" w:cs="Georgia" w:eastAsia="Georgia" w:hAnsi="Georgia"/>
          <w:sz w:val="22"/>
          <w:szCs w:val="22"/>
          <w:vertAlign w:val="superscript"/>
        </w:rPr>
        <w:footnoteReference w:customMarkFollows="0" w:id="115"/>
      </w:r>
      <w:r w:rsidDel="00000000" w:rsidR="00000000" w:rsidRPr="00000000">
        <w:rPr>
          <w:rFonts w:ascii="Georgia" w:cs="Georgia" w:eastAsia="Georgia" w:hAnsi="Georgia"/>
          <w:sz w:val="22"/>
          <w:szCs w:val="22"/>
          <w:rtl w:val="0"/>
        </w:rPr>
        <w:t xml:space="preserve"> need be said, the nature of an extradition decision is different from a judicial decision whose finality cannot be changed by executive fiat. Our courts’ may hold an individual extraditable but the ultimate decision to extradite the individual lies in the hands of the Executive. Section 3, Article 3 of the RP-US Extradition Treaty specifically provides that “extradition shall not be granted if the executive authority of the Requested State determines that the request was politically motivated, or that the offense is a military offense which is not punishable under non-military penal legislation.” In the United States, the Secretary of State exercises this ultimate power and is conceded considerable discretion. He balances the equities of the case and the demands of the nation’s foreign relations." In sum, he is not straitjacketed by strict legal considerations like an ordinary court.”</w:t>
      </w:r>
    </w:p>
    <w:p w:rsidR="00000000" w:rsidDel="00000000" w:rsidP="00000000" w:rsidRDefault="00000000" w:rsidRPr="00000000" w14:paraId="000006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Puno stressed that “the ponencia failed to accord due importance to the international law aspect of an extradition treaty as it unduly stressed its constitutional law dimension. This goes against the familiar learning that in balancing the clashing interests involved in extradition treaty, national interest is more equal than the others. While lately, humanitarian considerations are being factored in the equation, still the concept of extradition as a national</w:t>
      </w:r>
      <w:r w:rsidDel="00000000" w:rsidR="00000000" w:rsidRPr="00000000">
        <w:rPr>
          <w:rFonts w:ascii="Georgia" w:cs="Georgia" w:eastAsia="Georgia" w:hAnsi="Georgia"/>
          <w:sz w:val="22"/>
          <w:szCs w:val="22"/>
          <w:vertAlign w:val="superscript"/>
        </w:rPr>
        <w:footnoteReference w:customMarkFollows="0" w:id="116"/>
      </w:r>
      <w:r w:rsidDel="00000000" w:rsidR="00000000" w:rsidRPr="00000000">
        <w:rPr>
          <w:rFonts w:ascii="Georgia" w:cs="Georgia" w:eastAsia="Georgia" w:hAnsi="Georgia"/>
          <w:sz w:val="22"/>
          <w:szCs w:val="22"/>
          <w:vertAlign w:val="superscript"/>
        </w:rPr>
        <w:footnoteReference w:customMarkFollows="0" w:id="117"/>
      </w:r>
      <w:r w:rsidDel="00000000" w:rsidR="00000000" w:rsidRPr="00000000">
        <w:rPr>
          <w:rFonts w:ascii="Georgia" w:cs="Georgia" w:eastAsia="Georgia" w:hAnsi="Georgia"/>
          <w:sz w:val="22"/>
          <w:szCs w:val="22"/>
          <w:rtl w:val="0"/>
        </w:rPr>
        <w:t xml:space="preserve"> act is the guiding idea. Requesting and granting extradition remains a power and _ prerogative of the national government of a State. The process still involves’ relations between international personalities.!? Needless to state, a more deferential treatment should be given to national interest than to individual interest.”</w:t>
      </w:r>
    </w:p>
    <w:p w:rsidR="00000000" w:rsidDel="00000000" w:rsidP="00000000" w:rsidRDefault="00000000" w:rsidRPr="00000000" w14:paraId="0000065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Postscript: </w:t>
      </w:r>
    </w:p>
    <w:p w:rsidR="00000000" w:rsidDel="00000000" w:rsidP="00000000" w:rsidRDefault="00000000" w:rsidRPr="00000000" w14:paraId="0000066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Jimenez Decision Reversed</w:t>
      </w:r>
    </w:p>
    <w:p w:rsidR="00000000" w:rsidDel="00000000" w:rsidP="00000000" w:rsidRDefault="00000000" w:rsidRPr="00000000" w14:paraId="000006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Ina Resolution promulgated on October 17, 2000? (one week after my printing deadline), the Court, by a vote also of 9-6, reversed its January 18, 2000 Decision. This unusual reversal was brought about by the change in the votes of Justices Quisumbing, Purisima and De Leon. In reversing itself, the Court invoked essentially the same arguments earlier set forth in the two erstwhile Dissenting Opinions of Justice Puno and me. It ruled that Respondent Mark Jimenez was not entitled to notice and hearing during the preliminary stage of the extradition proceedings for the following reasons: ie</w:t>
      </w:r>
    </w:p>
    <w:p w:rsidR="00000000" w:rsidDel="00000000" w:rsidP="00000000" w:rsidRDefault="00000000" w:rsidRPr="00000000" w14:paraId="000006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There is no provision in the RP-US Extradition Treaty and in PD 1069 that gives an extraditee such rights.</w:t>
      </w:r>
    </w:p>
    <w:p w:rsidR="00000000" w:rsidDel="00000000" w:rsidP="00000000" w:rsidRDefault="00000000" w:rsidRPr="00000000" w14:paraId="000006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Viewed from its “object and purpose” in accordance with the Vienna Convention on the Law of Treaties, an interpretation in good faith of such Treaty</w:t>
      </w:r>
    </w:p>
    <w:p w:rsidR="00000000" w:rsidDel="00000000" w:rsidP="00000000" w:rsidRDefault="00000000" w:rsidRPr="00000000" w14:paraId="000006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Weston, Falk and Amato, International Law and World Order, 2” ed., p. 630 (1990). * Penned by Justice Puno and concurred in by CJ Davide; J] Mendoza, Panganiban, Quisumbing, Purisima, Pardo, Reyes and De Leon. Dissenting were ]] Bellosillo, Melo, Vitug, Kapunan, Buena and Santiago, with J/ Melo and Santiago writing separate Dissents.</w:t>
      </w:r>
    </w:p>
    <w:p w:rsidR="00000000" w:rsidDel="00000000" w:rsidP="00000000" w:rsidRDefault="00000000" w:rsidRPr="00000000" w14:paraId="000006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ties, an interpretation in good faith of such Treaty “should be the unbending commitment that the perpetrators of these crimes will not be coddled by any signatory state.”</w:t>
      </w:r>
    </w:p>
    <w:p w:rsidR="00000000" w:rsidDel="00000000" w:rsidP="00000000" w:rsidRDefault="00000000" w:rsidRPr="00000000" w14:paraId="000006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The “meaning given [a treaty] by the departments of government particularly charged with their negotiation and enforcement is accorded great weight.”</w:t>
      </w:r>
    </w:p>
    <w:p w:rsidR="00000000" w:rsidDel="00000000" w:rsidP="00000000" w:rsidRDefault="00000000" w:rsidRPr="00000000" w14:paraId="000006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An extradition case is not equivalent to a criminal proceeding in which the respondent is granted all the rights of an accused person.</w:t>
      </w:r>
    </w:p>
    <w:p w:rsidR="00000000" w:rsidDel="00000000" w:rsidP="00000000" w:rsidRDefault="00000000" w:rsidRPr="00000000" w14:paraId="000006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There is no immediate danger that respondent would be deprived of his liberty either through provisional arrest or temporary detention. (This point was extensively discussed in my erstwhile Dissent cited earlier).</w:t>
      </w:r>
    </w:p>
    <w:p w:rsidR="00000000" w:rsidDel="00000000" w:rsidP="00000000" w:rsidRDefault="00000000" w:rsidRPr="00000000" w14:paraId="000006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“Important state interests cannot be ignored for they serve the interest of the greater majority.” At its evaluation stage, “the nature of the right being claimed by the private respondent is [still] nebulous x x x.” After all, the extraditee is accorded by the Treaty “sufficient opportunity to meet the evidence against him once the petition is filed in court.”</w:t>
      </w:r>
    </w:p>
    <w:p w:rsidR="00000000" w:rsidDel="00000000" w:rsidP="00000000" w:rsidRDefault="00000000" w:rsidRPr="00000000" w14:paraId="0000066B">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19</w:t>
      </w:r>
    </w:p>
    <w:p w:rsidR="00000000" w:rsidDel="00000000" w:rsidP="00000000" w:rsidRDefault="00000000" w:rsidRPr="00000000" w14:paraId="000006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Veterans Federation Party v. Comelec</w:t>
      </w:r>
      <w:r w:rsidDel="00000000" w:rsidR="00000000" w:rsidRPr="00000000">
        <w:rPr>
          <w:rtl w:val="0"/>
        </w:rPr>
      </w:r>
    </w:p>
    <w:p w:rsidR="00000000" w:rsidDel="00000000" w:rsidP="00000000" w:rsidRDefault="00000000" w:rsidRPr="00000000" w14:paraId="000006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Party-List System — a </w:t>
      </w:r>
    </w:p>
    <w:p w:rsidR="00000000" w:rsidDel="00000000" w:rsidP="00000000" w:rsidRDefault="00000000" w:rsidRPr="00000000" w14:paraId="000006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Disagreement on Mathematics</w:t>
      </w:r>
    </w:p>
    <w:p w:rsidR="00000000" w:rsidDel="00000000" w:rsidP="00000000" w:rsidRDefault="00000000" w:rsidRPr="00000000" w14:paraId="000006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Supreme Court is the repository of judicial wisdom and the final arbiter of legal controversies. Hence, its decisions form an essential part of the legal system of the Philippines.’ In fact, a Supreme Court decision on a specific controversy constitutes the final word, which must be respected and obeyed by all — the parties, the lawyers, the police, the military, the President, Congress and everyone else.</w:t>
      </w:r>
    </w:p>
    <w:p w:rsidR="00000000" w:rsidDel="00000000" w:rsidP="00000000" w:rsidRDefault="00000000" w:rsidRPr="00000000" w14:paraId="000006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Almost all the time, the Supreme Court is confronted with legal problems — the application of pertinent laws to a specific set of circumstances. In fact, most of the cases I have written about in this book, as well as those in my previous ones, involve the</w:t>
      </w:r>
      <w:r w:rsidDel="00000000" w:rsidR="00000000" w:rsidRPr="00000000">
        <w:rPr>
          <w:rFonts w:ascii="Georgia" w:cs="Georgia" w:eastAsia="Georgia" w:hAnsi="Georgia"/>
          <w:sz w:val="22"/>
          <w:szCs w:val="22"/>
          <w:vertAlign w:val="superscript"/>
        </w:rPr>
        <w:footnoteReference w:customMarkFollows="0" w:id="118"/>
      </w:r>
      <w:r w:rsidDel="00000000" w:rsidR="00000000" w:rsidRPr="00000000">
        <w:rPr>
          <w:rFonts w:ascii="Georgia" w:cs="Georgia" w:eastAsia="Georgia" w:hAnsi="Georgia"/>
          <w:sz w:val="22"/>
          <w:szCs w:val="22"/>
          <w:rtl w:val="0"/>
        </w:rPr>
        <w:t xml:space="preserve"> application of the Constitution, the laws and judicial doctrines to a given set of facts.</w:t>
      </w:r>
    </w:p>
    <w:p w:rsidR="00000000" w:rsidDel="00000000" w:rsidP="00000000" w:rsidRDefault="00000000" w:rsidRPr="00000000" w14:paraId="000006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Once in a while, however, the Court is faced not only with dilemmas that are constitutional and legal in nature, but also with those involving other human disciplines, without which the case cannot be completely and finally resolved. One such case is Veterans Federation Party v. Comelec,, in which the Court was divided, not on the constitutional and legal issues, but on how to reduce legal principles into mathematical formulas and equations.</w:t>
      </w:r>
    </w:p>
    <w:p w:rsidR="00000000" w:rsidDel="00000000" w:rsidP="00000000" w:rsidRDefault="00000000" w:rsidRPr="00000000" w14:paraId="000006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in these consolidated cases, the Court was of one mind in upholding the validity of the statute implementing the party-list system in the Philippines (RA 7941), but was divided on the issue of how to convert the principle of proportional representation into a mathematical formula.</w:t>
      </w:r>
    </w:p>
    <w:p w:rsidR="00000000" w:rsidDel="00000000" w:rsidP="00000000" w:rsidRDefault="00000000" w:rsidRPr="00000000" w14:paraId="000006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the parties in this case merely argued on the legal issues without proposing or discussing at length any such mathematical equation suitable to the facts and the peculiar party-list law in the Philippines.</w:t>
      </w:r>
    </w:p>
    <w:p w:rsidR="00000000" w:rsidDel="00000000" w:rsidP="00000000" w:rsidRDefault="00000000" w:rsidRPr="00000000" w14:paraId="000006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Vicente V. Mendoza, to whom the case had initially been raffled for study, researched long and wide for solutions used by parliamentary democracies in Europe. After extensive studies, he proposed the adoption of the Niemeyer formula, a tested and accepted method of determining the winners in the party-list elections of Germany.</w:t>
      </w:r>
      <w:r w:rsidDel="00000000" w:rsidR="00000000" w:rsidRPr="00000000">
        <w:rPr>
          <w:rFonts w:ascii="Georgia" w:cs="Georgia" w:eastAsia="Georgia" w:hAnsi="Georgia"/>
          <w:sz w:val="22"/>
          <w:szCs w:val="22"/>
          <w:vertAlign w:val="superscript"/>
        </w:rPr>
        <w:footnoteReference w:customMarkFollows="0" w:id="119"/>
      </w:r>
      <w:r w:rsidDel="00000000" w:rsidR="00000000" w:rsidRPr="00000000">
        <w:rPr>
          <w:rtl w:val="0"/>
        </w:rPr>
      </w:r>
    </w:p>
    <w:p w:rsidR="00000000" w:rsidDel="00000000" w:rsidP="00000000" w:rsidRDefault="00000000" w:rsidRPr="00000000" w14:paraId="000006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when he presented this formula during the deliberations of the Court in September 2000, I noticed that in the German Bundestag, all the seats reserved for party-list representatives had to be filled up. Even more important, there was no limit to the number of representatives a German party could elect. In other words, proportional representation was computed in its absolute sense. In our setup, however, the number of seats allocated to party-list representatives was deemed merely as a ceiling, not an absolute number to be filled up. Moreover, RA 7941 imposed a three-seat limit per party. Hence, I argued that the Niemeyer formula, while suitable for Germany, could not find any application in our country because of fundamental differences between the two models. And the Court, by a vote of 12-3, sustained me. Hence, I was tasked to write the Decision.</w:t>
      </w:r>
    </w:p>
    <w:p w:rsidR="00000000" w:rsidDel="00000000" w:rsidP="00000000" w:rsidRDefault="00000000" w:rsidRPr="00000000" w14:paraId="000006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a better understanding of the case, let me give the background in some detail.</w:t>
      </w:r>
    </w:p>
    <w:p w:rsidR="00000000" w:rsidDel="00000000" w:rsidP="00000000" w:rsidRDefault="00000000" w:rsidRPr="00000000" w14:paraId="000006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5, Article VI of the 1987 Constitution, introduced the party-list system of representation in our country, as follows:</w:t>
      </w:r>
    </w:p>
    <w:p w:rsidR="00000000" w:rsidDel="00000000" w:rsidP="00000000" w:rsidRDefault="00000000" w:rsidRPr="00000000" w14:paraId="000006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5. (1) The House of Representatives shall be composed of not more than two hundred and fifty members, unless otherwise fixed by law, who shall be elected from legislative districts apportioned among the provinces, cities, and the Metropolitan Manila area in accordance with the number of their respective inhabitants, and on the basis of a uniform and progressive ratio, and those who, as provided by law, shall be elected by a party-list system of registered national, regional, and sectoral parties or organizations.</w:t>
      </w:r>
    </w:p>
    <w:p w:rsidR="00000000" w:rsidDel="00000000" w:rsidP="00000000" w:rsidRDefault="00000000" w:rsidRPr="00000000" w14:paraId="000006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“(2)The party-list representatives shall constitute twenty per centum of the total number of representatives including those under the party-list. For three consecutive terms after the ratification of this Constitution, one half of the seats allocated to party-list representatives shall be filled, as provided by law, by selection or election from the labor, peasant, urban poor, indigenous cultural communities, women, youth, and such other sectors as may be provided by law, except the religious sector.”</w:t>
      </w:r>
    </w:p>
    <w:p w:rsidR="00000000" w:rsidDel="00000000" w:rsidP="00000000" w:rsidRDefault="00000000" w:rsidRPr="00000000" w14:paraId="000006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above provision, a voter is, in effect, given two (2) votes for the House — one to elect a district congressman; the other, a party-list representative. However, other than stating that “[t]he party list representatives shall constitute twenty per centum of the total number of representatives including those under the party-list,” the Constitution left to Congress the details of how to implement this new method of representation.</w:t>
      </w:r>
    </w:p>
    <w:p w:rsidR="00000000" w:rsidDel="00000000" w:rsidP="00000000" w:rsidRDefault="00000000" w:rsidRPr="00000000" w14:paraId="0000067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Acting on its mandate to “provide by law” the “selection or election” of party-list solons, Congress enacted Republic Act (RA) No. 7941 which prescribed, among others, the entitlement to a party-list seat, in this wise:</w:t>
      </w:r>
    </w:p>
    <w:p w:rsidR="00000000" w:rsidDel="00000000" w:rsidP="00000000" w:rsidRDefault="00000000" w:rsidRPr="00000000" w14:paraId="0000067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11. Number of Party-List Repre-sentatives. — The party-list representatives shall constitute twenty per centum (20%) of the total number of the members of the House of Representatives including those under the party-list.</w:t>
      </w:r>
    </w:p>
    <w:p w:rsidR="00000000" w:rsidDel="00000000" w:rsidP="00000000" w:rsidRDefault="00000000" w:rsidRPr="00000000" w14:paraId="0000068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purposes of the May 1998 elections, the first five (5) major political parties on the basis of party representation in the House of Representatives at the start of the Tenth Congress of the Philippines shall not be entitled to participate in the party-list system.</w:t>
      </w:r>
    </w:p>
    <w:p w:rsidR="00000000" w:rsidDel="00000000" w:rsidP="00000000" w:rsidRDefault="00000000" w:rsidRPr="00000000" w14:paraId="0000068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determining the allocation of seats for the second vote, the following procedure shall be observed:</w:t>
      </w:r>
    </w:p>
    <w:p w:rsidR="00000000" w:rsidDel="00000000" w:rsidP="00000000" w:rsidRDefault="00000000" w:rsidRPr="00000000" w14:paraId="0000068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parties, organizations, and coalitions shall be ranked from the highest to the lowest based on the number of votes they garnered during the elections.</w:t>
      </w:r>
    </w:p>
    <w:p w:rsidR="00000000" w:rsidDel="00000000" w:rsidP="00000000" w:rsidRDefault="00000000" w:rsidRPr="00000000" w14:paraId="0000068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parties, organizations, and coalitions receiving at least two percent (2%) of the total votes cast for the party-list system shall be entitled to one seat each; Provided, That those garnering more than two percent (2%) of the votes shall be entitled to additional seats in proportion to their total number of votes; Provided, finally, That each party, organization, or coalition shall be entitled to not more than three (3) seats.”</w:t>
      </w:r>
    </w:p>
    <w:p w:rsidR="00000000" w:rsidDel="00000000" w:rsidP="00000000" w:rsidRDefault="00000000" w:rsidRPr="00000000" w14:paraId="0000068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 that under the foregoing provision, parties receiving at least two percent of the total votes cast for the party-list system shall be entitled to one seat each. But those garnering more than two percent shall be entitled to additional seats “in proportion to their total number of votes.”</w:t>
      </w:r>
    </w:p>
    <w:p w:rsidR="00000000" w:rsidDel="00000000" w:rsidP="00000000" w:rsidRDefault="00000000" w:rsidRPr="00000000" w14:paraId="000006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its part, the Commission on Elections (Comelec), as the main enforcer of election laws, promulgated Resolution No. 2847 on June 25, 1996, prescribing the rules and regulations governing the election of party-list representatives.</w:t>
      </w:r>
    </w:p>
    <w:p w:rsidR="00000000" w:rsidDel="00000000" w:rsidP="00000000" w:rsidRDefault="00000000" w:rsidRPr="00000000" w14:paraId="000006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May 11, 1998, the first election for the party-list scheme was held simultaneously with the national elections. One hundred and twenty-three (123) parties, organizations and coalitions participated.</w:t>
      </w:r>
    </w:p>
    <w:p w:rsidR="00000000" w:rsidDel="00000000" w:rsidP="00000000" w:rsidRDefault="00000000" w:rsidRPr="00000000" w14:paraId="000006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June 26, 1998, the Comelec en banc proclaimed thirteen (13) party-list representatives from twelve (12) parties and organizations, which had obtained at least two percent of the total number of votes cast for the party-list system.</w:t>
      </w:r>
    </w:p>
    <w:p w:rsidR="00000000" w:rsidDel="00000000" w:rsidP="00000000" w:rsidRDefault="00000000" w:rsidRPr="00000000" w14:paraId="000006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passing upon the results of the special elections on July 4, 8 and 25, 1998, the Comelec further determined that Cocofed (Philippine Coconut Planters Federation, Inc.) was entitled to one party-list seat for having garnered 186,388 votes, which were equivalent</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2.04 percent of the total votes cast. Thus, its first nominee, Emerito S$. Calderon, was proclaimed on September 8, 1998 as the 14" party-list representative.</w:t>
      </w:r>
    </w:p>
    <w:p w:rsidR="00000000" w:rsidDel="00000000" w:rsidP="00000000" w:rsidRDefault="00000000" w:rsidRPr="00000000" w14:paraId="0000068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Thirty-eight “defeated” parties and organizations promptly filed suit in the Comelec, pleading for their own proclamations. After due hearing, the Commission's Second Division, by a two to one vote,’ ordered the proclamation of the 38 parties (“Group of 38”), even if they had failed to obtain the two percent vote requirement mandated by Section 11 (b) of RA 7941.</w:t>
      </w:r>
    </w:p>
    <w:p w:rsidR="00000000" w:rsidDel="00000000" w:rsidP="00000000" w:rsidRDefault="00000000" w:rsidRPr="00000000" w14:paraId="000006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Acting on a Motion for Reconsideration, the Comelec en banc, by a razor-thin majority — with three commissioners? concurring and two members?” dissenting — affirmed the Second Division ruling. Thus, the following 38 parties were each adjudged to be entitled to a party-list seat in the House of Representatives</w:t>
      </w:r>
    </w:p>
    <w:p w:rsidR="00000000" w:rsidDel="00000000" w:rsidP="00000000" w:rsidRDefault="00000000" w:rsidRPr="00000000" w14:paraId="0000068D">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Added to the previously proclaimed 14 nominees of the 13 parties (“Lucky Thirteen”) which had obtained the two percent bench mark, this Group of 38 thus filled up the “full complement of 52 seats in the House of Representatives.”</w:t>
      </w:r>
    </w:p>
    <w:p w:rsidR="00000000" w:rsidDel="00000000" w:rsidP="00000000" w:rsidRDefault="00000000" w:rsidRPr="00000000" w14:paraId="000006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poll body ignored the two percent threshold. and ruled that such requirement “does not serve the essence and object of the Constitution” and “will also prevent this Commission from complying with the constitutional and statutory decrees for party-list representatives to compose 20% of the House of Representatives.”</w:t>
      </w:r>
    </w:p>
    <w:p w:rsidR="00000000" w:rsidDel="00000000" w:rsidP="00000000" w:rsidRDefault="00000000" w:rsidRPr="00000000" w14:paraId="000006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Aggrieved, the Lucky Thirteen asked the Supreme Court to annul the Comelec action and instead to proclaim additional seats, so that each of them would have three — or all of them a total of 39 (3x13=39) — party-list lawmakers. To resolve the main issue of who were the winners of the 1998 party-list elections, the Court addressed the following issues:</w:t>
      </w:r>
    </w:p>
    <w:p w:rsidR="00000000" w:rsidDel="00000000" w:rsidP="00000000" w:rsidRDefault="00000000" w:rsidRPr="00000000" w14:paraId="000006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Is the twenty percent allocation for party-list representatives mentioned in Article VI, Section 5 (2) of the Constitution, mandatory or is it merely a ceiling? In other words, should the twenty percent allocation for party-list solons be filled up completely ~ and all the time?</w:t>
      </w:r>
    </w:p>
    <w:p w:rsidR="00000000" w:rsidDel="00000000" w:rsidP="00000000" w:rsidRDefault="00000000" w:rsidRPr="00000000" w14:paraId="000006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Are the two percent threshold requirement and the three-seat limit provided in Section 11 (b) of RA 7941 constitutional?</w:t>
      </w:r>
    </w:p>
    <w:p w:rsidR="00000000" w:rsidDel="00000000" w:rsidP="00000000" w:rsidRDefault="00000000" w:rsidRPr="00000000" w14:paraId="000006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If the answer to Issue 2 is in the affirmative, how should the additional seats of a qualified party be determined?”</w:t>
      </w:r>
    </w:p>
    <w:p w:rsidR="00000000" w:rsidDel="00000000" w:rsidP="00000000" w:rsidRDefault="00000000" w:rsidRPr="00000000" w14:paraId="000006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first two issues, the Court was unanimous in its ruling that (1) the twenty percent constitutional allocation was only a ceiling and was not mandatory, and (2) the statutory two percent threshold and the three-seat limit were constitutional. Citing both the proceedings of the Constitutional Commission and of Congress, the High Tribunal ruled “that a simple reading of Section 5, Article VI of the Constitution, easily conveys the equally simple message that Congress was vested with the broad power to define and prescribe the mechanics of the party-list system.”</w:t>
      </w:r>
    </w:p>
    <w:p w:rsidR="00000000" w:rsidDel="00000000" w:rsidP="00000000" w:rsidRDefault="00000000" w:rsidRPr="00000000" w14:paraId="000006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held that Congress could not be deemed to have exceeded its authority in prescribing the two percent threshold and the three-seat limit. Hence, Comelec abused its discretion by ignoring or circumventing RA 7941. Reasoned the Court:</w:t>
      </w:r>
    </w:p>
    <w:p w:rsidR="00000000" w:rsidDel="00000000" w:rsidP="00000000" w:rsidRDefault="00000000" w:rsidRPr="00000000" w14:paraId="000006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poll body is mandated to enforce and administer election-related laws. It has no power to contravene or amend them. Neither does it have authority to decide the wisdom, propriety or rationality of the acts of Congress.</w:t>
      </w:r>
    </w:p>
    <w:p w:rsidR="00000000" w:rsidDel="00000000" w:rsidP="00000000" w:rsidRDefault="00000000" w:rsidRPr="00000000" w14:paraId="000006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function of the Supreme Court, as well as of all judicial and quasi-judicial agencies, is to apply the law as we find it, not to reinvent or second-guess it. Unless declared unconstitutional, ineffective, insufficient or otherwise void by the proper tribunal, a statute remains a valid command of sovereignty that must be respected and obeyed at all times. This is the essence of the rule of law.”</w:t>
      </w:r>
    </w:p>
    <w:p w:rsidR="00000000" w:rsidDel="00000000" w:rsidP="00000000" w:rsidRDefault="00000000" w:rsidRPr="00000000" w14:paraId="000006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third issue — how to determine the winners of the elections — the Court was divided. Twelve justices supported my ponencia while three dissented.’</w:t>
      </w:r>
    </w:p>
    <w:p w:rsidR="00000000" w:rsidDel="00000000" w:rsidP="00000000" w:rsidRDefault="00000000" w:rsidRPr="00000000" w14:paraId="000006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would now like to quote the pertinent portions of the Decision I penned, including the mathematical formulas and equations crafted to choose such winners.</w:t>
      </w:r>
    </w:p>
    <w:p w:rsidR="00000000" w:rsidDel="00000000" w:rsidP="00000000" w:rsidRDefault="00000000" w:rsidRPr="00000000" w14:paraId="0000069B">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“Method of Allocating Additional Seats</w:t>
      </w:r>
    </w:p>
    <w:p w:rsidR="00000000" w:rsidDel="00000000" w:rsidP="00000000" w:rsidRDefault="00000000" w:rsidRPr="00000000" w14:paraId="000006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determined that the twenty percent seat allocation is merely a ceiling, and having upheld the constitutionality of the two percent vote threshold and the three-seat limit imposed under RA 7941, we now proceed to the method of determining how many party-list seats the qualified parties, organizations and coalitions are entitled to. The very first step — there is no dispute on this — is to rank all the participating parties, organizations and coalitions (hereafter collectively referred to as ‘parties’) according to the votes they each obtained. The percentage of their respective votes as against the total number of votes cast for the party-list system is then determined. All those that ~ garnered at least two percent of the total votes cast have an assured or guaranteed seat in the House of Representatives. Thereafter, ‘those garnering more than two percent of the votes shall be entitled to additional seats in proportion to their total number of votes.’ The problem is how to distribute additional seats ‘proportionally, bearing in mind the three-seat limit further imposed by the law.’</w:t>
      </w:r>
    </w:p>
    <w:p w:rsidR="00000000" w:rsidDel="00000000" w:rsidP="00000000" w:rsidRDefault="00000000" w:rsidRPr="00000000" w14:paraId="0000069D">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“One Additional Seat </w:t>
      </w:r>
    </w:p>
    <w:p w:rsidR="00000000" w:rsidDel="00000000" w:rsidP="00000000" w:rsidRDefault="00000000" w:rsidRPr="00000000" w14:paraId="0000069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Per Two Percent Increment</w:t>
      </w:r>
    </w:p>
    <w:p w:rsidR="00000000" w:rsidDel="00000000" w:rsidP="00000000" w:rsidRDefault="00000000" w:rsidRPr="00000000" w14:paraId="000006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“One proposed formula is to allocate one additional seat for every additional proportion of the votes obtained equivalent to the two percent vote requirement for the first seat.2 Translated in figures, a party that wins at least six percent of the total votes cast will be entitled to three seats; another party that gets four percent will be entitled to two seats; and one that gets two percent will be entitled to one seat only. This proposal has the advantage of simplicity and ease of comprehension. Problems arise, however, when the parties get very lop-sided votes — for example, when Party A receives 20 percent of the total votes cast; Party B, 10 percent; and Party C, 6 percent. Under the method just described, Party A would be entitled to 10 seats; Party B, to 5 seats and Party C, to 3 seats. Considering the three-seat limit imposed by law, all the parties will each uniformly have three seats only. We would then have the spectacle of a party garnering two or more times the number of votes obtained by another, yet getting the same number of seats as the other one with the much lesser votes. In effect, proportional representation will be contravened and the law rendered nugatory by this suggested solution. Hence, the Court discarded it.</w:t>
      </w:r>
    </w:p>
    <w:p w:rsidR="00000000" w:rsidDel="00000000" w:rsidP="00000000" w:rsidRDefault="00000000" w:rsidRPr="00000000" w14:paraId="000006A0">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Niemeyer Formula</w:t>
      </w:r>
    </w:p>
    <w:p w:rsidR="00000000" w:rsidDel="00000000" w:rsidP="00000000" w:rsidRDefault="00000000" w:rsidRPr="00000000" w14:paraId="000006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“Another suggestion that the Court considered was the Niemeyer formula, which was developed by a German mathematician and adopted by Germany as its method of</w:t>
      </w:r>
      <w:r w:rsidDel="00000000" w:rsidR="00000000" w:rsidRPr="00000000">
        <w:rPr>
          <w:rFonts w:ascii="Georgia" w:cs="Georgia" w:eastAsia="Georgia" w:hAnsi="Georgia"/>
          <w:sz w:val="22"/>
          <w:szCs w:val="22"/>
          <w:vertAlign w:val="superscript"/>
        </w:rPr>
        <w:footnoteReference w:customMarkFollows="0" w:id="120"/>
      </w:r>
      <w:r w:rsidDel="00000000" w:rsidR="00000000" w:rsidRPr="00000000">
        <w:rPr>
          <w:rFonts w:ascii="Georgia" w:cs="Georgia" w:eastAsia="Georgia" w:hAnsi="Georgia"/>
          <w:sz w:val="22"/>
          <w:szCs w:val="22"/>
          <w:rtl w:val="0"/>
        </w:rPr>
        <w:t xml:space="preserve"> distributing party-list seats in the Bundestag. Under this formula, the number of additional seats to which a qualified party would be entitled is determined by multiplying the remaining number of seats to be allocated by the total number of votes obtained by that party and dividing the product by the total number of votes garnered by all the qualified parties. The integer portion of the resulting product will be the number of additional seats that the party concerned is entitled to. Thus:</w:t>
      </w:r>
    </w:p>
    <w:p w:rsidR="00000000" w:rsidDel="00000000" w:rsidP="00000000" w:rsidRDefault="00000000" w:rsidRPr="00000000" w14:paraId="000006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next step is to distribute the extra seats left among the qualified parties in the descending order of the decimal portions of _ the resulting products. Based on the 1998 election results, the distribution of party-list seats under the Niemeyer method would be</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as follows:</w:t>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since Section 11 of RA 7941 sets a limit of three (3) seats for each party, those obtaining more than the limit will have to give up their excess seats. Under our present set of facts, the thirteen qualified parties will each be entitled to three seats, resulting in an overall total of 39. Note that like the previous proposal, the Niemeyer formula would violate the principle of ‘proportional representation,’ a basic tenet of our party-list system.</w:t>
      </w:r>
    </w:p>
    <w:p w:rsidR="00000000" w:rsidDel="00000000" w:rsidP="00000000" w:rsidRDefault="00000000" w:rsidRPr="00000000" w14:paraId="000006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Niemeyer formula, while no doubt suitable for Germany, finds no application in the Philippine setting, because of our three-seat limit and the non-mandatory character of the twenty percent allocation. True, both our Congress and the Bundestag have threshold requirements — two percent for us and five for them. There are marked differences between the two models, however. As ably pointed out by private respondents,’ one half of the German Parliament is filled up by party-list members. More important, there are no seat limitations, because German law</w:t>
      </w:r>
      <w:r w:rsidDel="00000000" w:rsidR="00000000" w:rsidRPr="00000000">
        <w:rPr>
          <w:rFonts w:ascii="Georgia" w:cs="Georgia" w:eastAsia="Georgia" w:hAnsi="Georgia"/>
          <w:sz w:val="22"/>
          <w:szCs w:val="22"/>
          <w:vertAlign w:val="superscript"/>
        </w:rPr>
        <w:footnoteReference w:customMarkFollows="0" w:id="121"/>
      </w:r>
      <w:r w:rsidDel="00000000" w:rsidR="00000000" w:rsidRPr="00000000">
        <w:rPr>
          <w:rFonts w:ascii="Georgia" w:cs="Georgia" w:eastAsia="Georgia" w:hAnsi="Georgia"/>
          <w:sz w:val="22"/>
          <w:szCs w:val="22"/>
          <w:rtl w:val="0"/>
        </w:rPr>
        <w:t xml:space="preserve"> discourages the proliferation of small parties. In contrast, RA 7941, as already mentioned, imposes a three-seat limit to encourage the promotion of the multiparty system. This major statutory difference makes the Niemeyer formula inapplicable to the Philippines.</w:t>
      </w:r>
    </w:p>
    <w:p w:rsidR="00000000" w:rsidDel="00000000" w:rsidP="00000000" w:rsidRDefault="00000000" w:rsidRPr="00000000" w14:paraId="000006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 as one cannot grow Washington apples in the Philippines or Guimaras mangoes in the Arctic because of fundamental environmental differences, neither can the Niemeyer formula be transplanted in toto here because of essential variances between the two party-list models.</w:t>
      </w:r>
    </w:p>
    <w:p w:rsidR="00000000" w:rsidDel="00000000" w:rsidP="00000000" w:rsidRDefault="00000000" w:rsidRPr="00000000" w14:paraId="000006A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“The Legal and Logical </w:t>
      </w:r>
    </w:p>
    <w:p w:rsidR="00000000" w:rsidDel="00000000" w:rsidP="00000000" w:rsidRDefault="00000000" w:rsidRPr="00000000" w14:paraId="000006A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Formula for the Philippines</w:t>
      </w:r>
    </w:p>
    <w:p w:rsidR="00000000" w:rsidDel="00000000" w:rsidP="00000000" w:rsidRDefault="00000000" w:rsidRPr="00000000" w14:paraId="000006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now obvious that the Philippine style party-list system is a unique paradigm which. demands an equally unique formula. In crafting a legally defensible and logical solution to determine the number of additional seats that a qualified party is entitled to, we need to review the parameters of the Filipino party-list system.</w:t>
      </w:r>
    </w:p>
    <w:p w:rsidR="00000000" w:rsidDel="00000000" w:rsidP="00000000" w:rsidRDefault="00000000" w:rsidRPr="00000000" w14:paraId="000006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earlier mentioned in the Prologue, they are as follows:</w:t>
      </w:r>
    </w:p>
    <w:p w:rsidR="00000000" w:rsidDel="00000000" w:rsidP="00000000" w:rsidRDefault="00000000" w:rsidRPr="00000000" w14:paraId="000006AB">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“First, the twenty percent allocation — the combined number of all party-list congressmen shall not exceed twenty percent of the total membership of the House of Representatives, including those elected under the party list.</w:t>
      </w:r>
      <w:r w:rsidDel="00000000" w:rsidR="00000000" w:rsidRPr="00000000">
        <w:rPr>
          <w:rtl w:val="0"/>
        </w:rPr>
      </w:r>
    </w:p>
    <w:p w:rsidR="00000000" w:rsidDel="00000000" w:rsidP="00000000" w:rsidRDefault="00000000" w:rsidRPr="00000000" w14:paraId="000006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the two percent threshold — only those parties garnering a minimum of two percent of the total valid votes cast for the party-list system are ‘qualified’ to have a seat in the House of Representatives.</w:t>
      </w:r>
    </w:p>
    <w:p w:rsidR="00000000" w:rsidDel="00000000" w:rsidP="00000000" w:rsidRDefault="00000000" w:rsidRPr="00000000" w14:paraId="000006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three-seat limit — each qualified party, regardless of the number of votes it actually obtained, is entitled to a maximum of three seats; that is, one ‘qualifying’ and two additional seats.</w:t>
      </w:r>
    </w:p>
    <w:p w:rsidR="00000000" w:rsidDel="00000000" w:rsidP="00000000" w:rsidRDefault="00000000" w:rsidRPr="00000000" w14:paraId="000006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proportional representation — the additional seats which a qualified party is entitled to shall be computed ‘in proportion to their total number of votes.’</w:t>
      </w:r>
    </w:p>
    <w:p w:rsidR="00000000" w:rsidDel="00000000" w:rsidP="00000000" w:rsidRDefault="00000000" w:rsidRPr="00000000" w14:paraId="000006A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problem, as already stated, is to find a way to translate ‘proportional representation’ into a mathematical formula that will not contravene, circumvent or amend the above-mentioned parameters.</w:t>
      </w:r>
    </w:p>
    <w:p w:rsidR="00000000" w:rsidDel="00000000" w:rsidP="00000000" w:rsidRDefault="00000000" w:rsidRPr="00000000" w14:paraId="000006B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careful deliberation, we now explain such formula, step by step.</w:t>
      </w:r>
    </w:p>
    <w:p w:rsidR="00000000" w:rsidDel="00000000" w:rsidP="00000000" w:rsidRDefault="00000000" w:rsidRPr="00000000" w14:paraId="000006B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“Step One. ‘There is no dispute among the petitioners, the public and the private respondents, as well as the members of this Court, that the initial step is to rank all the participating parties, organizations and coalitions from the highest to the lowest based on the number of votes they each received. Then the ratio for each party is computed by dividing its votes by the total votes cast for all the parties participating in the system. All parties with at least two percent of the total votes are guaranteed one seat each. Only these parties shall be considered in the computation of additional seats. The party receiving the highest number of votes shall thenceforth be referred to as the ‘first’ party.</w:t>
      </w:r>
    </w:p>
    <w:p w:rsidR="00000000" w:rsidDel="00000000" w:rsidP="00000000" w:rsidRDefault="00000000" w:rsidRPr="00000000" w14:paraId="000006B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“Step Two. The next step is to determine the number of seats the first party is entitled to, in order to be able to compute that for the other parties. Since the distribution is based on proportional representation, the number of seats to be allotted to the other parties cannot possibly exceed that to which the first party is entitled by virtue of its obtaining the most number of votes.</w:t>
      </w:r>
    </w:p>
    <w:p w:rsidR="00000000" w:rsidDel="00000000" w:rsidP="00000000" w:rsidRDefault="00000000" w:rsidRPr="00000000" w14:paraId="000006B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example, the first party received 1,000,000 votes and is determined to be entitled to two additional seats. Another qualified party which received 500,000 votes cannot be entitled to the same number of - seats, since it garnered only fifty percent of the votes won by the first party. Depending on the proportion of its votes relative to that of the first party whose number of seats has already been predetermined, the second party should be given less than that to which the first one is entitled.</w:t>
      </w:r>
    </w:p>
    <w:p w:rsidR="00000000" w:rsidDel="00000000" w:rsidP="00000000" w:rsidRDefault="00000000" w:rsidRPr="00000000" w14:paraId="000006B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other qualified parties will always be allotted less additional seats than the first party for two reasons: (1) the ratio between said parties and the first party will always be less than 1:1, and (2) the formula does not admit of mathematical rounding off, because there is no such thing as a fraction of a seat. Verily, an arbitrary rounding off could result in a violation of the twenty percent allocation. An academic mathematical demonstration of such incipient violation is not necessary because the present set of facts, given the number of qualified parties and the voting percentages obtained, will definitely not end up in such constitutional contravention.</w:t>
      </w:r>
    </w:p>
    <w:p w:rsidR="00000000" w:rsidDel="00000000" w:rsidP="00000000" w:rsidRDefault="00000000" w:rsidRPr="00000000" w14:paraId="000006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has previously ruled in Guingona Jr. v. Gonzales’ that a fractional membership cannot be converted into a whole membership of one when it would, in effect, deprive another party’s fractional membership. It would be a violation of the constitutional mandate of proportional representation. We said further that ‘no party can claim more than what it is entitled to ae ae oe</w:t>
      </w:r>
    </w:p>
    <w:p w:rsidR="00000000" w:rsidDel="00000000" w:rsidP="00000000" w:rsidRDefault="00000000" w:rsidRPr="00000000" w14:paraId="000006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case, the decision on whether to round off the fractions is better left to the legislature. Since Congress did not provide for it in the present law, neither will this Court. The Supreme Court does not make the law; it merely applies it to a given set of facts.</w:t>
      </w:r>
    </w:p>
    <w:p w:rsidR="00000000" w:rsidDel="00000000" w:rsidP="00000000" w:rsidRDefault="00000000" w:rsidRPr="00000000" w14:paraId="000006B7">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“Formula for Determining </w:t>
      </w:r>
    </w:p>
    <w:p w:rsidR="00000000" w:rsidDel="00000000" w:rsidP="00000000" w:rsidRDefault="00000000" w:rsidRPr="00000000" w14:paraId="000006B8">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Additional Seats for the First Party</w:t>
      </w:r>
    </w:p>
    <w:p w:rsidR="00000000" w:rsidDel="00000000" w:rsidP="00000000" w:rsidRDefault="00000000" w:rsidRPr="00000000" w14:paraId="000006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how do we determine the number of seats the first party is entitled to? The only basis given by the law is that a party receiving at least two percent of the total votes shall be entitled to one seat. Proportionally, if the first party were to receive twice the number of votes of the second party, it should be entitled to twice the latter’s number of seats and so on. The formula, therefore, for computing the number of seats to which the first party is entitled is</w:t>
      </w:r>
    </w:p>
    <w:p w:rsidR="00000000" w:rsidDel="00000000" w:rsidP="00000000" w:rsidRDefault="00000000" w:rsidRPr="00000000" w14:paraId="000006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follows: </w:t>
      </w:r>
    </w:p>
    <w:p w:rsidR="00000000" w:rsidDel="00000000" w:rsidP="00000000" w:rsidRDefault="00000000" w:rsidRPr="00000000" w14:paraId="000006B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proportion of votes received by the first party without rounding it off is equal to at least six percent of the total valid votes cast for all the party list groups, then the first party shall be entitled to two additional seats or a total of three seats overall. If the proportion of votes without a rounding off is - equal to or greater than four percent, but less than six percent, then the first party shall have one additional or a total of two seats. And if the proportion is less than four percent, then the first party shall not be entitled to any additional seat.</w:t>
      </w:r>
    </w:p>
    <w:p w:rsidR="00000000" w:rsidDel="00000000" w:rsidP="00000000" w:rsidRDefault="00000000" w:rsidRPr="00000000" w14:paraId="000006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adopted this six percent bench mark, because the first party is not always entitled to the maximum number of additional seats. Likewise, it would prevent the allotment of more than the total number of available seats, such as in an extreme case wherein 18 or more parties tie for the highest rank and are thus entitled to three seats each. In such scenario, the number of seats to which all the parties are entitled may exceed the maximum number of party-list seats reserved in the House of Representatives.</w:t>
      </w:r>
    </w:p>
    <w:p w:rsidR="00000000" w:rsidDel="00000000" w:rsidP="00000000" w:rsidRDefault="00000000" w:rsidRPr="00000000" w14:paraId="000006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“Applying the above formula, APEC, which received 5.5% of the total votes cast, is entitled to one additional seat or a total of two seats.</w:t>
      </w:r>
    </w:p>
    <w:p w:rsidR="00000000" w:rsidDel="00000000" w:rsidP="00000000" w:rsidRDefault="00000000" w:rsidRPr="00000000" w14:paraId="000006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“Note that the above formula will be applicable only in determining the number of additional seats the first party is entitled to. It cannot be used to determine the number of additional seats of the other qualified parties. As explained earlier, the use of the same formula for all would contravene the proportional representation parameter. For example, a second party obtains six percent of the total number of votes cast. According to the above formula, the said party would be entitled to two additional seats or a total of three seats overall. However, if the first party received a significantly higher amount of votes — say, twenty percent — to grant it the same number of seats as the second party would violate the statutory mandate of proportional representation, since a party getting only six percent of the votes will have an equal number of representatives as the one obtaining twenty percent. The proper solution, therefore, is to grant the first party a total of three seats; and the party receiving six percent, additional seats in proportion to those of the first party.</w:t>
      </w:r>
    </w:p>
    <w:p w:rsidR="00000000" w:rsidDel="00000000" w:rsidP="00000000" w:rsidRDefault="00000000" w:rsidRPr="00000000" w14:paraId="000006C0">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“Formula for Additional </w:t>
      </w:r>
    </w:p>
    <w:p w:rsidR="00000000" w:rsidDel="00000000" w:rsidP="00000000" w:rsidRDefault="00000000" w:rsidRPr="00000000" w14:paraId="000006C1">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Seats of Other Qualified Parties</w:t>
      </w:r>
    </w:p>
    <w:p w:rsidR="00000000" w:rsidDel="00000000" w:rsidP="00000000" w:rsidRDefault="00000000" w:rsidRPr="00000000" w14:paraId="000006C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“Step Three. The next step is to solve for the number of additional seats that the other qualified parties are entitled to, based on proportional representation. The formula is encompassed by the following complex fraction: </w:t>
      </w:r>
    </w:p>
    <w:p w:rsidR="00000000" w:rsidDel="00000000" w:rsidP="00000000" w:rsidRDefault="00000000" w:rsidRPr="00000000" w14:paraId="000006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“Incidentally, if the first party is not entitled to any additional seat, then the ratio of the number of votes for the other party to that for the first one is multiplied by zero. The end result would be zero additional seat for each of the other qualified parties as well.</w:t>
      </w:r>
    </w:p>
    <w:p w:rsidR="00000000" w:rsidDel="00000000" w:rsidP="00000000" w:rsidRDefault="00000000" w:rsidRPr="00000000" w14:paraId="000006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above formula does not give an exact mathematical representation of the number of additional seats to be awarded since, in order to be entitled to one additional seat, an exact whole number is necessary. In fact, most of the actual mathematical proportions are not whole numbers and are not rounded off for the reasons explained earlier. To repeat, rounding off may result in the awarding of a number of seats in excess of that provided by the law. Furthermore, obtaining absolute proportional representation is restricted by the three-seat-per-party limit to a maximum of two additional slots. An increase in the maximum number of additional repre-sentatives a party may be entitled to would result in a more accurate proportional representation. But the law itself has set the limit: only two additional seats. Hence, we need to work within such extant parameter.</w:t>
      </w:r>
    </w:p>
    <w:p w:rsidR="00000000" w:rsidDel="00000000" w:rsidP="00000000" w:rsidRDefault="00000000" w:rsidRPr="00000000" w14:paraId="000006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net result of the foregoing formula for determining additional seats happily coincides with the present number of incumbents; namely, two for the first party (APEC) and one each for the twelve other qualified parties. Hence, we affirm the legality of the incumbencies of their nominees, albeit through the use of a different formula and methodology.”</w:t>
      </w:r>
    </w:p>
    <w:p w:rsidR="00000000" w:rsidDel="00000000" w:rsidP="00000000" w:rsidRDefault="00000000" w:rsidRPr="00000000" w14:paraId="000006C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Relying on the Niemeyer formula which the Court had voted down, Justice Mendoza, joined by Justices Kapunan and Quisumbing, agreed with petitioners that each of them should be entitled to three representatives. He disputes my ponencia in this wise:</w:t>
      </w:r>
    </w:p>
    <w:p w:rsidR="00000000" w:rsidDel="00000000" w:rsidP="00000000" w:rsidRDefault="00000000" w:rsidRPr="00000000" w14:paraId="000006C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majority holds that ‘the Niemeyer formula, while no doubt suitable for Germany, finds no application in the Philippine setting, because of our three-seat limit and the non-mandatory character of the twenty percent allocation.’ Claiming that it is obvious that the Philippine style party-list system is a unique model which demands an equally unique formula, the majority instead allocates seats to the winning groups in a manner which cannot be justified in terms of the rules in §11. While it disavows any intention to ‘reinvent or second-guess [the law], the majority in reality does so and in process engages in a bit of judicial legislation.”</w:t>
      </w:r>
    </w:p>
    <w:p w:rsidR="00000000" w:rsidDel="00000000" w:rsidP="00000000" w:rsidRDefault="00000000" w:rsidRPr="00000000" w14:paraId="000006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In determining the number of seats to which the first party is entitled, the majority applies the ‘one seat for every 2 percent’ rule." But after once applying the rule to the highest ranking party, the majority does not apply it to the rest of the 2 percenters. Indeed, it cannot consistently do so because it is mathematically impossible to require that the 52 seats for party-list representatives be filled at the rate of 2 percent per seat. That would mean that the votes needed to win the 52 seats is 104 percent of the votes cast in the election. The majority admits this. It says that its ‘formula will be applicable only in determining the number of additional seats the first party is entitled to. It cannot be used to determine the additional seats of the other qualified parties.’</w:t>
      </w:r>
      <w:r w:rsidDel="00000000" w:rsidR="00000000" w:rsidRPr="00000000">
        <w:rPr>
          <w:rFonts w:ascii="Georgia" w:cs="Georgia" w:eastAsia="Georgia" w:hAnsi="Georgia"/>
          <w:sz w:val="22"/>
          <w:szCs w:val="22"/>
          <w:vertAlign w:val="superscript"/>
        </w:rPr>
        <w:footnoteReference w:customMarkFollows="0" w:id="122"/>
      </w:r>
      <w:r w:rsidDel="00000000" w:rsidR="00000000" w:rsidRPr="00000000">
        <w:rPr>
          <w:rtl w:val="0"/>
        </w:rPr>
      </w:r>
    </w:p>
    <w:p w:rsidR="00000000" w:rsidDel="00000000" w:rsidP="00000000" w:rsidRDefault="00000000" w:rsidRPr="00000000" w14:paraId="000006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the formula applies only to the first party, then it is no formula at all because it is incapable of consistent and general application. It is even iniquitous. If a party got 5.5 percent of the votes and is given two (2) seats, it is hard to see why the next ranking party, which got 5 percent of the votes should get only one (1) seat.</w:t>
      </w:r>
    </w:p>
    <w:p w:rsidR="00000000" w:rsidDel="00000000" w:rsidP="00000000" w:rsidRDefault="00000000" w:rsidRPr="00000000" w14:paraId="000006C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law does not distinguish between the first ranking party and the rest of the other 2 percenters insofar as obtaining additional seats are concerned. The law provides that “those garnering more than two percent (2%) of the votes shall be entitled to additional seats in proportion to their total number of votes.” The operative word is “their” which refers to none other than the total number of votes cast for the 2 percenters. The plain language of the law is that the basis for the allocation of additional seats is the total number of votes cast for the 2 percenters. This rule applies to all parties obtaining more than 2 percent of the votes cast for the winning parties.</w:t>
      </w:r>
    </w:p>
    <w:p w:rsidR="00000000" w:rsidDel="00000000" w:rsidP="00000000" w:rsidRDefault="00000000" w:rsidRPr="00000000" w14:paraId="000006C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In determining the additional seats for the 2 percenters after determining the number of seats for the first ranking party, the majority uses the following formula:</w:t>
      </w:r>
    </w:p>
    <w:p w:rsidR="00000000" w:rsidDel="00000000" w:rsidP="00000000" w:rsidRDefault="00000000" w:rsidRPr="00000000" w14:paraId="000006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 No. 7941, §11 requires the determination of two types of proportions. The first is the determination of the proportion of the votes obtained by a party in relation to the total number of votes cast for the party-list. The purpose of the rule is to determine whether a party was able to hurdle the 2 percent threshold. The second is the determination of number of votes a party obtained in proportion to the number of votes cast for all the parties obtaining at least 2 percent of the votes. The purpose for determining the second proportion is to allocate the seats left after the initial allocation of one (1) seat each to every 2 percenter. The total number of votes obtained by a party in relation to the total number of votes obtained by all 2 percenters is multiplied by the remaining number of seats.</w:t>
      </w:r>
    </w:p>
    <w:p w:rsidR="00000000" w:rsidDel="00000000" w:rsidP="00000000" w:rsidRDefault="00000000" w:rsidRPr="00000000" w14:paraId="000006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an analogy is needed to explain this formula, the remaining 39 seats may be likened to a pie to be distributed among the 2 percenters. The way to distribute it is to use the weight of their individual votes in relation to their total number of votes. There is no reason for using the number of votes of the first party as a divisor since it is not the votes obtained by the first ranking party which are being distributed.</w:t>
      </w:r>
    </w:p>
    <w:p w:rsidR="00000000" w:rsidDel="00000000" w:rsidP="00000000" w:rsidRDefault="00000000" w:rsidRPr="00000000" w14:paraId="000006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truth, §11 does not say that those garnering more than 2 percent of the votes ‘shall be entitled to additional seats in proportion to the number of additional seats given to the highest ranking party.’ What it says is that such additional seats must be ‘in proportion to their total number of votes,’ the antecedent of ‘their’ being ‘those garnering more than two percent (2%) of the votes.’</w:t>
      </w:r>
    </w:p>
    <w:p w:rsidR="00000000" w:rsidDel="00000000" w:rsidP="00000000" w:rsidRDefault="00000000" w:rsidRPr="00000000" w14:paraId="000006D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1 see no legal or logical basis for the majority’s fixation with designating the highest ranking participant as a “first” party. This procedure, as admitted by the majority, assumes that the seats to be allocated to the qualified parties depend on the seats of the so-called first party. One will search in vain the proceedings of both Houses of Congress for a discussion of this procedure or even just a reference to it. There is none.</w:t>
      </w:r>
    </w:p>
    <w:p w:rsidR="00000000" w:rsidDel="00000000" w:rsidP="00000000" w:rsidRDefault="00000000" w:rsidRPr="00000000" w14:paraId="000006D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Still it is argued that there should be a distinction between the number of seats for the first ranking party and those for the rest of the 2 percenters. As an example, the majority cites the case of a first ranking party obtaining 20 percent of the votes and the second ranking party obtaining 6 percent of the votes. According to the majority, to give the two parties the same number of seats would be to violate the ‘proportional representation parameter.’</w:t>
      </w:r>
    </w:p>
    <w:p w:rsidR="00000000" w:rsidDel="00000000" w:rsidP="00000000" w:rsidRDefault="00000000" w:rsidRPr="00000000" w14:paraId="000006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already stated, however, the majority's inordinate concern with the first ranking party is not consistently carried to the other 2 percenters. The result is that if the first ranking party obtains 5.99 percent of the total votes cast, the second ranking party 5.98 percent, and the last ranking party 2.0 percent, under the majority’s formula, the.01 percent difference between the first and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second ranking party will justify the difference of one (1) seat between them. However, the 3.98 percent difference between the second ranking party and the last ranking party is disregarded by the majority. Indeed, even under the majority’s novel formula of proportional representation, its own parameters are violated.</w:t>
      </w:r>
    </w:p>
    <w:p w:rsidR="00000000" w:rsidDel="00000000" w:rsidP="00000000" w:rsidRDefault="00000000" w:rsidRPr="00000000" w14:paraId="000006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“Fifth. In essence, the majority ‘formula’ amounts simply to the following prescription: (1) follow the “1 seat for every 2%’ rule in allocating seats to the first ranking party only and (2) with respect to the rest of the 2 percenters, give each party one (1) seat, unless the first ranking party gets at least six percent, in which case all 2 percenters with at least one-half of the votes of the first ranking party should get an extra seat. I cannot see how this formula could have been intended by Congress. Only in a Pickwickian sense can the result of the application of such ‘formula’ be considered proportional representation.</w:t>
      </w:r>
    </w:p>
    <w:p w:rsidR="00000000" w:rsidDel="00000000" w:rsidP="00000000" w:rsidRDefault="00000000" w:rsidRPr="00000000" w14:paraId="000006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“Sixth. The formula adopted by the majority effectively deprives party-list representatives of representation considering that it eliminates the ratio 4 district representatives to 1 party-list representative in the House. This is so because, under the rule formulated by the majority, it becomes very difficult to reach the ceiling of 20 percent of the House. In the case at bar, to fill 52 seats in the House, the first ranking party would have to obtain exactly 6 percent of the votes and 25 other parties must get at least 3 percent. In practical terms, this formula violates the Constitution insofar as it makes it improbable to obtain the ceiling of 20 percent thereby preventing the realization of the framers’ intent of opening up the system to party-list representatives.</w:t>
      </w:r>
    </w:p>
    <w:p w:rsidR="00000000" w:rsidDel="00000000" w:rsidP="00000000" w:rsidRDefault="00000000" w:rsidRPr="00000000" w14:paraId="000006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“Seventh. The scheme adopted by the majority will prevent all 2 percenters, which are not the first ranking party, from obtaining the maximum number of seats. This is so because, with their votes being proportioned against the votes of the first ranking party, there will never be an instance where the additional seats of these parties will be equivalent to 2. Again, this is contrary to R.A. No. 7941, §11 which contemplates the possibility of more than one (1) party obtaining the maximum number of seats allowed by law.”</w:t>
      </w:r>
    </w:p>
    <w:p w:rsidR="00000000" w:rsidDel="00000000" w:rsidP="00000000" w:rsidRDefault="00000000" w:rsidRPr="00000000" w14:paraId="000006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Essentially, Justice Mendoza attacked my “home grown” formula for being too strict, because “it makes it improbable to obtain the ceiling of 20 percent thereby preventing the realization of the framers’ intent of opening up the system to party-list representatives.” To answer directly this bottom-line challenge, I included a one-paragraph refutation in the ponencia, as follows:</w:t>
      </w:r>
    </w:p>
    <w:p w:rsidR="00000000" w:rsidDel="00000000" w:rsidP="00000000" w:rsidRDefault="00000000" w:rsidRPr="00000000" w14:paraId="000006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 Justice Mendoza criticizes our methodology for being too strict. We say, however, that our formula merely translated the Philippine legal parameters into a mathematical equation, no more no less. If Congress in its wisdom decides to modify RA 7941 to make it ‘less strict,’ then the formula will also be modified to reflect the changes willed by the lawmakers.”</w:t>
      </w:r>
    </w:p>
    <w:p w:rsidR="00000000" w:rsidDel="00000000" w:rsidP="00000000" w:rsidRDefault="00000000" w:rsidRPr="00000000" w14:paraId="000006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ponencia, I found it unnecessary to rebut the Dissent point-by-point, because its arguments had been more than sufficiently discussed in the main points of the Decision itself.</w:t>
      </w:r>
    </w:p>
    <w:p w:rsidR="00000000" w:rsidDel="00000000" w:rsidP="00000000" w:rsidRDefault="00000000" w:rsidRPr="00000000" w14:paraId="000006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example. Justice Mendoza complained that I allegedly computed the number of additional seats, to which qualified parties were entitled, only “in proportion to the number of additional seats given to the highest party.” He claimed that this was wrong, because according to Section 11 of RA 7941, these additional seats should be computed “in proportion to their total number of votes.” With due respect, this lament is plainly baseless. As stated in the ponencia, the complete formula took into account Section 11, as can be clearly seen from this original complex fraction:</w:t>
      </w:r>
    </w:p>
    <w:p w:rsidR="00000000" w:rsidDel="00000000" w:rsidP="00000000" w:rsidRDefault="00000000" w:rsidRPr="00000000" w14:paraId="000006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Mendoza’s Dissent quoted only the simplified form of the foregoing equation, as follows:</w:t>
      </w:r>
    </w:p>
    <w:p w:rsidR="00000000" w:rsidDel="00000000" w:rsidP="00000000" w:rsidRDefault="00000000" w:rsidRPr="00000000" w14:paraId="000006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simplified form, I eliminated the phrase “Total no. of votes for party-list system” (as provided in Section 11), because in mathematics, the common denominators of component fractions may both be cancelled without affecting the result. In other words, the common denominators would just unnecessarily prolong the computation, but the end result would be exactly the same.</w:t>
      </w:r>
    </w:p>
    <w:p w:rsidR="00000000" w:rsidDel="00000000" w:rsidP="00000000" w:rsidRDefault="00000000" w:rsidRPr="00000000" w14:paraId="000006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example. The Dissent berated the ponencia for its failure to round off the decimals. It said, “if the first ranking party obtains 5.99 percent of the total votes cast, the second ranking party 5.98 percent, and the last ranking party 2.0 percent, under the majority’s formula, the.01 percent difference between the first and second ranking part[ies] will justify the difference of one (1) seat between them.”</w:t>
      </w:r>
    </w:p>
    <w:p w:rsidR="00000000" w:rsidDel="00000000" w:rsidP="00000000" w:rsidRDefault="00000000" w:rsidRPr="00000000" w14:paraId="000006D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is this approach not unfair, as well as a “violation” of proportional representation? The answer is found in the ponencia, and I quote it:</w:t>
      </w:r>
    </w:p>
    <w:p w:rsidR="00000000" w:rsidDel="00000000" w:rsidP="00000000" w:rsidRDefault="00000000" w:rsidRPr="00000000" w14:paraId="000006D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above formula does not give an exact mathematical representation of the number of additional seats to be awarded since, in order to be entitled to one additional seat, an exact whole number is necessary. In fact, most of the actual mathematical proportions are not whole numbers and are not rounded off for the reasons explained earlier. To repeat, rounding off may result in the awarding of a number of seats in excess of that provided by the law. Furthermore, obtaining absolute proportional representation is restricted by the three-seat-per-party limit to a maximum of two additional slots. An increase in the maximum number of additional representatives a party may be entitled to would result in a more accurate proportional representation. But the law itself has set the limit: only two additional seats. Hence, we need to work within such extant parameters.”</w:t>
      </w:r>
    </w:p>
    <w:p w:rsidR="00000000" w:rsidDel="00000000" w:rsidP="00000000" w:rsidRDefault="00000000" w:rsidRPr="00000000" w14:paraId="000006D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the perceived “unfairness” is sourced from the totality of the parameters. The formula is just a reflection of the limitations imposed by law, especially the three-seat limit in this particular instance. The cure for this perceived unfairness and “violation” does not lie in the Supreme Court, but in Congress.</w:t>
      </w:r>
    </w:p>
    <w:p w:rsidR="00000000" w:rsidDel="00000000" w:rsidP="00000000" w:rsidRDefault="00000000" w:rsidRPr="00000000" w14:paraId="000006E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we must also grant that, at the risk of occasional “unfairness,” Congress has the prerogative to set up parameters and limits that it deems appropriate to achieve other equally pressing goals, like the “promotion of the multi-party system.” And the Court would rather not be involved in the wisdom and the rationality of the law. Its duty is to apply the law as it finds it.</w:t>
      </w:r>
    </w:p>
    <w:p w:rsidR="00000000" w:rsidDel="00000000" w:rsidP="00000000" w:rsidRDefault="00000000" w:rsidRPr="00000000" w14:paraId="000006E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let me stress again that the Court was unanimous in upholding the constitutionality of the relevant provisions of RA 7941, particularly those on the (a) fwo percent threshold, (b) the three-seat limit and (c) proportional representation. The “battle” was over how to translate “proportional representation” into a mathematical formula, given the peculiar factual environment of the party-list system, Philippine style. In brief, the Court was united on the constitutional and legal aspects of the case, but was divided on a question of mathematics.</w:t>
      </w:r>
    </w:p>
    <w:p w:rsidR="00000000" w:rsidDel="00000000" w:rsidP="00000000" w:rsidRDefault="00000000" w:rsidRPr="00000000" w14:paraId="000006E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Separate Concurring Opinion, Justice Reynato S. Puno explained the dilemmas of the Court in these words: “The case at bar is one of first impression and of immense difficulty. The constitutional issues involved are full of slippery slopes but the most difficult one concerns the apportionment of additional seats to the parties that hurdled the 2% threshold requirement. There is much to be admired in the mathematical formula forwarded by our esteemed colleague, Mr. Justice Vicente V. Mendoza, but with due respect, I find more attractive the majority formula, crafted with equal expertise by another esteemed colleague, Mr. Justice Artemio Panganiban. To be sure, the two formulae may be faulted by mathematicians obsessed with exactitude but the fault lies with the inexactitude of the law itself. However it may be, I join the majority of my brethren for I find its geometry of the phrase ‘proportionately according to the percentage of votes obtained by each party, organization, or coalition as against the total nationwide votes cast for the party-list system’ more expressive of the spirit of the Constitution, albeit, arguable.”</w:t>
      </w:r>
    </w:p>
    <w:p w:rsidR="00000000" w:rsidDel="00000000" w:rsidP="00000000" w:rsidRDefault="00000000" w:rsidRPr="00000000" w14:paraId="000006E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I never thought that jurists would be embroiled in a mathematical problem! The consolation, however, is that whether the bar and the general public agree with us or not, the Court has shown that lawyers are not, after all, dumb in math. They, too, can argue over mathematical formulas and equations.</w:t>
      </w:r>
    </w:p>
    <w:p w:rsidR="00000000" w:rsidDel="00000000" w:rsidP="00000000" w:rsidRDefault="00000000" w:rsidRPr="00000000" w14:paraId="000006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Over and beyond that, this case also shows that the Supreme Court is ready to tackle novel questions brought about by the introduction of new paradigms.</w:t>
      </w:r>
    </w:p>
    <w:p w:rsidR="00000000" w:rsidDel="00000000" w:rsidP="00000000" w:rsidRDefault="00000000" w:rsidRPr="00000000" w14:paraId="000006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while the party-list system is popular in parliamentary democracies, this is the first case in which legal and mathematical problems arising from the Philippine style party-list model have been tackled by the Court.</w:t>
      </w:r>
    </w:p>
    <w:p w:rsidR="00000000" w:rsidDel="00000000" w:rsidP="00000000" w:rsidRDefault="00000000" w:rsidRPr="00000000" w14:paraId="000006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summarize the entire case, I shall conclude this chapter by reproducing the Epilogue of my ponencia.</w:t>
      </w:r>
    </w:p>
    <w:p w:rsidR="00000000" w:rsidDel="00000000" w:rsidP="00000000" w:rsidRDefault="00000000" w:rsidRPr="00000000" w14:paraId="000006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we hold that the Comelec gravely abused its discretion in ruling that the thirty-eight (38) herein respondent parties, organizations and coalitions are each entitled to a party-list seat, because it glaringly violated two requirements of RA 7941: the two percent threshold and proportional representation.</w:t>
      </w:r>
    </w:p>
    <w:p w:rsidR="00000000" w:rsidDel="00000000" w:rsidP="00000000" w:rsidRDefault="00000000" w:rsidRPr="00000000" w14:paraId="000006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disregarding, rejecting and circumventing these statutory provisions, the Comelec effectively arrogated unto itself what the Constitution expressly and wholly vested in the legislature: the power and the discretion to define the mechanics for the enforcement of the system. The wisdom and the propriety of these impositions, absent any clear transgression of the Constitution or grave abuse of discretion amounting to lack or excess of jurisdiction, are beyond judicial review.”</w:t>
      </w:r>
    </w:p>
    <w:p w:rsidR="00000000" w:rsidDel="00000000" w:rsidP="00000000" w:rsidRDefault="00000000" w:rsidRPr="00000000" w14:paraId="000006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Comelec and the other parties in these cases — both petitioners and respondents — have failed to demonstrate that</w:t>
      </w:r>
      <w:r w:rsidDel="00000000" w:rsidR="00000000" w:rsidRPr="00000000">
        <w:rPr>
          <w:rFonts w:ascii="Georgia" w:cs="Georgia" w:eastAsia="Georgia" w:hAnsi="Georgia"/>
          <w:sz w:val="22"/>
          <w:szCs w:val="22"/>
          <w:vertAlign w:val="superscript"/>
        </w:rPr>
        <w:footnoteReference w:customMarkFollows="0" w:id="123"/>
      </w:r>
      <w:r w:rsidDel="00000000" w:rsidR="00000000" w:rsidRPr="00000000">
        <w:rPr>
          <w:rFonts w:ascii="Georgia" w:cs="Georgia" w:eastAsia="Georgia" w:hAnsi="Georgia"/>
          <w:sz w:val="22"/>
          <w:szCs w:val="22"/>
          <w:rtl w:val="0"/>
        </w:rPr>
        <w:t xml:space="preserve"> our lawmakers gravely abused their discretion in prescribing such requirements. By grave abuse of discretion is meant such capricious or whimsical exercise of judgment equivalent to lack or excess of jurisdiction.”</w:t>
      </w:r>
    </w:p>
    <w:p w:rsidR="00000000" w:rsidDel="00000000" w:rsidP="00000000" w:rsidRDefault="00000000" w:rsidRPr="00000000" w14:paraId="000006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Comelec, which is tasked merely to enforce and administer election-related laws," cannot simply disregard an act of Congress exercised within the bounds of its authority. As a mere implementing body, it cannot judge the wisdom, propriety or rationality of such act. Its recourse is to draft an amendment to the law and lobby for its approval and enactment by the legislature.</w:t>
      </w:r>
    </w:p>
    <w:p w:rsidR="00000000" w:rsidDel="00000000" w:rsidP="00000000" w:rsidRDefault="00000000" w:rsidRPr="00000000" w14:paraId="000006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“Furthermore, a reading of the entire Constitution reveals no violation of any of its provisions by the strict enforcement of RA 7941. It is basic that to strike down a law or any of its provisions as unconstitutional, there must be a clear and unequivocal showing that what the Constitution prohibits, the statute permits."</w:t>
      </w:r>
    </w:p>
    <w:p w:rsidR="00000000" w:rsidDel="00000000" w:rsidP="00000000" w:rsidRDefault="00000000" w:rsidRPr="00000000" w14:paraId="000006EC">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sz w:val="22"/>
          <w:szCs w:val="22"/>
          <w:rtl w:val="0"/>
        </w:rPr>
        <w:t xml:space="preserve">“Neither can we grant petitioners’ prayer that they each be given additional seats (for a total of three each), because granting such plea would plainly and simply violate the “proportional representation” mandated by Section 11 (b) of RA 7941.</w:t>
      </w:r>
      <w:r w:rsidDel="00000000" w:rsidR="00000000" w:rsidRPr="00000000">
        <w:rPr>
          <w:rtl w:val="0"/>
        </w:rPr>
      </w:r>
    </w:p>
    <w:p w:rsidR="00000000" w:rsidDel="00000000" w:rsidP="00000000" w:rsidRDefault="00000000" w:rsidRPr="00000000" w14:paraId="000006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low turnout of the party-list votes during the 1998 elections should not be interpreted as a total failure of the law in fulfilling the object of this new system of representation. It should not be deemed a conclusive indication that the requirements imposed by RA 7941 wholly defeated the implementation of the system. Be it remembered that the party-list system, though already popular in parliamentary democracies, is still quite new in our presidential system. We should allow it some time to take root in the consciousness of our people and in the heart of our tripartite form of republicanism. Indeed, the Comelec and the defeated litigants should not despair.</w:t>
      </w:r>
    </w:p>
    <w:p w:rsidR="00000000" w:rsidDel="00000000" w:rsidP="00000000" w:rsidRDefault="00000000" w:rsidRPr="00000000" w14:paraId="000006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“Quite the contrary, the dismal result of the first election for party-list representatives should serve as a challenge to our sectoral parties and organizations. It should stir them to be more active and vigilant in their campaign for representation in the State’s lawmaking body. It should also serve as a clarion call for innovation and creativity in adopting this novel system of popular democracy.</w:t>
      </w:r>
    </w:p>
    <w:p w:rsidR="00000000" w:rsidDel="00000000" w:rsidP="00000000" w:rsidRDefault="00000000" w:rsidRPr="00000000" w14:paraId="000006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adequate information dissemination to the public and more active sectoral parties, we are confident our people will be more responsive to future party-list elections. Armed with patience, perseverance and perspicacity, our marginalized sectors, in time, will fulfill the Filipino dream of full representation in Congress under the aegis of the party-list system, Philippine style.”</w:t>
      </w:r>
    </w:p>
    <w:p w:rsidR="00000000" w:rsidDel="00000000" w:rsidP="00000000" w:rsidRDefault="00000000" w:rsidRPr="00000000" w14:paraId="000006F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F1">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20</w:t>
      </w:r>
    </w:p>
    <w:p w:rsidR="00000000" w:rsidDel="00000000" w:rsidP="00000000" w:rsidRDefault="00000000" w:rsidRPr="00000000" w14:paraId="000006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6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ABS-CBN v. Comelec: </w:t>
      </w:r>
    </w:p>
    <w:p w:rsidR="00000000" w:rsidDel="00000000" w:rsidP="00000000" w:rsidRDefault="00000000" w:rsidRPr="00000000" w14:paraId="000006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Exit Polls — a New Paradigm of </w:t>
      </w:r>
    </w:p>
    <w:p w:rsidR="00000000" w:rsidDel="00000000" w:rsidP="00000000" w:rsidRDefault="00000000" w:rsidRPr="00000000" w14:paraId="000006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Free Expression</w:t>
      </w:r>
    </w:p>
    <w:p w:rsidR="00000000" w:rsidDel="00000000" w:rsidP="00000000" w:rsidRDefault="00000000" w:rsidRPr="00000000" w14:paraId="000006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6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freedom of expression began in the Middle Ages with free speech and the right to peaceful assembly for redress of grievances. When the printing press was invented, freedom of expression was expanded to include freedom of the press. Labor’s right to strike and to picket also became modes of protected expression when the Industrial Age flourished. Then radio and television came up, and these too were recognized as new methods of expression and thus given constitutional mantle. Indeed, as mankind pushes the frontiers of science and technology in mass communications, so must the scope of free expression expand. Now we have the Internet, the broad-band fiber optics and teleconferencing. One day soon, issues of their constitutional protection will come up for resolution by the judiciary. 376 Along these lines, the Supreme Court, in ABS- CBN v. Comelec,’ was faced with the question whether exit polls might be deemed as a new species of free expression which was entitled to constitutional safeguard. More specifically, the question was couched in the negative: could the Commission on Elections, in the guise of protecting the sanctity of elections and the secrecy of the ballot, totally prohibit the holding of exit polls and the dissemination of their results through mass media?</w:t>
      </w:r>
    </w:p>
    <w:p w:rsidR="00000000" w:rsidDel="00000000" w:rsidP="00000000" w:rsidRDefault="00000000" w:rsidRPr="00000000" w14:paraId="000006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ponencia concurred in by the Chief Justice and eight other justices, I answered the question with an unequivocal “No.” Exit polls form part of free expression and are entitled to constitutional protection.</w:t>
      </w:r>
    </w:p>
    <w:p w:rsidR="00000000" w:rsidDel="00000000" w:rsidP="00000000" w:rsidRDefault="00000000" w:rsidRPr="00000000" w14:paraId="000006FA">
      <w:pPr>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6FB">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Exit Polls Defined</w:t>
      </w:r>
    </w:p>
    <w:p w:rsidR="00000000" w:rsidDel="00000000" w:rsidP="00000000" w:rsidRDefault="00000000" w:rsidRPr="00000000" w14:paraId="000006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the outset, the Court defined exit polls as “a species of electoral survey conducted by qualified individuals or groups of individuals for the purpose of determining the probable result of an election by confidentially asking randomly selected voters whom they have voted for, immediately after they have officially cast their ballots. The results of the survey are announced to the public, usually through the mass media, to give an advance overview of how, in the opinion of the polling individuals or organizations, the electorate voted. In our electoral history, exit polls had not been resorted to until the recent May 11, 1998 elections.”</w:t>
      </w:r>
    </w:p>
    <w:p w:rsidR="00000000" w:rsidDel="00000000" w:rsidP="00000000" w:rsidRDefault="00000000" w:rsidRPr="00000000" w14:paraId="000006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Then the Decision went on to discourse on the nature and the scope of the freedom of expression:</w:t>
      </w:r>
    </w:p>
    <w:p w:rsidR="00000000" w:rsidDel="00000000" w:rsidP="00000000" w:rsidRDefault="00000000" w:rsidRPr="00000000" w14:paraId="000006FE">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“Nature and Scope of Freedoms </w:t>
      </w:r>
    </w:p>
    <w:p w:rsidR="00000000" w:rsidDel="00000000" w:rsidP="00000000" w:rsidRDefault="00000000" w:rsidRPr="00000000" w14:paraId="000006FF">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of Speech and of the Press</w:t>
      </w:r>
    </w:p>
    <w:p w:rsidR="00000000" w:rsidDel="00000000" w:rsidP="00000000" w:rsidRDefault="00000000" w:rsidRPr="00000000" w14:paraId="000007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“Freedom of expression is a fundamental principle of our democratic government. It is a ‘preferred’ right and, therefore, stands on a higher level than substantive economic or other liberties. x x x [T]his must be so because the lessons of history, both political and legal, illustrate that freedom of thought and speech is the indispensable condition of nearly every other form of freedom.’</w:t>
      </w:r>
    </w:p>
    <w:p w:rsidR="00000000" w:rsidDel="00000000" w:rsidP="00000000" w:rsidRDefault="00000000" w:rsidRPr="00000000" w14:paraId="000007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Constitution clearly mandates that no law shall be passed abridging the freedom of speech or of the press.* In the landmark case Gonzales v. Comelec,&gt; this Court enunciated that at the very least, free speech and a free press consist of the liberty to discuss publicly and truthfully any matter of public interest without prior restraint.</w:t>
      </w:r>
    </w:p>
    <w:p w:rsidR="00000000" w:rsidDel="00000000" w:rsidP="00000000" w:rsidRDefault="00000000" w:rsidRPr="00000000" w14:paraId="000007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freedom of expression is a means of assuring individual self-fulfillment, of attaining the truth, of securing participation by the people in social and political decision-making, and of maintaining the balance between stability and change. It represents a profound commitment to the principle that debates on public issues should be uninhibited, robust, and wide open.’ It means more than the right to approve existing political beliefs or economic arrangements, to lend support to official measures, or to take refuge in the existing climate of opinion on any matter of public consequence. And paraphrasing the eminent Justice Oliver Wendell Holmes,’ we stress that the freedom encompasses the thought we hate, no less than the thought we agree with.</w:t>
      </w:r>
    </w:p>
    <w:p w:rsidR="00000000" w:rsidDel="00000000" w:rsidP="00000000" w:rsidRDefault="00000000" w:rsidRPr="00000000" w14:paraId="00000703">
      <w:pP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“Limitations</w:t>
      </w:r>
    </w:p>
    <w:p w:rsidR="00000000" w:rsidDel="00000000" w:rsidP="00000000" w:rsidRDefault="00000000" w:rsidRPr="00000000" w14:paraId="000007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realities of life in a complex society, however, preclude an absolute exercise of the freedoms of speech and of the press. Such freedoms could not remain unfettered and unrestrained at all times and under all circumstances.’ They are not immune to regulation by the State in the exercise of its police power.” While the liberty to think is absolute, the power to express such thought in words and deeds has limitations.</w:t>
      </w:r>
    </w:p>
    <w:p w:rsidR="00000000" w:rsidDel="00000000" w:rsidP="00000000" w:rsidRDefault="00000000" w:rsidRPr="00000000" w14:paraId="000007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Cabansag v. Fernandez" this Court had occasion to discuss two theoretical tests in determining the validity of restrictions to such freedoms, as follows: </w:t>
      </w:r>
    </w:p>
    <w:p w:rsidR="00000000" w:rsidDel="00000000" w:rsidP="00000000" w:rsidRDefault="00000000" w:rsidRPr="00000000" w14:paraId="000007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are the ‘clear and present danger’ rule and the ‘dangerous tendency’ rule. The first, as interpreted in a number of cases, means that the evil consequence of the comment or utterance must be ‘extremely serious and the degree of imminence extremely high’ before the utterance can be punished. The danger to be guarded against is the ‘substantive evil’ sought to be prevented. </w:t>
      </w:r>
    </w:p>
    <w:p w:rsidR="00000000" w:rsidDel="00000000" w:rsidP="00000000" w:rsidRDefault="00000000" w:rsidRPr="00000000" w14:paraId="000007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‘dangerous tendency’ rule, on the other hand, x x x may be epitomized as follows: If the words uttered create a dangerous tendency which the state has a right to prevent, then such words are punishable. It is not necessary that some definite or immediate acts of force, violence, or unlawfulness be advocated. It is sufficient that such acts be advocated in general terms. Nor is it necessary that the language used be reasonably calculated to incite persons to acts of force, violence, or unlawfulness. It is sufficient if the natural tendency and probable effect of the utterance be to bring about the substantive evil which the legislative body seeks to prevent.’</w:t>
      </w:r>
    </w:p>
    <w:p w:rsidR="00000000" w:rsidDel="00000000" w:rsidP="00000000" w:rsidRDefault="00000000" w:rsidRPr="00000000" w14:paraId="000007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“Unquestionably, this Court adheres to the ‘clear and present danger’ test. It implicitly did in its earlier decisions in Primicias v. Fugoso and American Bible Society v. City of Manila; as well as in later ones, Vera v. Arca,* Navarro v. Villegas,” Imbong v. Ferrer,'* Blo Umpar Adiong v. Comelec’? and, more recently, in Iglesia ni Cristo v. MTRCB.” In setting the standard or test for the ‘clear and present danger’ doctrine, the Court echoed the words of Justice Holmes: ‘The question in every case is whether the words used are used in such circumstances and are of such a nature as to create a clear and present danger that they will bring about the substantive evils that Congress has a right to prevent. It is a question of proximity and degree.”</w:t>
      </w:r>
    </w:p>
    <w:p w:rsidR="00000000" w:rsidDel="00000000" w:rsidP="00000000" w:rsidRDefault="00000000" w:rsidRPr="00000000" w14:paraId="000007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limitation on the freedom of expression may be justified only by a danger of such substantive character that the state has a right to prevent. Unlike in the ‘dangerous tendency’ doctrine, the danger must not only be clear but also present. ‘Present’ refers to the time element; the ‘danger’ must not only be probable but very likely to be inevitable.” The evil sought to be avoided must be so substantive as to justify a clamp over one's mouth or a restraint of a writing instrument.”</w:t>
      </w:r>
    </w:p>
    <w:p w:rsidR="00000000" w:rsidDel="00000000" w:rsidP="00000000" w:rsidRDefault="00000000" w:rsidRPr="00000000" w14:paraId="0000070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0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“Justification for a </w:t>
      </w:r>
    </w:p>
    <w:p w:rsidR="00000000" w:rsidDel="00000000" w:rsidP="00000000" w:rsidRDefault="00000000" w:rsidRPr="00000000" w14:paraId="0000070C">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Restriction</w:t>
      </w:r>
    </w:p>
    <w:p w:rsidR="00000000" w:rsidDel="00000000" w:rsidP="00000000" w:rsidRDefault="00000000" w:rsidRPr="00000000" w14:paraId="000007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“Doctrinally, the Court has always ruled in favor of the freedom of expression, and any restriction is treated [as] an exemption. The power to exercise prior restraint is not to be presumed; rather, the presumption is against its validity. And it is the respondent's burden to overthrow such presumption. Any act that restrains speech should be greeted with furrowed brows,” so it has been said.</w:t>
      </w:r>
    </w:p>
    <w:p w:rsidR="00000000" w:rsidDel="00000000" w:rsidP="00000000" w:rsidRDefault="00000000" w:rsidRPr="00000000" w14:paraId="0000070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justify a restriction, the promotion of a substantial government interest must be clearly shown.” Thus:</w:t>
      </w:r>
    </w:p>
    <w:p w:rsidR="00000000" w:rsidDel="00000000" w:rsidP="00000000" w:rsidRDefault="00000000" w:rsidRPr="00000000" w14:paraId="0000070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government regulation is sufficiently justified if it is within the constitutional power of the government, if it furthers an important or substantial government interest; if the governmental interest is unrelated to the suppression of free expression; and if the incidental restriction on alleged First Amendment freedoms is no greater than is essential to the furtherance of that interest.’</w:t>
      </w:r>
    </w:p>
    <w:p w:rsidR="00000000" w:rsidDel="00000000" w:rsidP="00000000" w:rsidRDefault="00000000" w:rsidRPr="00000000" w14:paraId="0000071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“Hence, even though the government's purposes are legitimate and substantial, they cannot be pursued by means that broadly stifle fundamental personal liberties, when the end can be more narrowly achieved.</w:t>
      </w:r>
    </w:p>
    <w:p w:rsidR="00000000" w:rsidDel="00000000" w:rsidP="00000000" w:rsidRDefault="00000000" w:rsidRPr="00000000" w14:paraId="0000071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freedoms of speech and of the press should all the more be upheld when what is sought to be curtailed is the dissemination of information meant to add meaning to the equally vital right of suffrage.”” We cannot support any ruling or order, ‘the effect of which would be to nullify such a vital constitutional right as free speech.’*? When faced with borderline situations in which the freedom of a candidate or a party to speak or the freedom of the electorate to know is invoked against actions allegedly made to assure clean and free elections, this Court shall lean in favor of freedom. For in the ultimate analysis, the freedom of the citizen and the State's power to regulate should not be antagonistic. There can be no free and honest elections if, in the efforts to maintain them, the freedom to speak and the right to know are unduly curtailed.”</w:t>
      </w:r>
    </w:p>
    <w:p w:rsidR="00000000" w:rsidDel="00000000" w:rsidP="00000000" w:rsidRDefault="00000000" w:rsidRPr="00000000" w14:paraId="0000071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“True, the government has a stake in protecting the fundamental right to vote by providing voting places that are safe and accessible. It has the duty to secure the secrecy of the ballot and to preserve the sanctity and the integrity of the electoral process. However, in order to justify a restriction of the people's freedoms of speech and of the press, the state’s responsibility of ensuring orderly voting must far outweigh them.</w:t>
      </w:r>
    </w:p>
    <w:p w:rsidR="00000000" w:rsidDel="00000000" w:rsidP="00000000" w:rsidRDefault="00000000" w:rsidRPr="00000000" w14:paraId="0000071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“These freedoms have additional importance, because exit polls generate important research data which may be used to study influencing factors and trends in voting behavior. An absolute prohibition would thus be unreasonably restrictive, because it effectively prevents the use of exit poll data not only for election-day projections, but also for long-term research.*"</w:t>
      </w:r>
    </w:p>
    <w:p w:rsidR="00000000" w:rsidDel="00000000" w:rsidP="00000000" w:rsidRDefault="00000000" w:rsidRPr="00000000" w14:paraId="0000071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Addressing the specific issue at hand and debunking the Comelec's arguments, I wrote:</w:t>
      </w:r>
    </w:p>
    <w:p w:rsidR="00000000" w:rsidDel="00000000" w:rsidP="00000000" w:rsidRDefault="00000000" w:rsidRPr="00000000" w14:paraId="00000715">
      <w:pPr>
        <w:rPr>
          <w:rFonts w:ascii="Georgia" w:cs="Georgia" w:eastAsia="Georgia" w:hAnsi="Georgia"/>
          <w:b w:val="1"/>
          <w:bCs w:val="1"/>
          <w:i w:val="1"/>
          <w:iCs w:val="1"/>
          <w:sz w:val="22"/>
          <w:szCs w:val="22"/>
        </w:rPr>
      </w:pPr>
      <w:r w:rsidDel="00000000" w:rsidR="00000000" w:rsidRPr="00000000">
        <w:rPr>
          <w:rtl w:val="0"/>
        </w:rPr>
      </w:r>
    </w:p>
    <w:p w:rsidR="00000000" w:rsidDel="00000000" w:rsidP="00000000" w:rsidRDefault="00000000" w:rsidRPr="00000000" w14:paraId="00000716">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“Comelec Ban on </w:t>
      </w:r>
    </w:p>
    <w:p w:rsidR="00000000" w:rsidDel="00000000" w:rsidP="00000000" w:rsidRDefault="00000000" w:rsidRPr="00000000" w14:paraId="0000071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Exit Polling</w:t>
      </w:r>
    </w:p>
    <w:p w:rsidR="00000000" w:rsidDel="00000000" w:rsidP="00000000" w:rsidRDefault="00000000" w:rsidRPr="00000000" w14:paraId="000007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at bar, the Comelec justifies its assailed Resolution as having been issued - pursuant to its constitutional mandate to ensure a free, orderly, honest, credible and peaceful election. While admitting that ‘the conduct of an exit poll and the broadcast of the results thereof [are] x x x an exercise of press freedom,’ it argues that ‘[p]ress freedom may be curtailed if the exercise thereof creates a clear and present danger to the community or [if] it has a dangerous tendency.’ It then ‘contends that ‘an exit poll has the tendency to sow confusion considering the randomness of selecting interviewees, which further makes the exit poll highly unreliable. The probability that the results of such exit poll</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may not be in harmony with the official count made by the Comelec x x x is ever present. In other words, the exit poll has a clear and present danger of destroying the credibility and integrity of the electoral process.’</w:t>
      </w:r>
    </w:p>
    <w:p w:rsidR="00000000" w:rsidDel="00000000" w:rsidP="00000000" w:rsidRDefault="00000000" w:rsidRPr="00000000" w14:paraId="000007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arguments are purely speculative and clearly untenable. First, by the very nature of a survey, the interviewees or participants are selected at random, so that the results will as much as possible be representative or reflective of the general sentiment or view of the community or group polled. Second, the survey result is not meant to replace or be at par with the official Comelec count. It consists merely of the opinion of the polling group as to who the electorate in general has probably voted for, based on the limited data gathered from polled individuals. Finally, not at stake here are the credibility and the integrity of the elections, which are exercises that are separate and independent from the exit polls. The holding and the reporting of the results of exit polls cannot undermine those of the elections, since the former is only part of the latter. If at all, the outcome of one can only be indicative of the other.</w:t>
      </w:r>
    </w:p>
    <w:p w:rsidR="00000000" w:rsidDel="00000000" w:rsidP="00000000" w:rsidRDefault="00000000" w:rsidRPr="00000000" w14:paraId="000007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Comelec's concern with the possible noncommunicative effect of exit polls -disorder and confusion in the voting centers -- does not justify a total ban on them. Undoubtedly, the assailed Comelec Resolution is too broad, since its application is without qualification as to whether the polling is disruptive or not. Concededly, the Omnibus Election Code prohibits disruptive behavior around the voting centers. There is no showing, however, that exit polls or the means to interview voters cause chaos in voting centers.* Neither has any evidence been presented proving that the presence of exit poll reporters near an election precinct tends to create disorder or confuse the voters.</w:t>
      </w:r>
    </w:p>
    <w:p w:rsidR="00000000" w:rsidDel="00000000" w:rsidP="00000000" w:rsidRDefault="00000000" w:rsidRPr="00000000" w14:paraId="000007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the prohibition incidentally prevents the collection of exit poll data and their use for any purpose. The valuable information and ideas that could be derived from them, based on the voters’ answers to the survey questions will forever remain unknown and unexplored. Unless the ban is restrained, candidates, researchers, social scientists and the electorate in general would be deprived of studies on the impact of current events and of election-day [broadcasts] and other factors on voters' choices.</w:t>
      </w:r>
    </w:p>
    <w:p w:rsidR="00000000" w:rsidDel="00000000" w:rsidP="00000000" w:rsidRDefault="00000000" w:rsidRPr="00000000" w14:paraId="000007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Daily Herald Co. v. Munro, the US Supreme Court held that a statute, one of the purposes of which was to prevent the broadcasting of early returns, was unconstitutional because such purpose was impermissible, and the statute was neither narrowly tailored to advance a state interest nor the least restrictive alternative. Furthermore, the general interest of the State in insulating voters from outside influences is insufficient to justify speech regulation. Just as curtailing election-day broadcasts and newspaper editorials for the reason that they might indirectly affect the voters’ choices is impermissible, so is regulating speech via exit poll restriction.”</w:t>
      </w:r>
    </w:p>
    <w:p w:rsidR="00000000" w:rsidDel="00000000" w:rsidP="00000000" w:rsidRDefault="00000000" w:rsidRPr="00000000" w14:paraId="000007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absolute ban imposed by the Comelec cannot, therefore, be justified. It does not leave open any alternative channel of communication to gather the type of information obtained through exit polling. On the other hand, there are other valid and reasonable ways and means to achieve the Comelec end of avoiding or minimizing disorder and confusion that may be brought about by exit surveys.</w:t>
      </w:r>
    </w:p>
    <w:p w:rsidR="00000000" w:rsidDel="00000000" w:rsidP="00000000" w:rsidRDefault="00000000" w:rsidRPr="00000000" w14:paraId="000007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instance, a specific limited area for conducting exit polls may be designated. Only professional survey groups may be allowed to conduct the same. Pollsters may be kept at a reasonable distance from the voting center. They may be required to explain to voters that the latter may refuse to be interviewed, and that the interview is not part of the official balloting process. The pollsters may further be required to wear distinctive clothing that would show they are not election officials.” Additionally, they may be required to undertake an information campaign on the nature of the exercise and “Ibid., citing Mills v. Alabama, 384 US 214, 218-20, 86S Ct. 1434 &amp; 1436-37, 16</w:t>
      </w:r>
      <w:r w:rsidDel="00000000" w:rsidR="00000000" w:rsidRPr="00000000">
        <w:rPr>
          <w:rFonts w:ascii="Georgia" w:cs="Georgia" w:eastAsia="Georgia" w:hAnsi="Georgia"/>
          <w:sz w:val="22"/>
          <w:szCs w:val="22"/>
          <w:vertAlign w:val="superscript"/>
        </w:rPr>
        <w:footnoteReference w:customMarkFollows="0" w:id="124"/>
      </w:r>
      <w:r w:rsidDel="00000000" w:rsidR="00000000" w:rsidRPr="00000000">
        <w:rPr>
          <w:rFonts w:ascii="Georgia" w:cs="Georgia" w:eastAsia="Georgia" w:hAnsi="Georgia"/>
          <w:sz w:val="22"/>
          <w:szCs w:val="22"/>
          <w:vertAlign w:val="superscript"/>
        </w:rPr>
        <w:footnoteReference w:customMarkFollows="0" w:id="125"/>
      </w:r>
      <w:r w:rsidDel="00000000" w:rsidR="00000000" w:rsidRPr="00000000">
        <w:rPr>
          <w:rFonts w:ascii="Georgia" w:cs="Georgia" w:eastAsia="Georgia" w:hAnsi="Georgia"/>
          <w:sz w:val="22"/>
          <w:szCs w:val="22"/>
          <w:rtl w:val="0"/>
        </w:rPr>
        <w:t xml:space="preserve"> the results to be obtained therefrom. These measures, together with a general prohibition of disruptive behavior, could ensure a clean, safe and orderly election.</w:t>
      </w:r>
    </w:p>
    <w:p w:rsidR="00000000" w:rsidDel="00000000" w:rsidP="00000000" w:rsidRDefault="00000000" w:rsidRPr="00000000" w14:paraId="0000071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its part, Petitioner ABS-CBN explains its survey methodology as follows: (1) communities are randomly selected in each province; (2) residences to be polled in such communities are also chosen at random; (3) only individuals who have already voted, as shown by the indelible ink on their fingers, are interviewed; (4) the interviewers use no cameras of any sort; (5) the poll results are released to the public only on the day after the elections.* These precautions, together with the possible measures earlier stated, may be undertaken to abate the Comelec's fear, without consequently and unjustifiably stilling the people's voice. “With the foregoing premises, we conclude that the interest of the state in reducing disruption is outweighed by the drastic abridgment of the constitutionally guaranteed rights of the media and the electorate. Quite the contrary, instead of disrupting elections, exit polls -- properly conducted and publicized -- can be vital tools for the holding of honest, orderly, peaceful and credible elections; and for the elimination of election-fixing, fraud and other electoral ills.</w:t>
      </w:r>
    </w:p>
    <w:p w:rsidR="00000000" w:rsidDel="00000000" w:rsidP="00000000" w:rsidRDefault="00000000" w:rsidRPr="00000000" w14:paraId="0000072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“Violation of Ballot Secrecy </w:t>
      </w:r>
    </w:p>
    <w:p w:rsidR="00000000" w:rsidDel="00000000" w:rsidP="00000000" w:rsidRDefault="00000000" w:rsidRPr="00000000" w14:paraId="0000072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contention of public respondent that</w:t>
      </w:r>
      <w:r w:rsidDel="00000000" w:rsidR="00000000" w:rsidRPr="00000000">
        <w:rPr>
          <w:rFonts w:ascii="Georgia" w:cs="Georgia" w:eastAsia="Georgia" w:hAnsi="Georgia"/>
          <w:sz w:val="22"/>
          <w:szCs w:val="22"/>
          <w:vertAlign w:val="superscript"/>
        </w:rPr>
        <w:footnoteReference w:customMarkFollows="0" w:id="126"/>
      </w:r>
      <w:r w:rsidDel="00000000" w:rsidR="00000000" w:rsidRPr="00000000">
        <w:rPr>
          <w:rFonts w:ascii="Georgia" w:cs="Georgia" w:eastAsia="Georgia" w:hAnsi="Georgia"/>
          <w:sz w:val="22"/>
          <w:szCs w:val="22"/>
          <w:rtl w:val="0"/>
        </w:rPr>
        <w:t xml:space="preserve"> exit polls indirectly transgress the sanctity and the secrecy of the ballot is off-tangent to the real issue. Petitioner does not seek access to the ballots cast by the voters. The ballot system of voting is not at issue here.</w:t>
      </w:r>
    </w:p>
    <w:p w:rsidR="00000000" w:rsidDel="00000000" w:rsidP="00000000" w:rsidRDefault="00000000" w:rsidRPr="00000000" w14:paraId="0000072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reason behind the principle of ballot secrecy is to avoid vote buying through voter identification. Thus, voters are prohibited from exhibiting the contents of their official ballots to other persons, from making copies thereof, or from putting distinguishing marks thereon so as to be identified. Also proscribed is finding out the contents of the ballots cast by particular voters or disclosing those of disabled or illiterate voters who have been assisted. Clearly, what is forbidden is the association of voters with their respective votes, for the purpose of assuring that the votes have been cast in accordance with the instructions of a third party. This result cannot, however, be achieved merely through the voters’ verbal and confidential disclosure to a pollster of whom they have voted for.</w:t>
      </w:r>
    </w:p>
    <w:p w:rsidR="00000000" w:rsidDel="00000000" w:rsidP="00000000" w:rsidRDefault="00000000" w:rsidRPr="00000000" w14:paraId="0000072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exit polls, the contents of the official ballot are not actually exposed. Furthermore, the revelation of whom an elector has voted for is not compulsory, but voluntary. Voters may also choose not to reveal their identities."</w:t>
      </w:r>
    </w:p>
    <w:p w:rsidR="00000000" w:rsidDel="00000000" w:rsidP="00000000" w:rsidRDefault="00000000" w:rsidRPr="00000000" w14:paraId="000007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realize, however, that like any right, the freedom to hold exit polls may be reasonable. regulation, not to stifle or diminish it, but in fact to safeguard it and at the same time to ensure that it does not collide with or overrun the rights of others. Hence, I added in the Decision that “narrowly tailored counter-measures may be prescribed by the Comelec so as to minimize or suppress incidental problems in the conduct of exit polls, without transgressing the fundamental rights of the people.”</w:t>
      </w:r>
    </w:p>
    <w:p w:rsidR="00000000" w:rsidDel="00000000" w:rsidP="00000000" w:rsidRDefault="00000000" w:rsidRPr="00000000" w14:paraId="0000072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27">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The Dissents</w:t>
      </w:r>
    </w:p>
    <w:p w:rsidR="00000000" w:rsidDel="00000000" w:rsidP="00000000" w:rsidRDefault="00000000" w:rsidRPr="00000000" w14:paraId="000007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Jose C. Vitug, joined by Justices Jose A. R. Melo and Vicente V. Mendoza, wrote a short Separate Opinion voting to dismiss the ABS-CBN Petition on the following thesis:</w:t>
      </w:r>
    </w:p>
    <w:p w:rsidR="00000000" w:rsidDel="00000000" w:rsidP="00000000" w:rsidRDefault="00000000" w:rsidRPr="00000000" w14:paraId="000007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instant petition, now technically moot, presents issues so significant that a slight change of circumstances can have a decisive effect on, and possibly spell a difference in, the final outcome of the case. I am not inclined to take the case in an academic fashion and pass upon the views expressed by either party in preemptive judgment.</w:t>
      </w:r>
    </w:p>
    <w:p w:rsidR="00000000" w:rsidDel="00000000" w:rsidP="00000000" w:rsidRDefault="00000000" w:rsidRPr="00000000" w14:paraId="000007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 understand what the ponencia is saying quite laudably, I also appreciate, upon the other hand, the concern of the Commission on Elections, i.e., that the conduct of exit polls can have some adverse effects on the need to preserve the sanctity of the ballot. The Commission performs an indispensable task of ensuring free, honest, and orderly elections and of guarding against any frustration of the true will of the people. Expectedly, it utilizes all means available within its power and authority to prevent the electoral process from being manipulated and rendered an absurdity. Like my colleagues, I greatly prize the freedom of expression but, so also, I cherish no less the right of the</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people to express their will by means of the ballot. In any case, I must accept the reality that the right to information and free speech is not illimitable and immune from the valid exercise of an ever demanding and pervasive police power. Whether any kind of restraint should be upheld or declared invalid in the proper balancing of interest is one that must be resolved at any given moment, not on perceived circumstances, but on prevailing facts.”</w:t>
      </w:r>
    </w:p>
    <w:p w:rsidR="00000000" w:rsidDel="00000000" w:rsidP="00000000" w:rsidRDefault="00000000" w:rsidRPr="00000000" w14:paraId="000007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separate Dissenting Opinion, Justice Santiago M. Kapunan shared Justice Vitug’s position that the case was “technically moot.” In addition, he took issue with the majority’s position “that any restrictions to freedom of expression [should] be burdened with a presumption of invalidity and should be greeted with ‘furrowed brows.’” He argued the following:</w:t>
      </w:r>
    </w:p>
    <w:p w:rsidR="00000000" w:rsidDel="00000000" w:rsidP="00000000" w:rsidRDefault="00000000" w:rsidRPr="00000000" w14:paraId="000007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[The Constitution]mandates the Comelec to enforce and administer laws and regulations relative to the conduct of elections and to secure the secrecy and sanctity of the ballots to ensure orderly, honest, credible and peaceful elections. This Constitutional provision effectively displaces the general presumption of invalidity in favor of the presumption that Comelec acted in the exercise of its constitutionally mandated powers. If no presumption of invalidity arises, I see no occasion for the application of the ‘clear and present danger test.’</w:t>
      </w:r>
    </w:p>
    <w:p w:rsidR="00000000" w:rsidDel="00000000" w:rsidP="00000000" w:rsidRDefault="00000000" w:rsidRPr="00000000" w14:paraId="0000072D">
      <w:pP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Likewise, he took issue with “the matter of methodology in conducting polls.”</w:t>
      </w:r>
    </w:p>
    <w:p w:rsidR="00000000" w:rsidDel="00000000" w:rsidP="00000000" w:rsidRDefault="00000000" w:rsidRPr="00000000" w14:paraId="000007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matter of methodology in conducting polls, petitioner gave assurance that the exit poll results will only be made public a day after the elections, in order to allay fears of “trending,” “bandwagon-effect” or disruption. This offers little comfort considering the state of our country’s electoral system. Unlike in other countries where voting and counting are computerized, our elections are characterized by snail-paced counting. It is not infrequent that post-ponement, failure or annulment of elections occur in some areas designated as election hot spots. Such being the case, exit poll results made public after the day of voting in the regular elections but before the conduct of special elections in these areas may potentially pose the danger of ‘trending,’ ‘bandwagon-effect’ and disruption of elections.”</w:t>
      </w:r>
    </w:p>
    <w:p w:rsidR="00000000" w:rsidDel="00000000" w:rsidP="00000000" w:rsidRDefault="00000000" w:rsidRPr="00000000" w14:paraId="000007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question of mootness was in fact raised by the Office of the Solicitor General. Hence, my ponencia resolved it in this wise:</w:t>
      </w:r>
    </w:p>
    <w:p w:rsidR="00000000" w:rsidDel="00000000" w:rsidP="00000000" w:rsidRDefault="00000000" w:rsidRPr="00000000" w14:paraId="000007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issue is not totally moot. While the assailed Resolution referred specifically to the May 11, 1998 election, its implications on the people's fundamental freedom of expression transcend the past election. The holding of periodic elections is a basic feature of our democratic government. By its very nature, exit polling is tied up with elections. To set aside the resolution of the issue now will only postpone a task that could well crop up again in future elections.”</w:t>
      </w:r>
    </w:p>
    <w:p w:rsidR="00000000" w:rsidDel="00000000" w:rsidP="00000000" w:rsidRDefault="00000000" w:rsidRPr="00000000" w14:paraId="000007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any event, in Salonga v. Cruz Pano, the Court had occasion to reiterate that it ‘also has the duty to formulate guiding and controlling constitutional principles, precepts, doctrines, or rules. It has the symbolic function of educating the bench and bar on the extent of protection given by constitutional guarantees.’ Since the fundamental freedoms of speech and of the press are being invoked here, we have resolved to settle, for the guidance of posterity, whether they likewise protect the holding of exit polls and the dissemination of data derived therefrom."</w:t>
      </w:r>
    </w:p>
    <w:p w:rsidR="00000000" w:rsidDel="00000000" w:rsidP="00000000" w:rsidRDefault="00000000" w:rsidRPr="00000000" w14:paraId="00000732">
      <w:pPr>
        <w:rPr>
          <w:rFonts w:ascii="Georgia" w:cs="Georgia" w:eastAsia="Georgia" w:hAnsi="Georgia"/>
          <w:sz w:val="22"/>
          <w:szCs w:val="22"/>
          <w:vertAlign w:val="superscript"/>
        </w:rPr>
      </w:pPr>
      <w:r w:rsidDel="00000000" w:rsidR="00000000" w:rsidRPr="00000000">
        <w:rPr>
          <w:rFonts w:ascii="Georgia" w:cs="Georgia" w:eastAsia="Georgia" w:hAnsi="Georgia"/>
          <w:sz w:val="22"/>
          <w:szCs w:val="22"/>
          <w:rtl w:val="0"/>
        </w:rPr>
        <w:t xml:space="preserve">All in all, I am quite happy with the Court's Decision here. It was carried by a vote of 10-4, with one abstention. To my mind, it showed that the Court could meet head-on new paradigms of free expression brought about by the advances of science and technology. At the appropriate time, I am confident the Court can also tackle similar constitutional issues on the Internet, broad-band fiber optics, teleconferencing and other new modes of mass communication.</w:t>
      </w:r>
      <w:r w:rsidDel="00000000" w:rsidR="00000000" w:rsidRPr="00000000">
        <w:rPr>
          <w:rtl w:val="0"/>
        </w:rPr>
      </w:r>
    </w:p>
    <w:p w:rsidR="00000000" w:rsidDel="00000000" w:rsidP="00000000" w:rsidRDefault="00000000" w:rsidRPr="00000000" w14:paraId="00000733">
      <w:pPr>
        <w:rPr>
          <w:rFonts w:ascii="Georgia" w:cs="Georgia" w:eastAsia="Georgia" w:hAnsi="Georgia"/>
          <w:sz w:val="22"/>
          <w:szCs w:val="22"/>
          <w:vertAlign w:val="superscript"/>
        </w:rPr>
      </w:pPr>
      <w:r w:rsidDel="00000000" w:rsidR="00000000" w:rsidRPr="00000000">
        <w:rPr>
          <w:rtl w:val="0"/>
        </w:rPr>
      </w:r>
    </w:p>
    <w:p w:rsidR="00000000" w:rsidDel="00000000" w:rsidP="00000000" w:rsidRDefault="00000000" w:rsidRPr="00000000" w14:paraId="000007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Chapter 21</w:t>
      </w:r>
    </w:p>
    <w:p w:rsidR="00000000" w:rsidDel="00000000" w:rsidP="00000000" w:rsidRDefault="00000000" w:rsidRPr="00000000" w14:paraId="000007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Pimentel v. Aguirre:</w:t>
      </w:r>
    </w:p>
    <w:p w:rsidR="00000000" w:rsidDel="00000000" w:rsidP="00000000" w:rsidRDefault="00000000" w:rsidRPr="00000000" w14:paraId="000007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Upholding the Fiscal Autonomy</w:t>
      </w:r>
    </w:p>
    <w:p w:rsidR="00000000" w:rsidDel="00000000" w:rsidP="00000000" w:rsidRDefault="00000000" w:rsidRPr="00000000" w14:paraId="000007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of Local Government Units</w:t>
      </w:r>
    </w:p>
    <w:p w:rsidR="00000000" w:rsidDel="00000000" w:rsidP="00000000" w:rsidRDefault="00000000" w:rsidRPr="00000000" w14:paraId="000007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an original Petition for Certiorari and Prohibition lodged directly with the Supreme Court, Sen. Aquilino Q. Pimentel Jr. sought the annulment of (1) Section 1 of Administrative Order (AO) No. 372, insofar as it required local government units (LGUs) to reduce their expenditures by 25 percent of their authorized regular appropriations for non-personal services; and (2) Section 4 of the same AO, which withheld a portion of their internal revenue allotments.</w:t>
      </w:r>
    </w:p>
    <w:p w:rsidR="00000000" w:rsidDel="00000000" w:rsidP="00000000" w:rsidRDefault="00000000" w:rsidRPr="00000000" w14:paraId="000007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Pimentel v. Aguirre, the Court upheld my ponencia which sustained the validity of Section 1, but struck down Section 4 for encroaching on the fiscal autonomy of local governments. In arriving </w:t>
      </w:r>
    </w:p>
    <w:p w:rsidR="00000000" w:rsidDel="00000000" w:rsidP="00000000" w:rsidRDefault="00000000" w:rsidRPr="00000000" w14:paraId="0000073C">
      <w:pPr>
        <w:spacing w:line="276" w:lineRule="auto"/>
        <w:ind w:left="0" w:firstLine="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this conclusion, I discussed at the outset the (1) scope of the President’s power of general supervision over local governments and (2) the extent of the LGUs’ autonomy from the national government. I included this discussion in the ponencia, not only as a general jurisprudential premise for the ruling, but also as part of the teaching function of the highest court.</w:t>
      </w:r>
    </w:p>
    <w:p w:rsidR="00000000" w:rsidDel="00000000" w:rsidP="00000000" w:rsidRDefault="00000000" w:rsidRPr="00000000" w14:paraId="0000073D">
      <w:pPr>
        <w:spacing w:line="276" w:lineRule="auto"/>
        <w:ind w:left="0" w:firstLine="0"/>
        <w:rPr>
          <w:rFonts w:ascii="Georgia" w:cs="Georgia" w:eastAsia="Georgia" w:hAnsi="Georgia"/>
          <w:i w:val="1"/>
          <w:iCs w:val="1"/>
          <w:sz w:val="22"/>
          <w:szCs w:val="22"/>
        </w:rPr>
      </w:pPr>
      <w:r w:rsidDel="00000000" w:rsidR="00000000" w:rsidRPr="00000000">
        <w:rPr>
          <w:rtl w:val="0"/>
        </w:rPr>
      </w:r>
    </w:p>
    <w:p w:rsidR="00000000" w:rsidDel="00000000" w:rsidP="00000000" w:rsidRDefault="00000000" w:rsidRPr="00000000" w14:paraId="0000073E">
      <w:pPr>
        <w:spacing w:line="276" w:lineRule="auto"/>
        <w:ind w:left="0" w:firstLine="360"/>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The Scope of the President's Power of </w:t>
      </w:r>
    </w:p>
    <w:p w:rsidR="00000000" w:rsidDel="00000000" w:rsidP="00000000" w:rsidRDefault="00000000" w:rsidRPr="00000000" w14:paraId="0000073F">
      <w:pPr>
        <w:spacing w:line="276" w:lineRule="auto"/>
        <w:ind w:left="0" w:firstLine="360"/>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Supervision Ove</w:t>
      </w:r>
      <w:r w:rsidDel="00000000" w:rsidR="00000000" w:rsidRPr="00000000">
        <w:rPr>
          <w:rFonts w:ascii="Georgia" w:cs="Georgia" w:eastAsia="Georgia" w:hAnsi="Georgia"/>
          <w:b w:val="1"/>
          <w:bCs w:val="1"/>
          <w:i w:val="1"/>
          <w:iCs w:val="1"/>
          <w:sz w:val="22"/>
          <w:szCs w:val="22"/>
          <w:rtl w:val="0"/>
        </w:rPr>
        <w:t xml:space="preserve">r </w:t>
      </w: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LGUs</w:t>
      </w:r>
    </w:p>
    <w:p w:rsidR="00000000" w:rsidDel="00000000" w:rsidP="00000000" w:rsidRDefault="00000000" w:rsidRPr="00000000" w14:paraId="000007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Discussing the scope of the presidential power over provinces, cities and municipalities, collectively known as local government units, I wrote:</w:t>
      </w:r>
    </w:p>
    <w:p w:rsidR="00000000" w:rsidDel="00000000" w:rsidP="00000000" w:rsidRDefault="00000000" w:rsidRPr="00000000" w14:paraId="000007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4 of Article X of the Constitution confines the President's power over local governments to one of general supervision. It reads as follows:</w:t>
      </w:r>
    </w:p>
    <w:p w:rsidR="00000000" w:rsidDel="00000000" w:rsidP="00000000" w:rsidRDefault="00000000" w:rsidRPr="00000000" w14:paraId="000007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 4. The President of the Philippines shall exercise general supervision over local governments. &amp; xx!</w:t>
      </w:r>
    </w:p>
    <w:p w:rsidR="00000000" w:rsidDel="00000000" w:rsidP="00000000" w:rsidRDefault="00000000" w:rsidRPr="00000000" w14:paraId="000007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provision has been interpreted to exclude the power of control. In Mondano v. Silvosa,’ the Court contrasted the President's power of supervision over local government officials with that of his power of control over executive officials of the national government. It was emphasized that the two terms - supervision and control – differed in meaning and extent. The Court distinguished them as follows:</w:t>
      </w:r>
    </w:p>
    <w:p w:rsidR="00000000" w:rsidDel="00000000" w:rsidP="00000000" w:rsidRDefault="00000000" w:rsidRPr="00000000" w14:paraId="000007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In administrative law, supervision means overseeing or the power or authority of an officer to see that subordinate officers perform their duties. If the latter fail or neglect to fulfill them, the former may take such action or step as prescribed by law to make them perform their duties. Control, on the other hand, means the power of an officer to alter or modify or nullify or set aside what a subordinate officer ha[s] done in the performance of his duties and to substitute the judgment of the former for that of the latter. </w:t>
      </w:r>
    </w:p>
    <w:p w:rsidR="00000000" w:rsidDel="00000000" w:rsidP="00000000" w:rsidRDefault="00000000" w:rsidRPr="00000000" w14:paraId="000007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Taule v. Santos, we further stated that the Chief Executive wielded no more authority than that of checking whether local governments or their officials were performing their duties as provided by the fundamental law and by statutes. He cannot interfere with local governments, so long as they act within the scope of their authority. ‘Supervisory power, when contrasted with control, is the power of mere oversight over an inferior body; it does not include any restraining authority over such body, we said.</w:t>
      </w:r>
    </w:p>
    <w:p w:rsidR="00000000" w:rsidDel="00000000" w:rsidP="00000000" w:rsidRDefault="00000000" w:rsidRPr="00000000" w14:paraId="000007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 more recent case, Drilon v. Lim, the difference between control and supervision was further delineated. Officers in control lay down the rules in the performance or accomplishment of an act. If these rules are not followed, they may, in their discretion, order the act undone or redone by their subordinates or even decide to do it themselves. On the other hand, supervision does not cover such authority. Supervising officials merely see to it that the rules are followed, but they themselves do not lay down such rules, nor do they have the discretion to modify or replace them. If the rules are not observed, they may order the work done or redone, but only to conform to such rules. They may not prescribe their own manner of execution of the act. They have no discretion on this matter except to see to it that the rules are followed.</w:t>
      </w:r>
    </w:p>
    <w:p w:rsidR="00000000" w:rsidDel="00000000" w:rsidP="00000000" w:rsidRDefault="00000000" w:rsidRPr="00000000" w14:paraId="000007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our present system of government, executive power is vested in the President. The members of the Cabinet and other executive officials are merely alter egos. As such, they are subject to the power of control of the President, at whose will and behest they can be removed from office; or their actions and decisions changed, suspended, or reversed. In contrast, the heads of political subdivisions are elected by the people. Their sovereign powers emanate from the electorate, to whom they are directly accountable. By constitutional fiat, they are subject to the President’s supervision only, not control, so long as their acts are exercised within the sphere of their legitimate powers. By the same token, the President may not withhold or alter any authority or power given them by the Constitution and the law.”</w:t>
      </w:r>
    </w:p>
    <w:p w:rsidR="00000000" w:rsidDel="00000000" w:rsidP="00000000" w:rsidRDefault="00000000" w:rsidRPr="00000000" w14:paraId="00000748">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49">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Extent of Local Autonomy</w:t>
      </w:r>
    </w:p>
    <w:p w:rsidR="00000000" w:rsidDel="00000000" w:rsidP="00000000" w:rsidRDefault="00000000" w:rsidRPr="00000000" w14:paraId="000007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constitutional limits to the President's authority over local governments is buttressed by the state policy of ensuring local autonomy. I discussed the extent of local autonomy in this wise:</w:t>
      </w:r>
    </w:p>
    <w:p w:rsidR="00000000" w:rsidDel="00000000" w:rsidP="00000000" w:rsidRDefault="00000000" w:rsidRPr="00000000" w14:paraId="000007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“Hand in hand with the constitutional restraint on the President's power over local governments is the state policy of ensuring local autonomy.’ In Ganzon v. Court of Appeals,’ we said that local autonomy signified ‘a more responsive and accountable local government structure instituted through a system of decentralization.’ The grant of autonomy is intended to ‘break up the monopoly of the national government over the affairs of local governments, x x x not xxx to end the relation of partnership and interdependence between the central administration and local government units x x x.’ Paradoxically, local governments are still subject to regulation, however limited, for the purpose of enhancing self-government."*</w:t>
      </w:r>
    </w:p>
    <w:p w:rsidR="00000000" w:rsidDel="00000000" w:rsidP="00000000" w:rsidRDefault="00000000" w:rsidRPr="00000000" w14:paraId="000007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“Decentralization simply means the devolution of national administration, not power, to local governments. Local officials remain accountable to the central government as the law may provide. The difference between decentralization of administration and that of power was explained in detail in Limbona v. Mangelin’® as follows:</w:t>
      </w:r>
    </w:p>
    <w:p w:rsidR="00000000" w:rsidDel="00000000" w:rsidP="00000000" w:rsidRDefault="00000000" w:rsidRPr="00000000" w14:paraId="000007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autonomy is either decentralization of administration or decentralization of power. There is decentralization of administration when the central government delegates administrative powers to political subdivisions in order to broaden the base of government power and in the process to make local governments 'more responsive and accountable,’ and ‘ensure their fullest development as self-reliant communities and make them more effective partners in the pursuit of national development and _ social progress."® At the same time, it relieves</w:t>
      </w:r>
      <w:r w:rsidDel="00000000" w:rsidR="00000000" w:rsidRPr="00000000">
        <w:rPr>
          <w:rFonts w:ascii="Georgia" w:cs="Georgia" w:eastAsia="Georgia" w:hAnsi="Georgia"/>
          <w:sz w:val="22"/>
          <w:szCs w:val="22"/>
          <w:vertAlign w:val="superscript"/>
        </w:rPr>
        <w:footnoteReference w:customMarkFollows="0" w:id="127"/>
      </w:r>
      <w:r w:rsidDel="00000000" w:rsidR="00000000" w:rsidRPr="00000000">
        <w:rPr>
          <w:rFonts w:ascii="Georgia" w:cs="Georgia" w:eastAsia="Georgia" w:hAnsi="Georgia"/>
          <w:sz w:val="22"/>
          <w:szCs w:val="22"/>
          <w:rtl w:val="0"/>
        </w:rPr>
        <w:t xml:space="preserve"> the central government of the burden of managing local affairs and enables it to concentrate on national concerns. The President exercises ‘general supervision” over them, but only to ‘ensure that local affairs are administered according to law.”° He has no control over their acts in the sense that he can substitute their judgments with his own.”</w:t>
      </w:r>
    </w:p>
    <w:p w:rsidR="00000000" w:rsidDel="00000000" w:rsidP="00000000" w:rsidRDefault="00000000" w:rsidRPr="00000000" w14:paraId="0000074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‘Decentralization of power, on the other hand, involves an abdication of political power in the favor of local government units declared to be autonomous. In that case, the autonomous government is free to chart its own destiny and shape its future with minimum intervention from central authorities. According to a constitutional author, decentralization of power amounts to 'self-immolation,’ since in that event, the autonomous government becomes accountable not to the central authorities but to its constituency.’</w:t>
      </w:r>
    </w:p>
    <w:p w:rsidR="00000000" w:rsidDel="00000000" w:rsidP="00000000" w:rsidRDefault="00000000" w:rsidRPr="00000000" w14:paraId="0000074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the Philippine concept of local autonomy, the national government has not completely relinquished all its powers over local governments, including autonomous regions. Only administrative powers over local affairs are delegated to political subdivisions. The purpose of the delegation</w:t>
      </w:r>
      <w:r w:rsidDel="00000000" w:rsidR="00000000" w:rsidRPr="00000000">
        <w:rPr>
          <w:rFonts w:ascii="Georgia" w:cs="Georgia" w:eastAsia="Georgia" w:hAnsi="Georgia"/>
          <w:sz w:val="22"/>
          <w:szCs w:val="22"/>
          <w:vertAlign w:val="superscript"/>
        </w:rPr>
        <w:footnoteReference w:customMarkFollows="0" w:id="128"/>
      </w:r>
      <w:r w:rsidDel="00000000" w:rsidR="00000000" w:rsidRPr="00000000">
        <w:rPr>
          <w:rFonts w:ascii="Georgia" w:cs="Georgia" w:eastAsia="Georgia" w:hAnsi="Georgia"/>
          <w:sz w:val="22"/>
          <w:szCs w:val="22"/>
          <w:vertAlign w:val="superscript"/>
        </w:rPr>
        <w:footnoteReference w:customMarkFollows="0" w:id="129"/>
      </w:r>
      <w:r w:rsidDel="00000000" w:rsidR="00000000" w:rsidRPr="00000000">
        <w:rPr>
          <w:rFonts w:ascii="Georgia" w:cs="Georgia" w:eastAsia="Georgia" w:hAnsi="Georgia"/>
          <w:sz w:val="22"/>
          <w:szCs w:val="22"/>
          <w:vertAlign w:val="superscript"/>
        </w:rPr>
        <w:footnoteReference w:customMarkFollows="0" w:id="130"/>
      </w:r>
      <w:r w:rsidDel="00000000" w:rsidR="00000000" w:rsidRPr="00000000">
        <w:rPr>
          <w:rFonts w:ascii="Georgia" w:cs="Georgia" w:eastAsia="Georgia" w:hAnsi="Georgia"/>
          <w:sz w:val="22"/>
          <w:szCs w:val="22"/>
          <w:rtl w:val="0"/>
        </w:rPr>
        <w:t xml:space="preserve"> is to make governance more directly responsive and effective at the local levels. In turn, economic, political and social development at the smaller political units are expected to propel social and economic growth and development. But to enable the country to develop as a whole, the programs and policies effected locally must be integrated and coordinated towards a common national goal. Thus, policy-setting for the entire country still lies in the President and Congress. As we stated in Magtajas v. Pryce Properties Corp., Inc., municipal governments are still agents of the national government.”</w:t>
      </w:r>
    </w:p>
    <w:p w:rsidR="00000000" w:rsidDel="00000000" w:rsidP="00000000" w:rsidRDefault="00000000" w:rsidRPr="00000000" w14:paraId="0000075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1">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Dimensions of Fiscal Autonomy</w:t>
      </w:r>
    </w:p>
    <w:p w:rsidR="00000000" w:rsidDel="00000000" w:rsidP="00000000" w:rsidRDefault="00000000" w:rsidRPr="00000000" w14:paraId="0000075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Autonomy, however extensive, would hardly have any real significance and impact in local governance if it were not complimented by a coextensive fiscal autonomy. Hence, I also explained the dimensions of the LGUs’ capacity to manage their money needs, in these words:</w:t>
      </w:r>
    </w:p>
    <w:p w:rsidR="00000000" w:rsidDel="00000000" w:rsidP="00000000" w:rsidRDefault="00000000" w:rsidRPr="00000000" w14:paraId="000007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existing law, local government units, in addition to having administrative autonomy in the exercise of their functions, enjoy fiscal autonomy as well. Fiscal autonomy means that local governments have the power to create their own sources of revenue in addition to their equitable share in the national taxes released by the national government, as well as the power to allocate their resources in accordance with their own</w:t>
      </w:r>
    </w:p>
    <w:p w:rsidR="00000000" w:rsidDel="00000000" w:rsidP="00000000" w:rsidRDefault="00000000" w:rsidRPr="00000000" w14:paraId="000007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234 SCRA 255, 272, July 20,1994.</w:t>
      </w:r>
    </w:p>
    <w:p w:rsidR="00000000" w:rsidDel="00000000" w:rsidP="00000000" w:rsidRDefault="00000000" w:rsidRPr="00000000" w14:paraId="000007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priorities. It extends to the preparation of their budgets, and local officials in turn have to work within the constraints thereof. They are not formulated at the national level and imposed on local governments, whether they are relevant to local needs and resources or not. Hence, the necessity of a balancing of viewpoints and the harmonization of proposals from both local and national officials,“who in any case are partners in the attainment of national goals.</w:t>
      </w:r>
    </w:p>
    <w:p w:rsidR="00000000" w:rsidDel="00000000" w:rsidP="00000000" w:rsidRDefault="00000000" w:rsidRPr="00000000" w14:paraId="000007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“Local fiscal autonomy does not however rule out any manner of national government intervention by way of supervision, in order to ensure that local programs, fiscal and otherwise, are consistent with national goals. Significantly, the President by constitutional fiat is the head of the economic and planning agency of the government,” primarily responsible for formulating and implementing continuing, coordinated and integrated social and economic policies, plans and programs” for the entire country. However, under the Constitution, the formulation and the implementation of such policies and programs are subject to ‘consultations with the appropriate public agencies, various private sectors, and local government units.’ The President cannot do so unilaterally.</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2 §3, Chapter 1, Subtitle C, Title II, Book V, EO 292 (Administrative Code of 1987).</w:t>
      </w:r>
      <w:r w:rsidDel="00000000" w:rsidR="00000000" w:rsidRPr="00000000">
        <w:rPr>
          <w:rFonts w:ascii="Georgia" w:cs="Georgia" w:eastAsia="Georgia" w:hAnsi="Georgia"/>
          <w:i w:val="0"/>
          <w:iCs w:val="0"/>
          <w:smallCaps w:val="0"/>
          <w:strike w:val="0"/>
          <w:color w:val="000000"/>
          <w:sz w:val="22"/>
          <w:szCs w:val="22"/>
          <w:u w:val="none"/>
          <w:shd w:fill="auto" w:val="clear"/>
          <w:vertAlign w:val="superscript"/>
        </w:rPr>
        <w:footnoteReference w:customMarkFollows="0" w:id="131"/>
      </w:r>
      <w:r w:rsidDel="00000000" w:rsidR="00000000" w:rsidRPr="00000000">
        <w:rPr>
          <w:rtl w:val="0"/>
        </w:rPr>
      </w:r>
    </w:p>
    <w:p w:rsidR="00000000" w:rsidDel="00000000" w:rsidP="00000000" w:rsidRDefault="00000000" w:rsidRPr="00000000" w14:paraId="000007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“Consequently, the Local Government Code provides:””</w:t>
      </w:r>
    </w:p>
    <w:p w:rsidR="00000000" w:rsidDel="00000000" w:rsidP="00000000" w:rsidRDefault="00000000" w:rsidRPr="00000000" w14:paraId="000007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[I]n the event the national government incurs an undamaged public sector deficit, the President of the Philippines is hereby authorized, upon the recommendation of [the] Secretary of Finance, Secretary of the Interior and Local Government and Secretary of Budget and Management, and subject to consultation with the presiding officers of both Houses of Congress and the presidents of the liga, to make the necessary adjustments in the internal revenue allotment of local government units but in no case shall the allotment be less than thirty percent (30%) of the collection of national internal revenue taxes of the third fiscal year preceding the current fiscal year x x x.’</w:t>
      </w:r>
    </w:p>
    <w:p w:rsidR="00000000" w:rsidDel="00000000" w:rsidP="00000000" w:rsidRDefault="00000000" w:rsidRPr="00000000" w14:paraId="000007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 are therefore several requisites before the President may interfere in local fiscal matters: (1) an undamaged public sector deficit of the national government; (2) consultations with the presiding officers of the Senate and the House of Representatives and the presidents of the various local leagues; and (3) the corresponding recommendation of the secretaries of the Department of Finance, Interior and Local Government, and Budget and Management. Furthermore, any adjustment in the allotment</w:t>
      </w:r>
      <w:r w:rsidDel="00000000" w:rsidR="00000000" w:rsidRPr="00000000">
        <w:rPr>
          <w:rFonts w:ascii="Georgia" w:cs="Georgia" w:eastAsia="Georgia" w:hAnsi="Georgia"/>
          <w:sz w:val="22"/>
          <w:szCs w:val="22"/>
          <w:vertAlign w:val="superscript"/>
        </w:rPr>
        <w:footnoteReference w:customMarkFollows="0" w:id="132"/>
      </w:r>
      <w:r w:rsidDel="00000000" w:rsidR="00000000" w:rsidRPr="00000000">
        <w:rPr>
          <w:rFonts w:ascii="Georgia" w:cs="Georgia" w:eastAsia="Georgia" w:hAnsi="Georgia"/>
          <w:sz w:val="22"/>
          <w:szCs w:val="22"/>
          <w:rtl w:val="0"/>
        </w:rPr>
        <w:t xml:space="preserve"> shall in no case be less than thirty percent (30%) of the collection of national internal revenue taxes of the third fiscal year preceding the current one.”</w:t>
      </w:r>
    </w:p>
    <w:p w:rsidR="00000000" w:rsidDel="00000000" w:rsidP="00000000" w:rsidRDefault="00000000" w:rsidRPr="00000000" w14:paraId="0000075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5C">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The Merely Advisory </w:t>
      </w:r>
    </w:p>
    <w:p w:rsidR="00000000" w:rsidDel="00000000" w:rsidP="00000000" w:rsidRDefault="00000000" w:rsidRPr="00000000" w14:paraId="0000075D">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Nature of Section 1</w:t>
      </w:r>
    </w:p>
    <w:p w:rsidR="00000000" w:rsidDel="00000000" w:rsidP="00000000" w:rsidRDefault="00000000" w:rsidRPr="00000000" w14:paraId="000007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Consistent with the foregoing teachings, my ponencia upheld Section 1 as follows:</w:t>
      </w:r>
    </w:p>
    <w:p w:rsidR="00000000" w:rsidDel="00000000" w:rsidP="00000000" w:rsidRDefault="00000000" w:rsidRPr="00000000" w14:paraId="000007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the wordings of Section 1 of AO 372 have a rather commanding tone, and while we agree with petitioner that the requirements of Section 284 of the Local Government Code have not been satisfied, we are prepared to accept the solicitor general's assurance that the directive to ‘identify and implement measures x x x that will reduce total expenditures x x x by at least 25% of authorized regular appropriation’ is merely advisory in character, and does not constitute a mandatory or binding order that interferes with local autonomy. The language used, while authoritative, does not amount to a command that emanates from a boss to a subaltern.</w:t>
      </w:r>
    </w:p>
    <w:p w:rsidR="00000000" w:rsidDel="00000000" w:rsidP="00000000" w:rsidRDefault="00000000" w:rsidRPr="00000000" w14:paraId="0000076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“Rather, the provision is merely an advisory to prevail upon local executives to recognize the need for fiscal restraint in a period of economic difficulty. Indeed, all concerned would do well to heed the President's call to unity, solidarity and teamwork to help alleviate the crisis. It is understood, however, that no legal sanction may be imposed upon LGUs and their officials who do not follow such advice. It is in this light that we sustain the solicitor general's contention in regard to Section 1.”</w:t>
      </w:r>
    </w:p>
    <w:p w:rsidR="00000000" w:rsidDel="00000000" w:rsidP="00000000" w:rsidRDefault="00000000" w:rsidRPr="00000000" w14:paraId="00000761">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62">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The Violation of Fiscal </w:t>
      </w:r>
    </w:p>
    <w:p w:rsidR="00000000" w:rsidDel="00000000" w:rsidP="00000000" w:rsidRDefault="00000000" w:rsidRPr="00000000" w14:paraId="00000763">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Autonomy by Section 4</w:t>
      </w:r>
    </w:p>
    <w:p w:rsidR="00000000" w:rsidDel="00000000" w:rsidP="00000000" w:rsidRDefault="00000000" w:rsidRPr="00000000" w14:paraId="000007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withholding of the LGUs’ internal revenue allotment (IRA), however, would violate the constitutional and statutory mandates on fiscal autonomy, specifically those on the automatic releases of these sums. The Decision explained this principle thus:</w:t>
      </w:r>
    </w:p>
    <w:p w:rsidR="00000000" w:rsidDel="00000000" w:rsidP="00000000" w:rsidRDefault="00000000" w:rsidRPr="00000000" w14:paraId="000007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4 of AO 372 cannot, however, be upheld. A basic feature of local fiscal autonomy is the automatic release of the shares of LGUs in the national internal revenue. This is mandated by no less than the Constitution.** The Local Government Code” specifies further that the release shall be made directly to the LGU concerned within five (5) days after every quarter of the year and ‘shall not be subject to any lien or holdback that may be imposed by the national government for whatever purpose.’® As a rule, the term</w:t>
      </w:r>
    </w:p>
    <w:p w:rsidR="00000000" w:rsidDel="00000000" w:rsidP="00000000" w:rsidRDefault="00000000" w:rsidRPr="00000000" w14:paraId="000007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Emphasis supplied.</w:t>
      </w:r>
      <w:r w:rsidDel="00000000" w:rsidR="00000000" w:rsidRPr="00000000">
        <w:rPr>
          <w:rFonts w:ascii="Georgia" w:cs="Georgia" w:eastAsia="Georgia" w:hAnsi="Georgia"/>
          <w:sz w:val="22"/>
          <w:szCs w:val="22"/>
          <w:vertAlign w:val="superscript"/>
        </w:rPr>
        <w:footnoteReference w:customMarkFollows="0" w:id="133"/>
      </w:r>
      <w:r w:rsidDel="00000000" w:rsidR="00000000" w:rsidRPr="00000000">
        <w:rPr>
          <w:rFonts w:ascii="Georgia" w:cs="Georgia" w:eastAsia="Georgia" w:hAnsi="Georgia"/>
          <w:sz w:val="22"/>
          <w:szCs w:val="22"/>
          <w:vertAlign w:val="superscript"/>
        </w:rPr>
        <w:footnoteReference w:customMarkFollows="0" w:id="134"/>
      </w:r>
      <w:r w:rsidDel="00000000" w:rsidR="00000000" w:rsidRPr="00000000">
        <w:rPr>
          <w:rtl w:val="0"/>
        </w:rPr>
      </w:r>
    </w:p>
    <w:p w:rsidR="00000000" w:rsidDel="00000000" w:rsidP="00000000" w:rsidRDefault="00000000" w:rsidRPr="00000000" w14:paraId="000007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‘shall’ is a word of command that must be given a compulsory meaning.” The provision is, therefore, imperative.</w:t>
      </w:r>
    </w:p>
    <w:p w:rsidR="00000000" w:rsidDel="00000000" w:rsidP="00000000" w:rsidRDefault="00000000" w:rsidRPr="00000000" w14:paraId="0000076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“Section 4 of AO 372, however, orders the withholding, effective January 1, 1998, of 10 percent of the LGUs' IRA ‘pending the assessment and evaluation by the Development Budget Coordinating Committee of the emerging fiscal situation’ in. the country. Such withholding clearly contravenes the Constitution and the law. Although temporary, it is equivalent to a holdback, which means ‘something held back. or withheld, often temporarily.” Hence, the ‘temporary’ nature of the retention by the national government does not matter. Any retention is prohibited.”</w:t>
      </w:r>
    </w:p>
    <w:p w:rsidR="00000000" w:rsidDel="00000000" w:rsidP="00000000" w:rsidRDefault="00000000" w:rsidRPr="00000000" w14:paraId="00000769">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6A">
      <w:pPr>
        <w:rPr>
          <w:rFonts w:ascii="Georgia" w:cs="Georgia" w:eastAsia="Georgia" w:hAnsi="Georgia"/>
          <w:b w:val="1"/>
          <w:bCs w:val="1"/>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22"/>
          <w:szCs w:val="22"/>
          <w:u w:val="none"/>
          <w:shd w:fill="auto" w:val="clear"/>
          <w:vertAlign w:val="baseline"/>
          <w:rtl w:val="0"/>
        </w:rPr>
        <w:t xml:space="preserve">Refutation of Dissent</w:t>
      </w:r>
    </w:p>
    <w:p w:rsidR="00000000" w:rsidDel="00000000" w:rsidP="00000000" w:rsidRDefault="00000000" w:rsidRPr="00000000" w14:paraId="000007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ponencia would have ended right there, but q Mr. Justice Santiago M. Kapunan raised some questions which, for clarity’s sake, needed to be refuted or clarified. My esteemed colleague dissented on the grounds that, allegedly, (1) the Petition was premature, (2) AO 372 was included in the powers of | the President as chief fiscal officer of the Republic, and (3) the withholding of the LGUs’ IRA was implied in the President’s authority to adjust it in case of an unmanageable public sector deficit. I refuted Justice Kapunan’s arguments in this manner:</w:t>
      </w:r>
    </w:p>
    <w:p w:rsidR="00000000" w:rsidDel="00000000" w:rsidP="00000000" w:rsidRDefault="00000000" w:rsidRPr="00000000" w14:paraId="0000076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“Mr. Justice Santiago M. Kapunan dissents from our Decision on the grounds that,</w:t>
      </w:r>
      <w:r w:rsidDel="00000000" w:rsidR="00000000" w:rsidRPr="00000000">
        <w:rPr>
          <w:rFonts w:ascii="Georgia" w:cs="Georgia" w:eastAsia="Georgia" w:hAnsi="Georgia"/>
          <w:sz w:val="22"/>
          <w:szCs w:val="22"/>
          <w:vertAlign w:val="superscript"/>
        </w:rPr>
        <w:footnoteReference w:customMarkFollows="0" w:id="135"/>
      </w:r>
      <w:r w:rsidDel="00000000" w:rsidR="00000000" w:rsidRPr="00000000">
        <w:rPr>
          <w:rFonts w:ascii="Georgia" w:cs="Georgia" w:eastAsia="Georgia" w:hAnsi="Georgia"/>
          <w:sz w:val="22"/>
          <w:szCs w:val="22"/>
          <w:rtl w:val="0"/>
        </w:rPr>
        <w:t xml:space="preserve"> allegedly, (1) the Petition is premature; (2) AO 372 falls within the powers of the President as chief fiscal officer; and (3) the withholding of the LGUs’ IRA is implied in the President's authority to adjust it in case of an unmanageable public sector deficit.</w:t>
      </w:r>
    </w:p>
    <w:p w:rsidR="00000000" w:rsidDel="00000000" w:rsidP="00000000" w:rsidRDefault="00000000" w:rsidRPr="00000000" w14:paraId="000007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on prematurity. According to the Dissent, when ‘the conduct has not yet occurred and the challenged construction has not yet been adopted by the agency charged with administering the administrative order, the determination of the scope and constitutionality of the executive action in advance of its immediate adverse effect involves too remote and abstract an inquiry for the proper exercise of judicial function.’</w:t>
      </w:r>
    </w:p>
    <w:p w:rsidR="00000000" w:rsidDel="00000000" w:rsidP="00000000" w:rsidRDefault="00000000" w:rsidRPr="00000000" w14:paraId="000007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is a rather novel theory -- that people should await the implementing evil to befall on them before they can question acts that are illegal or unconstitutional. Be it remembered that the real issue here is whether the Constitution and the law are contravened by Section 4 of AO 372, not whether they are violated by the acts implementing it. In the unanimous en banc case Taviada v. Angara,* this Court held that when an act of the legislative department is seriously alleged to have infringed the Constitution, settling the controversy becomes the duty of this Court. By the mere enactment of the questioned law or the approval of the challenged action, the dispute is said to have ripened into a judicial controversy even without any other overt act.</w:t>
      </w:r>
      <w:r w:rsidDel="00000000" w:rsidR="00000000" w:rsidRPr="00000000">
        <w:rPr>
          <w:rFonts w:ascii="Georgia" w:cs="Georgia" w:eastAsia="Georgia" w:hAnsi="Georgia"/>
          <w:sz w:val="22"/>
          <w:szCs w:val="22"/>
          <w:vertAlign w:val="superscript"/>
        </w:rPr>
        <w:footnoteReference w:customMarkFollows="0" w:id="136"/>
      </w:r>
      <w:r w:rsidDel="00000000" w:rsidR="00000000" w:rsidRPr="00000000">
        <w:rPr>
          <w:rtl w:val="0"/>
        </w:rPr>
      </w:r>
    </w:p>
    <w:p w:rsidR="00000000" w:rsidDel="00000000" w:rsidP="00000000" w:rsidRDefault="00000000" w:rsidRPr="00000000" w14:paraId="000007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even a singular violation of the Constitution and/or the law is enough to awaken judicial duty. Said the Court:</w:t>
      </w:r>
    </w:p>
    <w:p w:rsidR="00000000" w:rsidDel="00000000" w:rsidP="00000000" w:rsidRDefault="00000000" w:rsidRPr="00000000" w14:paraId="0000077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seeking to nullify an act of the Philippine Senate on the ground that it contravenes the Constitution, the petition no doubt raises a justiciable controversy. Where an action of the legislative branch is seriously alleged to have infringed the Constitution, it becomes not only the right but in fact the duty of the judiciary to settle the dispute. 'The question thus posed is judicial rather than political. The duty (to adjudicate) remains to assure that the supremacy of the Constitution is upheld.’* Once a ‘controversy as to the application or interpretation of a constitutional provision is raised before this Court x x x, it becomes a legal issue which the Court is bound by constitutional mandate to decide.'</w:t>
      </w:r>
    </w:p>
    <w:p w:rsidR="00000000" w:rsidDel="00000000" w:rsidP="00000000" w:rsidRDefault="00000000" w:rsidRPr="00000000" w14:paraId="000007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this Court has repeatedly and firmly emphasized in many cases,** it will not shirk, digress from or abandon its sacred duty and authority to uphold the Constitution in matters that involve grave abuse of discretion brought before it in appropriate cases, committed by any</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officer, agency, instrumentality or department of the government.’</w:t>
      </w:r>
    </w:p>
    <w:p w:rsidR="00000000" w:rsidDel="00000000" w:rsidP="00000000" w:rsidRDefault="00000000" w:rsidRPr="00000000" w14:paraId="000007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same vein, the Court also held in Tatad v. Secretary of the Department of Energy:*”</w:t>
      </w:r>
    </w:p>
    <w:p w:rsidR="00000000" w:rsidDel="00000000" w:rsidP="00000000" w:rsidRDefault="00000000" w:rsidRPr="00000000" w14:paraId="000007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Judicial power includes not only the duty of the courts to settle actual controversies involving rights which are’ legally demandable and enforceable, but also the duty to determine whether or not there has been grave abuse of discretion amounting to lack or excess of jurisdiction on the part of any branch or instrumentality of government. The courts, as guardians of the Constitution, have the inherent authority to determine whether a statute enacted by the legislature transcends the limit imposed by the fundamental law. Where the statute violates the Constitution, it is not only the right but the duty of the judiciary to declare such act unconstitutional and void.’</w:t>
      </w:r>
    </w:p>
    <w:p w:rsidR="00000000" w:rsidDel="00000000" w:rsidP="00000000" w:rsidRDefault="00000000" w:rsidRPr="00000000" w14:paraId="000007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the same token, when an act of the President, who in our constitutional scheme is a coequal of Congress, is seriously alleged to have infringed the Constitution and the laws, as in the present case, settling the dispute becomes the duty and the responsibility of the courts.</w:t>
      </w:r>
    </w:p>
    <w:p w:rsidR="00000000" w:rsidDel="00000000" w:rsidP="00000000" w:rsidRDefault="00000000" w:rsidRPr="00000000" w14:paraId="000007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“Besides, the issue that the Petition is premature has not been raised by the parties; hence it is deemed waived. Considerations</w:t>
      </w:r>
    </w:p>
    <w:p w:rsidR="00000000" w:rsidDel="00000000" w:rsidP="00000000" w:rsidRDefault="00000000" w:rsidRPr="00000000" w14:paraId="000007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409</w:t>
      </w:r>
      <w:r w:rsidDel="00000000" w:rsidR="00000000" w:rsidRPr="00000000">
        <w:rPr>
          <w:rFonts w:ascii="Georgia" w:cs="Georgia" w:eastAsia="Georgia" w:hAnsi="Georgia"/>
          <w:sz w:val="22"/>
          <w:szCs w:val="22"/>
          <w:vertAlign w:val="superscript"/>
        </w:rPr>
        <w:footnoteReference w:customMarkFollows="0" w:id="137"/>
      </w:r>
      <w:r w:rsidDel="00000000" w:rsidR="00000000" w:rsidRPr="00000000">
        <w:rPr>
          <w:rFonts w:ascii="Georgia" w:cs="Georgia" w:eastAsia="Georgia" w:hAnsi="Georgia"/>
          <w:sz w:val="22"/>
          <w:szCs w:val="22"/>
          <w:rtl w:val="0"/>
        </w:rPr>
        <w:t xml:space="preserve"> of due process really prevents its use against a party that has not been given sufficient notice of its presentation, and thus has not been given the opportunity to refute it.*</w:t>
      </w:r>
    </w:p>
    <w:p w:rsidR="00000000" w:rsidDel="00000000" w:rsidP="00000000" w:rsidRDefault="00000000" w:rsidRPr="00000000" w14:paraId="000007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on the President's power as chief fiscal officer of the country. Justice Kapunan posits that Section 4 of AO 372 conforms with the President's role as chief fiscal officer, who allegedly ‘is clothed by law with certain powers to ensure the observance of safeguards and auditing requirements, as well as the legal prerequisites in the release and use of IRAs, taking into account the constitutional and statutory mandates.’ He cites instances when the President may lawfully intervene in the fiscal affairs of LGUs.</w:t>
      </w:r>
    </w:p>
    <w:p w:rsidR="00000000" w:rsidDel="00000000" w:rsidP="00000000" w:rsidRDefault="00000000" w:rsidRPr="00000000" w14:paraId="000007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“Precisely, such powers referred to in the Dissent have specifically been authorized by law and have not been challenged as violative of the Constitution. On the other hand, Section 4 of AO 372, as explained earlier, contravenes explicit provisions of the Local Government Code (LGC) and the Constitution. In other words, the acts alluded to in the Dissent are indeed | authorized by law; but, quite the opposite, Section 4 of AO 372 is bereft of any legal or constitutional basis.</w:t>
      </w:r>
    </w:p>
    <w:p w:rsidR="00000000" w:rsidDel="00000000" w:rsidP="00000000" w:rsidRDefault="00000000" w:rsidRPr="00000000" w14:paraId="0000077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on the President's authority to adjust the IRA of LGUs in case of an unmanageable public sector deficit. It must *® See Philippine National Bank v. Sayo Jr., 292 SCRA 202, July 9, 1998; Vint</w:t>
      </w:r>
      <w:r w:rsidDel="00000000" w:rsidR="00000000" w:rsidRPr="00000000">
        <w:rPr>
          <w:rFonts w:ascii="Georgia" w:cs="Georgia" w:eastAsia="Georgia" w:hAnsi="Georgia"/>
          <w:sz w:val="22"/>
          <w:szCs w:val="22"/>
          <w:vertAlign w:val="superscript"/>
        </w:rPr>
        <w:footnoteReference w:customMarkFollows="0" w:id="138"/>
      </w:r>
      <w:r w:rsidDel="00000000" w:rsidR="00000000" w:rsidRPr="00000000">
        <w:rPr>
          <w:rFonts w:ascii="Georgia" w:cs="Georgia" w:eastAsia="Georgia" w:hAnsi="Georgia"/>
          <w:sz w:val="22"/>
          <w:szCs w:val="22"/>
          <w:vertAlign w:val="superscript"/>
        </w:rPr>
        <w:footnoteReference w:customMarkFollows="0" w:id="139"/>
      </w:r>
      <w:r w:rsidDel="00000000" w:rsidR="00000000" w:rsidRPr="00000000">
        <w:rPr>
          <w:rFonts w:ascii="Georgia" w:cs="Georgia" w:eastAsia="Georgia" w:hAnsi="Georgia"/>
          <w:sz w:val="22"/>
          <w:szCs w:val="22"/>
          <w:rtl w:val="0"/>
        </w:rPr>
        <w:t xml:space="preserve"> be emphasized that in striking down Section 4 of AO 372, this Court is not ruling out any form of reduction in the IRAs of LGUs. Indeed, the President may make necessary adjustments in case of an unmanageable public sector deficit, as stated in the main part of this Decision, and in line with Section 284 of the LGC, which Justice Kapunan cites. He, however, merely glances over a specific requirement in the same provision -- that such reduction is subject to consultation with the presiding officers of both Houses of Congress and, more importantly, with the presidents of the leagues of local governments,</w:t>
      </w:r>
    </w:p>
    <w:p w:rsidR="00000000" w:rsidDel="00000000" w:rsidP="00000000" w:rsidRDefault="00000000" w:rsidRPr="00000000" w14:paraId="0000077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“Notably, Justice Kapunan recognizes the need for ‘interaction between the national government and the LGUs at the planning level,’ in order to ensure that ‘local development plans x x x hew to national policies and standards.’ The problem is that no such interaction or consultation was ever held prior to the issuance of AO 372. This is why the petitioner and the intervenor (who was a provincial governor and at the same time president of the League of Provinces of the Philippines and chairman of the League of Leagues of Local Governments) have protested and instituted this action. Significantly, respondents do not deny the lack of consultation.</w:t>
      </w:r>
    </w:p>
    <w:p w:rsidR="00000000" w:rsidDel="00000000" w:rsidP="00000000" w:rsidRDefault="00000000" w:rsidRPr="00000000" w14:paraId="0000077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addition, Justice Kapunan cites Section 287% of the LGC as impliedly authorizing the</w:t>
      </w:r>
      <w:r w:rsidDel="00000000" w:rsidR="00000000" w:rsidRPr="00000000">
        <w:rPr>
          <w:rFonts w:ascii="Georgia" w:cs="Georgia" w:eastAsia="Georgia" w:hAnsi="Georgia"/>
          <w:sz w:val="22"/>
          <w:szCs w:val="22"/>
          <w:vertAlign w:val="superscript"/>
        </w:rPr>
        <w:footnoteReference w:customMarkFollows="0" w:id="140"/>
      </w:r>
      <w:r w:rsidDel="00000000" w:rsidR="00000000" w:rsidRPr="00000000">
        <w:rPr>
          <w:rFonts w:ascii="Georgia" w:cs="Georgia" w:eastAsia="Georgia" w:hAnsi="Georgia"/>
          <w:sz w:val="22"/>
          <w:szCs w:val="22"/>
          <w:rtl w:val="0"/>
        </w:rPr>
        <w:t xml:space="preserve"> President to withhold the IRA of an LGU, pending its compliance with certain requirements. Even a cursory reading of the provision reveals that it is totally inapplicable to the issue at bar. It directs LGUs to appropriate in their annual budgets 20 percent of their respective IRAs for development projects. It speaks of no positive power granted the President to priorly withhold any amount. Not at all.”</w:t>
      </w:r>
    </w:p>
    <w:p w:rsidR="00000000" w:rsidDel="00000000" w:rsidP="00000000" w:rsidRDefault="00000000" w:rsidRPr="00000000" w14:paraId="0000077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I said earlier, I found the need to refute Me Kapunan’s Dissent. One beneficial effect of this refutation was the Court’s express holding that the mere issuance of an administrative order by the Chief Executive, if seriously alleged to have violated the Constitution and the law, would be enough to awaken judicial duty without having to await any implementing evil to befall on our people.</w:t>
      </w:r>
    </w:p>
    <w:p w:rsidR="00000000" w:rsidDel="00000000" w:rsidP="00000000" w:rsidRDefault="00000000" w:rsidRPr="00000000" w14:paraId="0000077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other words, even the “abstract” or “academic” violation of the letter and the spirit of the Constitution, by itself, is enough atrocity to trigger judicial intervention. Indeed, there are some constitutional law writers who contend that the validity of an executive issuance cannot be challenged until the administrative agency charged with administering the order has acted in a manner that violates the law or the Constitution. Happily, the Court, in this Decision, unmistakably resolved to strike down this theory.</w:t>
      </w:r>
      <w:r w:rsidDel="00000000" w:rsidR="00000000" w:rsidRPr="00000000">
        <w:rPr>
          <w:rFonts w:ascii="Georgia" w:cs="Georgia" w:eastAsia="Georgia" w:hAnsi="Georgia"/>
          <w:sz w:val="22"/>
          <w:szCs w:val="22"/>
          <w:vertAlign w:val="superscript"/>
        </w:rPr>
        <w:footnoteReference w:customMarkFollows="0" w:id="141"/>
      </w:r>
      <w:r w:rsidDel="00000000" w:rsidR="00000000" w:rsidRPr="00000000">
        <w:rPr>
          <w:rtl w:val="0"/>
        </w:rPr>
      </w:r>
    </w:p>
    <w:p w:rsidR="00000000" w:rsidDel="00000000" w:rsidP="00000000" w:rsidRDefault="00000000" w:rsidRPr="00000000" w14:paraId="0000077E">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22</w:t>
      </w:r>
    </w:p>
    <w:p w:rsidR="00000000" w:rsidDel="00000000" w:rsidP="00000000" w:rsidRDefault="00000000" w:rsidRPr="00000000" w14:paraId="000007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Firestone Ceramics v. Court of Appeals: </w:t>
      </w:r>
    </w:p>
    <w:p w:rsidR="00000000" w:rsidDel="00000000" w:rsidP="00000000" w:rsidRDefault="00000000" w:rsidRPr="00000000" w14:paraId="000007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Sauce for the Poor Goose </w:t>
      </w:r>
    </w:p>
    <w:p w:rsidR="00000000" w:rsidDel="00000000" w:rsidP="00000000" w:rsidRDefault="00000000" w:rsidRPr="00000000" w14:paraId="000007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and the Rich Gander</w:t>
      </w:r>
    </w:p>
    <w:p w:rsidR="00000000" w:rsidDel="00000000" w:rsidP="00000000" w:rsidRDefault="00000000" w:rsidRPr="00000000" w14:paraId="000007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8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Constitution, in Article VIII of Section 4, expressly authorizes the Supreme Court to “sit en banc or, in its discretion, in divisions of three, five, or seven Members.” Pursuant to this mandate, the present Court has opted to sit en banc and in three Divisions composed of five members each. The Chief Justice presides over the Banc and over one Division. The two most senior justices! -- _ those who have served the Court longest among the remaining fourteen -- chair the two other Divisions. Each of the remaining twelve, in alternating seniority, is assigned a membership in one of the three Divisions.</w:t>
      </w:r>
    </w:p>
    <w:p w:rsidR="00000000" w:rsidDel="00000000" w:rsidP="00000000" w:rsidRDefault="00000000" w:rsidRPr="00000000" w14:paraId="0000078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Banc or full Court of 15 members and each Division of 5 deliberate on and decide cases independently of each other. Decisions, whether en banc or in division, are coequal judgments of the Supreme Court of the Philippines. The full Court of</w:t>
      </w:r>
      <w:r w:rsidDel="00000000" w:rsidR="00000000" w:rsidRPr="00000000">
        <w:rPr>
          <w:rFonts w:ascii="Georgia" w:cs="Georgia" w:eastAsia="Georgia" w:hAnsi="Georgia"/>
          <w:sz w:val="22"/>
          <w:szCs w:val="22"/>
          <w:vertAlign w:val="superscript"/>
        </w:rPr>
        <w:footnoteReference w:customMarkFollows="0" w:id="142"/>
      </w:r>
      <w:r w:rsidDel="00000000" w:rsidR="00000000" w:rsidRPr="00000000">
        <w:rPr>
          <w:rFonts w:ascii="Georgia" w:cs="Georgia" w:eastAsia="Georgia" w:hAnsi="Georgia"/>
          <w:sz w:val="22"/>
          <w:szCs w:val="22"/>
          <w:rtl w:val="0"/>
        </w:rPr>
        <w:t xml:space="preserve"> fifteen is not an appellate body that reviews, modifies or reverses the Divisions. Subject to the constitutional caveat that “no doctrine or principle of law laid down in a decision rendered en banc or in division may be modified or reversed except by the court sitting en banc,” a decision of a Division is as good a judgment as one rendered by the full Court. In this sense, some people say that there are really four Supreme Courts: the Banc and the three Divisions. Indeed, there have been complaints that sometimes the Divisions promulgate decisions that allegedly conflict with one another.</w:t>
      </w:r>
    </w:p>
    <w:p w:rsidR="00000000" w:rsidDel="00000000" w:rsidP="00000000" w:rsidRDefault="00000000" w:rsidRPr="00000000" w14:paraId="0000078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Further, the Constitution, in Article VIII of Section 4 (2), enumerates the instances which must be heard and decided en banc:</w:t>
      </w:r>
    </w:p>
    <w:p w:rsidR="00000000" w:rsidDel="00000000" w:rsidP="00000000" w:rsidRDefault="00000000" w:rsidRPr="00000000" w14:paraId="0000078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Those “involving the constitutionality of a treaty, international or executive agreement, or law”</w:t>
      </w:r>
    </w:p>
    <w:p w:rsidR="00000000" w:rsidDel="00000000" w:rsidP="00000000" w:rsidRDefault="00000000" w:rsidRPr="00000000" w14:paraId="0000078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“[AJll other cases which under the Rules of Court are required to be heard en banc, including those involving the constitutionality, application, or operation of presidential decrees, proclamations, orders, instructions, ordinances, and other regulations”</w:t>
      </w:r>
    </w:p>
    <w:p w:rsidR="00000000" w:rsidDel="00000000" w:rsidP="00000000" w:rsidRDefault="00000000" w:rsidRPr="00000000" w14:paraId="0000078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implication, the cases not included in the above enumeration may be heard and resolved by a Division. Indeed, a vast majority of cases are decided by the Divisions more than by the Banc. Statistics in the Annual Reports of the Supreme Court show that about 85 to 90 percent of all Supreme Court decisions are rendered by the Divisions and only the remaining 10-15 percent, by the Banc.</w:t>
      </w:r>
    </w:p>
    <w:p w:rsidR="00000000" w:rsidDel="00000000" w:rsidP="00000000" w:rsidRDefault="00000000" w:rsidRPr="00000000" w14:paraId="0000078B">
      <w:pPr>
        <w:rPr>
          <w:rFonts w:ascii="Georgia" w:cs="Georgia" w:eastAsia="Georgia" w:hAnsi="Georgia"/>
          <w:sz w:val="22"/>
          <w:szCs w:val="22"/>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 actual practice, how are cases assigned to the</w:t>
      </w:r>
      <w:r w:rsidDel="00000000" w:rsidR="00000000" w:rsidRPr="00000000">
        <w:rPr>
          <w:rFonts w:ascii="Georgia" w:cs="Georgia" w:eastAsia="Georgia" w:hAnsi="Georgia"/>
          <w:sz w:val="22"/>
          <w:szCs w:val="22"/>
          <w:rtl w:val="0"/>
        </w:rPr>
        <w:t xml:space="preserve"> Banc and to the Divisions? As soon as a petition or an appeal is filed, the SC’s Raffle Committee immediately peruses it and makes a determination as to whether, on the basis of the issues raised, the case should go to the Banc. Such determination is preliminary in nature, and the Division to which the case has initially been raffled may still refer it to the banc.</w:t>
      </w:r>
    </w:p>
    <w:p w:rsidR="00000000" w:rsidDel="00000000" w:rsidP="00000000" w:rsidRDefault="00000000" w:rsidRPr="00000000" w14:paraId="0000078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Referral to the Banc of cases previously assigned to a Division is governed by Circular 2-89, as amended by a full Court Resolution dated November 18, 1993, in which the following “were considered to be en banc cases”:</w:t>
      </w:r>
    </w:p>
    <w:p w:rsidR="00000000" w:rsidDel="00000000" w:rsidP="00000000" w:rsidRDefault="00000000" w:rsidRPr="00000000" w14:paraId="0000078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Cases in which the constitutionality or validity of any treaty, international or executive agreement, law, executive order, or presidential decree, proclamation, order, instruction, ordinance, or regulation is in question;</w:t>
      </w:r>
    </w:p>
    <w:p w:rsidR="00000000" w:rsidDel="00000000" w:rsidP="00000000" w:rsidRDefault="00000000" w:rsidRPr="00000000" w14:paraId="0000078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Criminal cases in which the appealed decision imposes the death penalty;</w:t>
      </w:r>
    </w:p>
    <w:p w:rsidR="00000000" w:rsidDel="00000000" w:rsidP="00000000" w:rsidRDefault="00000000" w:rsidRPr="00000000" w14:paraId="0000078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Cases raising novel questions of law;</w:t>
      </w:r>
    </w:p>
    <w:p w:rsidR="00000000" w:rsidDel="00000000" w:rsidP="00000000" w:rsidRDefault="00000000" w:rsidRPr="00000000" w14:paraId="0000079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Cases affecting ambassadors, other public ministers and consuls;</w:t>
      </w:r>
    </w:p>
    <w:p w:rsidR="00000000" w:rsidDel="00000000" w:rsidP="00000000" w:rsidRDefault="00000000" w:rsidRPr="00000000" w14:paraId="0000079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Cases involving decisions, resolutions or orders of the Civil Service Commission, Commission on Elections, and Commission on Audit;</w:t>
      </w:r>
    </w:p>
    <w:p w:rsidR="00000000" w:rsidDel="00000000" w:rsidP="00000000" w:rsidRDefault="00000000" w:rsidRPr="00000000" w14:paraId="0000079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Cases where the penalty to be imposed is the dismissal of a judge, officer or employee of the judiciary, disbarment of a lawyer, or either the suspension of any of them for a period of more than one (1) year or a fine exceeding P10,000 or both;</w:t>
      </w:r>
    </w:p>
    <w:p w:rsidR="00000000" w:rsidDel="00000000" w:rsidP="00000000" w:rsidRDefault="00000000" w:rsidRPr="00000000" w14:paraId="0000079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Cases where a doctrine or principle laid down by the court en banc or in division may be modified or reversed;</w:t>
      </w:r>
    </w:p>
    <w:p w:rsidR="00000000" w:rsidDel="00000000" w:rsidP="00000000" w:rsidRDefault="00000000" w:rsidRPr="00000000" w14:paraId="0000079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8. Cases assigned to a division which in the opinion of at least three (3) members thereof merit the attention of the court en banc and are acceptable to a majority of the actual membership of the court en banc; and</w:t>
      </w:r>
    </w:p>
    <w:p w:rsidR="00000000" w:rsidDel="00000000" w:rsidP="00000000" w:rsidRDefault="00000000" w:rsidRPr="00000000" w14:paraId="0000079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All other cases as the court en banc by a majority of its actual membership may deem of sufficient importance to merit its attention.”</w:t>
      </w:r>
    </w:p>
    <w:p w:rsidR="00000000" w:rsidDel="00000000" w:rsidP="00000000" w:rsidRDefault="00000000" w:rsidRPr="00000000" w14:paraId="0000079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the foregoing guidelines, notably Item 8, the Banc has routinely taken over cases referred to it by at least three members of a Division.</w:t>
      </w:r>
    </w:p>
    <w:p w:rsidR="00000000" w:rsidDel="00000000" w:rsidP="00000000" w:rsidRDefault="00000000" w:rsidRPr="00000000" w14:paraId="0000079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The application of Circular 2-89, as amended, was put to a test in Firestone Ceramics v. Court of Appeals? and its companion, Republic v. Court of Appeals. These cases were consolidated, raffled to and decided by the Third Division? on September.2, 1999. In a ponencia written by Justice Minerva P. Gonzaga-Reyes, the Division unanimously denied the Petitions and held that the subject land belonged to private respondents.</w:t>
      </w:r>
    </w:p>
    <w:p w:rsidR="00000000" w:rsidDel="00000000" w:rsidP="00000000" w:rsidRDefault="00000000" w:rsidRPr="00000000" w14:paraId="0000079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Thereafter, both the government and the private petitioners filed separate (1) Motions for Reconsideration and (2) Motions to Refer the Cases to the Court en banc.</w:t>
      </w:r>
      <w:r w:rsidDel="00000000" w:rsidR="00000000" w:rsidRPr="00000000">
        <w:rPr>
          <w:rFonts w:ascii="Georgia" w:cs="Georgia" w:eastAsia="Georgia" w:hAnsi="Georgia"/>
          <w:sz w:val="22"/>
          <w:szCs w:val="22"/>
          <w:vertAlign w:val="superscript"/>
        </w:rPr>
        <w:footnoteReference w:customMarkFollows="0" w:id="143"/>
      </w:r>
      <w:r w:rsidDel="00000000" w:rsidR="00000000" w:rsidRPr="00000000">
        <w:rPr>
          <w:rFonts w:ascii="Georgia" w:cs="Georgia" w:eastAsia="Georgia" w:hAnsi="Georgia"/>
          <w:sz w:val="22"/>
          <w:szCs w:val="22"/>
          <w:vertAlign w:val="superscript"/>
        </w:rPr>
        <w:footnoteReference w:customMarkFollows="0" w:id="144"/>
      </w:r>
      <w:r w:rsidDel="00000000" w:rsidR="00000000" w:rsidRPr="00000000">
        <w:rPr>
          <w:rtl w:val="0"/>
        </w:rPr>
      </w:r>
    </w:p>
    <w:p w:rsidR="00000000" w:rsidDel="00000000" w:rsidP="00000000" w:rsidRDefault="00000000" w:rsidRPr="00000000" w14:paraId="0000079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a vote of 4-1, with Justice Fidel P. Purisima casting the lone negative vote, the Third Division rejected the Motion to Refer the Cases to the full Court, because the movants had utterly failed to adduce any legal reason for such referral. Subsequently, at the instance of Justice Purisima, the Court en banc, in a Resolution dated June 28, 2000, decided to yank the cases out of and against the will of the said Division, and “treated [them] as en banc cases.” The Banc cited paragraph 9 of Circular 2-89 and justified its extraordinary takeover in this wise:</w:t>
      </w:r>
    </w:p>
    <w:p w:rsidR="00000000" w:rsidDel="00000000" w:rsidP="00000000" w:rsidRDefault="00000000" w:rsidRPr="00000000" w14:paraId="0000079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cases at bar involve a vast tract of land with an area of about 99 hectares x x x which ha[s] been adjudicated to private individuals by a court alleged to be without jurisdiction.” The ponencia of Justice Reyes allegedly “does not indicate the classification of the land in question x x x.”</w:t>
      </w:r>
    </w:p>
    <w:p w:rsidR="00000000" w:rsidDel="00000000" w:rsidP="00000000" w:rsidRDefault="00000000" w:rsidRPr="00000000" w14:paraId="0000079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“subject cases are of sufficient importance meriting the action and decision of the whole Court.”</w:t>
      </w:r>
    </w:p>
    <w:p w:rsidR="00000000" w:rsidDel="00000000" w:rsidP="00000000" w:rsidRDefault="00000000" w:rsidRPr="00000000" w14:paraId="0000079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Eight justices (CJ Davide Jr.; JJ Bellosillo, Kapunan, Mendoza, Purisima, Buena, Santiago and De Leon) voted for the Purisima proposal and seven (JJ Melo, Puno, Vitug, Panganiban, Quisumbing, Pardo and Reyes) voted against it. Justice Reyes, author of the assailed Third Division Decision, wrote the main Dissenting Opinion. She pointed out the following:</w:t>
      </w:r>
    </w:p>
    <w:p w:rsidR="00000000" w:rsidDel="00000000" w:rsidP="00000000" w:rsidRDefault="00000000" w:rsidRPr="00000000" w14:paraId="0000079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fact alone that the property involved covers an area of 99 hectares does not provide a cogent: reason to elevate the cases to the Court en banc. Nowhere in the extant guidelines for referral to the Court en banc is the value of the property subject of the case relevant to determine whether the Division should refer a matter to the Court en banc. Moreover, the validity of OCT No. 4216, which petitioner Republic raised as a principal issue in the instant Petition, had already been long settled by final judgments of this Court in three (3) cases.”</w:t>
      </w:r>
    </w:p>
    <w:p w:rsidR="00000000" w:rsidDel="00000000" w:rsidP="00000000" w:rsidRDefault="00000000" w:rsidRPr="00000000" w14:paraId="0000079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 Motion for Reconsideration [of] the Decision unanimously adopted by the Third Division on September 2, 1999 is still pending. If there is any error to be rectified in the said Decision, the matter should be left to the sound judgment of the members of the Division which promulgated the Decision unless there is demonstrated incapacity or disqualification on the part of its members to render a fair and just resolution of the Motion for Reconsideration.”</w:t>
      </w:r>
    </w:p>
    <w:p w:rsidR="00000000" w:rsidDel="00000000" w:rsidP="00000000" w:rsidRDefault="00000000" w:rsidRPr="00000000" w14:paraId="0000079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- 3. The Court en banc is not an appellate court to which a judgment or a decision may be appealed. A decision of a Division is a decision of the Court itself. A Division is not inferior but coequal to the Banc.</w:t>
      </w:r>
    </w:p>
    <w:p w:rsidR="00000000" w:rsidDel="00000000" w:rsidP="00000000" w:rsidRDefault="00000000" w:rsidRPr="00000000" w14:paraId="000007A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The “Resolution dated November 18, 1993 is essentially an amendment to Sections 15 and 16, Rule 136 of the Rules of Court which deals with the form (‘unglazed paper,’ margins, number of copies, etc.) of unprinted and printed papers to be filed with this Court. This Resolution was clearly not intended to lay down new guidelines or rules for referral to the Court en banc of cases [previously] assigned to a Division. Thus, the principle that the Court en banc is not an appellate court to which decisions or resolutions of a Division may be appealed could not have been intended to be abrogated. Article VIII, Section 4 of the Constitution, earlier quoted, expressly provides that ‘when the required number (the concurrence of at least three members of the Division) is not obtained, the case shall be decided en banc.’ The obvious contemplation is that when the required vote of at least three members is obtained, the banc’s participation is not called for.”</w:t>
      </w:r>
    </w:p>
    <w:p w:rsidR="00000000" w:rsidDel="00000000" w:rsidP="00000000" w:rsidRDefault="00000000" w:rsidRPr="00000000" w14:paraId="000007A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“The Court en banc should be shielded from the importunings of litigants who perceive themselves aggrieved by a decision of a Division of the court and resort to the convenience of an appeal to the Court en banc on the plea that its case is ‘of sufficient importance to merit its attention.’”</w:t>
      </w:r>
    </w:p>
    <w:p w:rsidR="00000000" w:rsidDel="00000000" w:rsidP="00000000" w:rsidRDefault="00000000" w:rsidRPr="00000000" w14:paraId="000007A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Reynato S. Puno and I rendered separate Dissents. In his one-page Opinion, J. Puno said that inasmuch as the Third Division “intends to hear the Motion for Reconsideration filed by the Republic,” then the “Court en banc should defer its actions over its action to assume jurisdiction over the case at bar.”</w:t>
      </w:r>
    </w:p>
    <w:p w:rsidR="00000000" w:rsidDel="00000000" w:rsidP="00000000" w:rsidRDefault="00000000" w:rsidRPr="00000000" w14:paraId="000007A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 my part, I argued: “[W]ith due respect, the majority has not given any cogent or compelling reason” for its unprecedented takeover. “Its Resolution, penned by Justice Purisima, simply pontificates that ‘these consolidated cases are of sufficient importance to merit the attention and disposition of the entire Court’ without stating why. x x x. If at all, the lame excuse given that the ‘subject Decision [promulgated by the Third Division] does not clearly indicate the classification of the land’ is merely an argument why the pending Motion for Reconsideration should be granted, not why the banc should take over this case.”</w:t>
      </w:r>
    </w:p>
    <w:p w:rsidR="00000000" w:rsidDel="00000000" w:rsidP="00000000" w:rsidRDefault="00000000" w:rsidRPr="00000000" w14:paraId="000007A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what specially disturbed and saddened me was the preferential treatment the Court accorded the private petitioners here, as compared with that given to the farmers who were petitioners in Fortich v.</w:t>
      </w:r>
    </w:p>
    <w:p w:rsidR="00000000" w:rsidDel="00000000" w:rsidP="00000000" w:rsidRDefault="00000000" w:rsidRPr="00000000" w14:paraId="000007A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Corona.* Let me quote my anguish in what I believed was a “double standard” of justice tilted against the poor:</w:t>
      </w:r>
    </w:p>
    <w:p w:rsidR="00000000" w:rsidDel="00000000" w:rsidP="00000000" w:rsidRDefault="00000000" w:rsidRPr="00000000" w14:paraId="000007A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celebrated Sumilao farmer’s case, a similar motion to refer to the full Court was turned down by the Second Division by a vote of 3-1. Arguing that the Division’s earlier vote of 2-2 on the Motion for Reconsideration was not decisive, Justice Jose A.R. Melo (who was then a member of the Second Division) subsequently asked the banc to take over the case. Justice Melo argued that under Article VIII, Section 4(3) of the Constitution, ‘[c]ases or matters heard by a division shall be decided or resolved with the concurrence of a majority of the members who actually took part in the deliberations on the issues in the case and voted thereon, and in no case without the concurrence of at least three of such members.’ Since the Motion for Reconsideration did not obtain the required three votes in the Division, he added that the banc should thus take over and resolve the impasse. In other words, Justice Melo presented a genuine ‘question of sufficient importance’ -- which the Second Division was not in a position to resolve -- to justify a takeover by the banc. Yet, the full Court turned down his proposal. Only Justice Vitug and I supported Justice Melo.</w:t>
      </w:r>
    </w:p>
    <w:p w:rsidR="00000000" w:rsidDel="00000000" w:rsidP="00000000" w:rsidRDefault="00000000" w:rsidRPr="00000000" w14:paraId="000007A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 therefore cannot understand why the banc is now taking over this case against the wishes of the Third Division. It turned down</w:t>
      </w:r>
    </w:p>
    <w:p w:rsidR="00000000" w:rsidDel="00000000" w:rsidP="00000000" w:rsidRDefault="00000000" w:rsidRPr="00000000" w14:paraId="000007A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GRNo. 131457, April 24, 1998, November 17, 1998 and August 19, 1999, the poor farmers’ plea and the Melo proposal. Why then should the banc grant the not-so-poor private petitioners’ prayer here? Why then should it approve the groundless Purisima proposal? At the very least, if it should take over this case, then it should likewise assume jurisdiction over the farmer’s suit. After all, the vote in the Motion for Reconsideration in that case was two in favor and two against, while in the present case, the Third Division has not even voted on the plea for reconsideration. In other words, there was sufficient reason for the banc to take over the Sumilao problem because of the 2-2 vote of the Division. Here, no cogent reason whatsoever -other than the motherhood peroration that the case was ‘of sufficient importance’ -- is given by the majority.”</w:t>
      </w:r>
    </w:p>
    <w:p w:rsidR="00000000" w:rsidDel="00000000" w:rsidP="00000000" w:rsidRDefault="00000000" w:rsidRPr="00000000" w14:paraId="000007A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concluded my Dissent with a clarion call for equal justice for the “poor goose” and “the rich gander” in this language:</w:t>
      </w:r>
    </w:p>
    <w:p w:rsidR="00000000" w:rsidDel="00000000" w:rsidP="00000000" w:rsidRDefault="00000000" w:rsidRPr="00000000" w14:paraId="000007A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“Having taken over this case, the banc -- in the name of equal justice -- should also take over the Sumilao farmers’ Petition. But having rejected their case, then it should also turn down this one. Sauce for the poor goose should be the same sauce for the rich gander. That is simple, equal justice for all.”</w:t>
      </w:r>
    </w:p>
    <w:p w:rsidR="00000000" w:rsidDel="00000000" w:rsidP="00000000" w:rsidRDefault="00000000" w:rsidRPr="00000000" w14:paraId="000007A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way of postscript,&gt; may I add that this Resolution of the Banc, passed by an extraordinary 8-. 7 vote, contravened the unanimous en banc Resolution in AM No. 99-8-06-SC, promulgated on February 15,</w:t>
      </w:r>
    </w:p>
    <w:p w:rsidR="00000000" w:rsidDel="00000000" w:rsidP="00000000" w:rsidRDefault="00000000" w:rsidRPr="00000000" w14:paraId="000007A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See also “Another Dubious Decision” by former Justice Isagani A. Cruz, Philippine Daily Inquirer, July 9, 2000.</w:t>
      </w:r>
    </w:p>
    <w:p w:rsidR="00000000" w:rsidDel="00000000" w:rsidP="00000000" w:rsidRDefault="00000000" w:rsidRPr="00000000" w14:paraId="000007A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2000, entitled “Rules on Who Shall Resolve Motions for Reconsiderations in cases assigned to the Divisions of the Court,” which clearly provided that “motions for reconsiderations” of Divisions shall be acted upon by the Division itself, not by the banc: The Resolution reads, in part, as follows:</w:t>
      </w:r>
    </w:p>
    <w:p w:rsidR="00000000" w:rsidDel="00000000" w:rsidP="00000000" w:rsidRDefault="00000000" w:rsidRPr="00000000" w14:paraId="000007A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Motions for reconsideration of a decision or of a signed resolution shall be acted upon by the ponente and the other members of the Division, whether special or regular, who participated in the rendition of the decision or signed resolution sought to be reconsidered, irrespective of whether or not such members are already in other divisions at the time the motion for reconsideration is filed or acted upon; for this purpose, they shall be deemed constituted as a special division of the division to which the ponente belonged at the time of promulgation of the decision or the signed resolution.”</w:t>
      </w:r>
    </w:p>
    <w:p w:rsidR="00000000" w:rsidDel="00000000" w:rsidP="00000000" w:rsidRDefault="00000000" w:rsidRPr="00000000" w14:paraId="000007A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B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23</w:t>
      </w:r>
    </w:p>
    <w:p w:rsidR="00000000" w:rsidDel="00000000" w:rsidP="00000000" w:rsidRDefault="00000000" w:rsidRPr="00000000" w14:paraId="000007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Basher v. Comelec: </w:t>
      </w:r>
    </w:p>
    <w:p w:rsidR="00000000" w:rsidDel="00000000" w:rsidP="00000000" w:rsidRDefault="00000000" w:rsidRPr="00000000" w14:paraId="000007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Resolving “Insignificant Cases”</w:t>
      </w:r>
    </w:p>
    <w:p w:rsidR="00000000" w:rsidDel="00000000" w:rsidP="00000000" w:rsidRDefault="00000000" w:rsidRPr="00000000" w14:paraId="000007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B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Chapter 1, “Problems and Solutions,” I wrote: “Sometimes reaching the Supreme Court is the review of cases involving the collection of a few hundred pesos, the ejectment of a persistent tenant, the illegal dismissal of a clerk, the slander by a cantankerous woman, or the election protest of a barangay chairman.”</w:t>
      </w:r>
    </w:p>
    <w:p w:rsidR="00000000" w:rsidDel="00000000" w:rsidP="00000000" w:rsidRDefault="00000000" w:rsidRPr="00000000" w14:paraId="000007B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Well, some people may consider Basher v. Comelec' as an example of an “insignificant” case that reached the Supreme Court and was even decided by a split vote. Insignificant it may be to some, but the Court took it up anyway because it could not let an injustice pass. In the process, it laid down some doctrines which, I hope, will guide future elections.</w:t>
      </w:r>
    </w:p>
    <w:p w:rsidR="00000000" w:rsidDel="00000000" w:rsidP="00000000" w:rsidRDefault="00000000" w:rsidRPr="00000000" w14:paraId="000007B7">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B8">
      <w:pP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The Facts</w:t>
      </w:r>
    </w:p>
    <w:p w:rsidR="00000000" w:rsidDel="00000000" w:rsidP="00000000" w:rsidRDefault="00000000" w:rsidRPr="00000000" w14:paraId="000007B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Hadji Rasul Batador Basher and Abulkair Ampatua were both candidates for punong barangay</w:t>
      </w:r>
      <w:r w:rsidDel="00000000" w:rsidR="00000000" w:rsidRPr="00000000">
        <w:rPr>
          <w:rFonts w:ascii="Georgia" w:cs="Georgia" w:eastAsia="Georgia" w:hAnsi="Georgia"/>
          <w:sz w:val="22"/>
          <w:szCs w:val="22"/>
          <w:vertAlign w:val="superscript"/>
        </w:rPr>
        <w:footnoteReference w:customMarkFollows="0" w:id="145"/>
      </w:r>
      <w:r w:rsidDel="00000000" w:rsidR="00000000" w:rsidRPr="00000000">
        <w:rPr>
          <w:rFonts w:ascii="Georgia" w:cs="Georgia" w:eastAsia="Georgia" w:hAnsi="Georgia"/>
          <w:sz w:val="22"/>
          <w:szCs w:val="22"/>
          <w:rtl w:val="0"/>
        </w:rPr>
        <w:t xml:space="preserve"> in Maidan, Tugaya, Lanao del Sur, during the May 12, 1997 barangay election. The election was declared a failure and a special one was set for June 12, 1997. Again it failed and was reset to August 30, 1997.</w:t>
      </w:r>
    </w:p>
    <w:p w:rsidR="00000000" w:rsidDel="00000000" w:rsidP="00000000" w:rsidRDefault="00000000" w:rsidRPr="00000000" w14:paraId="000007B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According to the Commission on Elections, the voting started only around 9:00 p.m. on August 30, 1997, because of the prevailing tension in the said locality. Election Officer Diana Datu-Imam reported that she had allegedly been advised by some religious leaders not to proceed with the election because “it might trigger bloodshed.” She also claimed that the town mayor, “being too hysterical, yelled and threatened me to declare [a] failure of election in Maidan.” Subsequently, the armed followers of the mayor pointed their guns at her and her military escorts, who responded in like manner towards the former. The parties were then pacified at the PNP headquarters. With the arrival of additional troops, the election officer proceeded to Maidan to conduct the election starting at 9:00 p.m. until early morning of the following day. The holding of the election at that particular time was allegedly announced “over the mosque.”?</w:t>
      </w:r>
    </w:p>
    <w:p w:rsidR="00000000" w:rsidDel="00000000" w:rsidP="00000000" w:rsidRDefault="00000000" w:rsidRPr="00000000" w14:paraId="000007B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tally sheet for the said “election” showed the following results: Ampatua — 250 votes; Basher — 15 votes; and Baulo Abdul Razul, a third candidate — 10 votes.* Ampatua was proclaimed winner.</w:t>
      </w:r>
    </w:p>
    <w:p w:rsidR="00000000" w:rsidDel="00000000" w:rsidP="00000000" w:rsidRDefault="00000000" w:rsidRPr="00000000" w14:paraId="000007B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Basher then filed a Petition before the Comelec, praying that the election be declared a failure. Alleging that no election was conducted in the place and at the time prescribed by law, he narrated that there was a? Narrative Report of Election Officer Diana T. Datu-Imam, cited in the assailed</w:t>
      </w:r>
      <w:r w:rsidDel="00000000" w:rsidR="00000000" w:rsidRPr="00000000">
        <w:rPr>
          <w:rFonts w:ascii="Georgia" w:cs="Georgia" w:eastAsia="Georgia" w:hAnsi="Georgia"/>
          <w:sz w:val="22"/>
          <w:szCs w:val="22"/>
          <w:vertAlign w:val="superscript"/>
        </w:rPr>
        <w:footnoteReference w:customMarkFollows="0" w:id="146"/>
      </w:r>
      <w:r w:rsidDel="00000000" w:rsidR="00000000" w:rsidRPr="00000000">
        <w:rPr>
          <w:rFonts w:ascii="Georgia" w:cs="Georgia" w:eastAsia="Georgia" w:hAnsi="Georgia"/>
          <w:sz w:val="22"/>
          <w:szCs w:val="22"/>
          <w:rtl w:val="0"/>
        </w:rPr>
        <w:t xml:space="preserve"> dispute that day (August 30, 1997) among the candidates regarding the venue of the election in the lone voting precinct of the barangay. In order to avoid bloodshed, they ultimately agreed that no election would be conducted. Accordingly, the election officer turned over, for safekeeping, the ballot box containing election paraphernalia to the acting station commander or officer in charge (OIC) of the Philippine National Police (PNP).</w:t>
      </w:r>
    </w:p>
    <w:p w:rsidR="00000000" w:rsidDel="00000000" w:rsidP="00000000" w:rsidRDefault="00000000" w:rsidRPr="00000000" w14:paraId="000007B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following day, Basher and the third candidate were surprised to learn that the election officer had directed the Board of Election Tellers to conduct the election and to fill up the election returns and the certificates of canvass at the residence of the former mayor on the night of August 30, 1997. Basher also stated that no announcement to hold the election at the former mayor's house that night had ever been made. The Comelec dismissed the Petition. Hence, Basher elevated the problem to the Supreme Court.</w:t>
      </w:r>
    </w:p>
    <w:p w:rsidR="00000000" w:rsidDel="00000000" w:rsidP="00000000" w:rsidRDefault="00000000" w:rsidRPr="00000000" w14:paraId="000007B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case was originally assigned to Justice Sabino R. De Leon Jr., who recommended that the election of Ampatua, which the Comelec had upheld, be affirmed. During the deliberations, however, I dissented and argued that the “electoral exercise,” which Ampatua had allegedly won, was irregular because it had NOT been held at the time, in the place, and on the date officially designated by the law. Voting 11-2,5 with one justice taking “no part” and another “abroad on official business,” the Court sided with me. Hence, my erstwhile Dissent was converted into a ponencia. Here was how it explained why the disputed “election” was</w:t>
      </w:r>
      <w:r w:rsidDel="00000000" w:rsidR="00000000" w:rsidRPr="00000000">
        <w:rPr>
          <w:rFonts w:ascii="Georgia" w:cs="Georgia" w:eastAsia="Georgia" w:hAnsi="Georgia"/>
          <w:sz w:val="22"/>
          <w:szCs w:val="22"/>
          <w:vertAlign w:val="superscript"/>
        </w:rPr>
        <w:footnoteReference w:customMarkFollows="0" w:id="147"/>
      </w:r>
      <w:r w:rsidDel="00000000" w:rsidR="00000000" w:rsidRPr="00000000">
        <w:rPr>
          <w:rFonts w:ascii="Georgia" w:cs="Georgia" w:eastAsia="Georgia" w:hAnsi="Georgia"/>
          <w:sz w:val="22"/>
          <w:szCs w:val="22"/>
          <w:vertAlign w:val="superscript"/>
        </w:rPr>
        <w:footnoteReference w:customMarkFollows="0" w:id="148"/>
      </w:r>
      <w:r w:rsidDel="00000000" w:rsidR="00000000" w:rsidRPr="00000000">
        <w:rPr>
          <w:rFonts w:ascii="Georgia" w:cs="Georgia" w:eastAsia="Georgia" w:hAnsi="Georgia"/>
          <w:sz w:val="22"/>
          <w:szCs w:val="22"/>
          <w:rtl w:val="0"/>
        </w:rPr>
        <w:t xml:space="preserve"> illegal, irregular and void: “Election Situs Was Illegal</w:t>
      </w:r>
    </w:p>
    <w:p w:rsidR="00000000" w:rsidDel="00000000" w:rsidP="00000000" w:rsidRDefault="00000000" w:rsidRPr="00000000" w14:paraId="000007B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the place where the voting was conducted was illegal. Section 42 of the Omnibus Election Code provides that ‘[t]he chairman of the board of election tellers shall designate the public school or any other public building within the barangay to be used as polling place in case the barangay has one election precinct x x x.’ Petitioner, citing an Affidavit® supposedly executed by the members of the Board of Election Tellers (BET) for Barangay Maidan, alleges that the election of officials for said barangay was held at the residence of former Mayor Alang Sagusara Pukunun, which [was] located at Barangay Pandarianao, instead of the officially designated polling precinct at Cagayan Elementary School. If this allegation [is] true, such ‘election’ [could not have been] valid, as it was not held within the barangay of the officials who were being elected. On the other hand, it is admitted that there was a public school or building in Barangay Maidan — the Cagayan Elementary School — which was the earlier validly designated voting center.</w:t>
      </w:r>
    </w:p>
    <w:p w:rsidR="00000000" w:rsidDel="00000000" w:rsidP="00000000" w:rsidRDefault="00000000" w:rsidRPr="00000000" w14:paraId="000007C0">
      <w:pPr>
        <w:rPr>
          <w:rFonts w:ascii="Georgia" w:cs="Georgia" w:eastAsia="Georgia" w:hAnsi="Georgia"/>
          <w:sz w:val="22"/>
          <w:szCs w:val="22"/>
          <w:vertAlign w:val="superscript"/>
        </w:rPr>
      </w:pPr>
      <w:r w:rsidDel="00000000" w:rsidR="00000000" w:rsidRPr="00000000">
        <w:rPr>
          <w:rFonts w:ascii="Georgia" w:cs="Georgia" w:eastAsia="Georgia" w:hAnsi="Georgia"/>
          <w:sz w:val="22"/>
          <w:szCs w:val="22"/>
          <w:rtl w:val="0"/>
        </w:rPr>
        <w:t xml:space="preserve">“While the BET members later repudiated their Affidavit, they [can] only claim that the election was held ‘in Barangay Maidan.” They, however, failed to specify the exact venue. In fact, to this date, even the respondents have failed to disclose where exactly the voting was conducted. This glaring omission definitely raises serious questions on whether the election was indeed held in a place allowed by law.</w:t>
      </w:r>
      <w:r w:rsidDel="00000000" w:rsidR="00000000" w:rsidRPr="00000000">
        <w:rPr>
          <w:rFonts w:ascii="Georgia" w:cs="Georgia" w:eastAsia="Georgia" w:hAnsi="Georgia"/>
          <w:sz w:val="22"/>
          <w:szCs w:val="22"/>
          <w:vertAlign w:val="superscript"/>
        </w:rPr>
        <w:footnoteReference w:customMarkFollows="0" w:id="149"/>
      </w:r>
      <w:r w:rsidDel="00000000" w:rsidR="00000000" w:rsidRPr="00000000">
        <w:rPr>
          <w:rtl w:val="0"/>
        </w:rPr>
      </w:r>
    </w:p>
    <w:p w:rsidR="00000000" w:rsidDel="00000000" w:rsidP="00000000" w:rsidRDefault="00000000" w:rsidRPr="00000000" w14:paraId="000007C1">
      <w:pPr>
        <w:rPr>
          <w:rFonts w:ascii="Georgia" w:cs="Georgia" w:eastAsia="Georgia" w:hAnsi="Georgia"/>
          <w:i w:val="1"/>
          <w:iCs w:val="1"/>
          <w:sz w:val="22"/>
          <w:szCs w:val="22"/>
          <w:vertAlign w:val="superscript"/>
        </w:rPr>
      </w:pPr>
      <w:r w:rsidDel="00000000" w:rsidR="00000000" w:rsidRPr="00000000">
        <w:rPr>
          <w:rtl w:val="0"/>
        </w:rPr>
      </w:r>
    </w:p>
    <w:p w:rsidR="00000000" w:rsidDel="00000000" w:rsidP="00000000" w:rsidRDefault="00000000" w:rsidRPr="00000000" w14:paraId="000007C2">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“Voting Time Was Likewise Irregular</w:t>
      </w:r>
    </w:p>
    <w:p w:rsidR="00000000" w:rsidDel="00000000" w:rsidP="00000000" w:rsidRDefault="00000000" w:rsidRPr="00000000" w14:paraId="000007C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as to the time for voting, the law provides that ‘[t]he casting of votes shall start at seven o'clock in the morning and shall end at three o’clock in the afternoon, except when there are voters present within thirty meters in front of the polling place who have not yet cast their votes, in which case the voting shall continue but only to allow said voters to cast their votes without interruption.’® Section 22, Article IV of Comelec Resolution No. 2971 also specifies that the voting hours shall start promptly at 7:00 a.m. and end at 3:00 p.m. of the same day.</w:t>
      </w:r>
    </w:p>
    <w:p w:rsidR="00000000" w:rsidDel="00000000" w:rsidP="00000000" w:rsidRDefault="00000000" w:rsidRPr="00000000" w14:paraId="000007C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“However, the ‘election’ for Barangay Maidan officials was supposed to have been held after 9:00 p-m. of August 30, 1997 until the wee hours of the following day. Certainly, such schedule was not in accordance with law or the Comelec Rules. The Comelec erred in relying on the second sentence of Section 22, Article IV of Comelec Resolution 2971, which states that ‘[i]f at three o’clock [in the afternoon], there are still voters within thirty meters in front of the polling place who have not cast their votes, the voting shall continue to allow said voters to cast their votes without interruption.’ This sentence presupposes that the election commence[s] during the official time and is simply continued beyond 3:00 p.m. in order to accommodate voters who are within thirty meters of the polling place, already waiting for their turn to cast their votes. This is clearly the meaning and intent of the word continue — ‘to go on in a specified course of action or condition.” The action or condition already exists and is allowed to go on. Otherwise, the law</w:t>
      </w:r>
      <w:r w:rsidDel="00000000" w:rsidR="00000000" w:rsidRPr="00000000">
        <w:rPr>
          <w:rFonts w:ascii="Georgia" w:cs="Georgia" w:eastAsia="Georgia" w:hAnsi="Georgia"/>
          <w:sz w:val="22"/>
          <w:szCs w:val="22"/>
          <w:vertAlign w:val="superscript"/>
        </w:rPr>
        <w:footnoteReference w:customMarkFollows="0" w:id="150"/>
      </w:r>
      <w:r w:rsidDel="00000000" w:rsidR="00000000" w:rsidRPr="00000000">
        <w:rPr>
          <w:rFonts w:ascii="Georgia" w:cs="Georgia" w:eastAsia="Georgia" w:hAnsi="Georgia"/>
          <w:sz w:val="22"/>
          <w:szCs w:val="22"/>
          <w:rtl w:val="0"/>
        </w:rPr>
        <w:t xml:space="preserve"> should have stated that ‘the voting may also start even beyond 3:00 p.m. if there are voters within thirty meters in front of the polling place.’</w:t>
      </w:r>
    </w:p>
    <w:p w:rsidR="00000000" w:rsidDel="00000000" w:rsidP="00000000" w:rsidRDefault="00000000" w:rsidRPr="00000000" w14:paraId="000007C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strained interpretation espoused by the Comelec encourages the conduct of clandestine ‘elections,’ for it virtually authorizes the holding of elections beyond normal hours, even at midnight when circumstances could be more threatening and conducive to unlawful activities. On a doctrinal basis, such nocturnal electoral practice discourages the people’s exercise of their fundamental right of suffrage, by exposing them to the dangers concomitant to the dead of night, especially in far-flung barangays constantly threatened with rebel and military gunfires.</w:t>
      </w:r>
    </w:p>
    <w:p w:rsidR="00000000" w:rsidDel="00000000" w:rsidP="00000000" w:rsidRDefault="00000000" w:rsidRPr="00000000" w14:paraId="000007C6">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C7">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“Election Date Was Invalid</w:t>
      </w:r>
    </w:p>
    <w:p w:rsidR="00000000" w:rsidDel="00000000" w:rsidP="00000000" w:rsidRDefault="00000000" w:rsidRPr="00000000" w14:paraId="000007C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the Comelec scheduled the special election on August 30, 1997. Any suspension or postponement of an election is governed by Section 2 of RA 6679, which states that ‘[w]hen for any serious cause such as rebellion, insurrection, violence, terrorism, loss or destruction of election paraphernalia, and any analogous causes of such nature that the holding of a free, orderly and honest election should become impossible in any barangay, the Commission on Election motu proprio or upon sworn petition of ten (10) registered voters of a barangay, after summary proceedings of the existence of such grounds, shall suspend or postpone the election therein to a date reasonably close to the date of the election that is not held or is suspended or postponed, or which resulted in a failure to elect, but not later than thirty (30) days after the cessation of the cause for such suspension or</w:t>
      </w:r>
      <w:r w:rsidDel="00000000" w:rsidR="00000000" w:rsidRPr="00000000">
        <w:rPr>
          <w:rFonts w:ascii="Georgia" w:cs="Georgia" w:eastAsia="Georgia" w:hAnsi="Georgia"/>
          <w:sz w:val="22"/>
          <w:szCs w:val="22"/>
          <w:vertAlign w:val="superscript"/>
        </w:rPr>
        <w:footnoteReference w:customMarkFollows="0" w:id="151"/>
      </w:r>
      <w:r w:rsidDel="00000000" w:rsidR="00000000" w:rsidRPr="00000000">
        <w:rPr>
          <w:rFonts w:ascii="Georgia" w:cs="Georgia" w:eastAsia="Georgia" w:hAnsi="Georgia"/>
          <w:sz w:val="22"/>
          <w:szCs w:val="22"/>
          <w:rtl w:val="0"/>
        </w:rPr>
        <w:t xml:space="preserve"> postponement of the election or failure to elect, and in all cases not later than ninety (90) days from the date of the original election.’</w:t>
      </w:r>
    </w:p>
    <w:p w:rsidR="00000000" w:rsidDel="00000000" w:rsidP="00000000" w:rsidRDefault="00000000" w:rsidRPr="00000000" w14:paraId="000007C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“Election Officer Diana Datu-Imam of Tugaya, Lanao del Sur practically postponed the election in Barangay Maidan from the official original schedule of 7:00 a.m. to 3:00 p.m. of August 30, 1997 to 10:00 p.m. of August 30, 1997 until the early morning of August 31, 1997. She attempted to justify her postponement of the election by citing threats of violence and bloodshed in the said barangay. Allegedly because of the tension created by armed escorts of the municipal mayor and the military, Datu-Imam declared a failure of election in order ‘to ease their aggression.’ However, as election officer, she ha[d] no authority to declare a failure of election. Indeed, only the Comelec itself has legal authority to exercise such awesome power. An election officer alone, even with the agreement of the candidates, cannot validly postpone or suspend the elections.</w:t>
      </w:r>
    </w:p>
    <w:p w:rsidR="00000000" w:rsidDel="00000000" w:rsidP="00000000" w:rsidRDefault="00000000" w:rsidRPr="00000000" w14:paraId="000007CA">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CB">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“Election Postponement Was Invalid</w:t>
      </w:r>
    </w:p>
    <w:p w:rsidR="00000000" w:rsidDel="00000000" w:rsidP="00000000" w:rsidRDefault="00000000" w:rsidRPr="00000000" w14:paraId="000007C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“Fourth, Datu-Imam did not follow the procedure laid down by law for election postponement or. Suspension or the declaration of a failure of election. She narrated the circumstances surrounding her declaration as follows:"</w:t>
      </w:r>
    </w:p>
    <w:p w:rsidR="00000000" w:rsidDel="00000000" w:rsidP="00000000" w:rsidRDefault="00000000" w:rsidRPr="00000000" w14:paraId="000007C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I returned to [as]certain the situation in Maidan, the Mayor, being too hysterical, yelled and threatened me to declare [a] failure of elections in Maidan. When I insisted to personally confirm the probable cause of bloodshed (at Maidan), his armed followers /</w:t>
      </w:r>
      <w:r w:rsidDel="00000000" w:rsidR="00000000" w:rsidRPr="00000000">
        <w:rPr>
          <w:rFonts w:ascii="Georgia" w:cs="Georgia" w:eastAsia="Georgia" w:hAnsi="Georgia"/>
          <w:sz w:val="22"/>
          <w:szCs w:val="22"/>
          <w:vertAlign w:val="superscript"/>
        </w:rPr>
        <w:footnoteReference w:customMarkFollows="0" w:id="152"/>
      </w:r>
      <w:r w:rsidDel="00000000" w:rsidR="00000000" w:rsidRPr="00000000">
        <w:rPr>
          <w:rFonts w:ascii="Georgia" w:cs="Georgia" w:eastAsia="Georgia" w:hAnsi="Georgia"/>
          <w:sz w:val="22"/>
          <w:szCs w:val="22"/>
          <w:rtl w:val="0"/>
        </w:rPr>
        <w:t xml:space="preserve"> escorts pointed their guns [at] me and my escorts. Likewise my military escorts pointed their guns [at] the mayor and his men ‘Man to Man’. The Datus and religious leaders pacified us at the PNP Headquarters.</w:t>
      </w:r>
    </w:p>
    <w:p w:rsidR="00000000" w:rsidDel="00000000" w:rsidP="00000000" w:rsidRDefault="00000000" w:rsidRPr="00000000" w14:paraId="000007C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a couple of hours, the military officers and I agreed to adapt another strategy just to pursue with the elections in Maidan [by] hook or by crook. Considering that they forcibly took away from us the ballot box containing [the] paraphernalia of Maidan, I didn’t have any recourse but give them. I turned-over the ballot box to the Acting Chief of Police, Malik Bantuas with proper receipt, taking away from the box the CEF 2 &amp; 2-A, declaring verbally a failure of elections in Maidan just to ease their aggression and so that we could pull-out of the place freely.’</w:t>
      </w:r>
    </w:p>
    <w:p w:rsidR="00000000" w:rsidDel="00000000" w:rsidP="00000000" w:rsidRDefault="00000000" w:rsidRPr="00000000" w14:paraId="000007C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clearly appears from the very report of Datu-Imam to the Comelec that she did not conduct any proceeding, summary or otherwise, to find out whether any of the legal grounds for the suspension or postponement or the declaration of failure of the election actually existed in the barangay concerned.</w:t>
      </w:r>
    </w:p>
    <w:p w:rsidR="00000000" w:rsidDel="00000000" w:rsidP="00000000" w:rsidRDefault="00000000" w:rsidRPr="00000000" w14:paraId="000007D0">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7D1">
      <w:pPr>
        <w:rPr>
          <w:rFonts w:ascii="Georgia" w:cs="Georgia" w:eastAsia="Georgia" w:hAnsi="Georgia"/>
          <w:b w:val="1"/>
          <w:bCs w:val="1"/>
          <w:i w:val="1"/>
          <w:iCs w:val="1"/>
          <w:sz w:val="22"/>
          <w:szCs w:val="22"/>
        </w:rPr>
      </w:pPr>
      <w:r w:rsidDel="00000000" w:rsidR="00000000" w:rsidRPr="00000000">
        <w:rPr>
          <w:rFonts w:ascii="Georgia" w:cs="Georgia" w:eastAsia="Georgia" w:hAnsi="Georgia"/>
          <w:b w:val="1"/>
          <w:bCs w:val="1"/>
          <w:i w:val="1"/>
          <w:iCs w:val="1"/>
          <w:sz w:val="22"/>
          <w:szCs w:val="22"/>
          <w:rtl w:val="0"/>
        </w:rPr>
        <w:t xml:space="preserve">“Notice Was Irregular</w:t>
      </w:r>
    </w:p>
    <w:p w:rsidR="00000000" w:rsidDel="00000000" w:rsidP="00000000" w:rsidRDefault="00000000" w:rsidRPr="00000000" w14:paraId="000007D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and very significantly, the electorate was not given ample notice of the exact schedule and venue of the election. The election officer herself relates:"</w:t>
      </w:r>
    </w:p>
    <w:p w:rsidR="00000000" w:rsidDel="00000000" w:rsidP="00000000" w:rsidRDefault="00000000" w:rsidRPr="00000000" w14:paraId="000007D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the tension was slightly alleviated, I directed the military personnel to pull-out</w:t>
      </w:r>
      <w:r w:rsidDel="00000000" w:rsidR="00000000" w:rsidRPr="00000000">
        <w:rPr>
          <w:rFonts w:ascii="Georgia" w:cs="Georgia" w:eastAsia="Georgia" w:hAnsi="Georgia"/>
          <w:sz w:val="22"/>
          <w:szCs w:val="22"/>
          <w:vertAlign w:val="superscript"/>
        </w:rPr>
        <w:footnoteReference w:customMarkFollows="0" w:id="153"/>
      </w:r>
      <w:r w:rsidDel="00000000" w:rsidR="00000000" w:rsidRPr="00000000">
        <w:rPr>
          <w:rFonts w:ascii="Georgia" w:cs="Georgia" w:eastAsia="Georgia" w:hAnsi="Georgia"/>
          <w:sz w:val="22"/>
          <w:szCs w:val="22"/>
          <w:rtl w:val="0"/>
        </w:rPr>
        <w:t xml:space="preserve"> of the Municipio and withdr[a]w to a nearby Barangay (for safety) where some of the militaries (sic) were deployed. After planning and coordinating with the Batallion (sic) Commander, we waited for the additional troups (sic) that arrived at around 8:30 in the evening. At the stroke of 9:00 o’clock, we started for Maidan via the national Highway thru the Municipality of Balindong and others thru a short-cut way (sic) eastward of Tugaya. Utilizing the election paraphernalia earlier shipped by the Commission as I have requested (sic) and a ballot box from the PES, we went on with the election (after announcing it over the mosque) peacefully and [in an] orderly [manner] despite the tiredness (sic) and exhaustion felt by the people the whole day waiting [for] /expecting x x x the election as I ha[d] assured them earlier (sic). x x x.’</w:t>
      </w:r>
    </w:p>
    <w:p w:rsidR="00000000" w:rsidDel="00000000" w:rsidP="00000000" w:rsidRDefault="00000000" w:rsidRPr="00000000" w14:paraId="000007D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can be gleaned easily from the above report, the electorate of Barangay Maidan was not given due notice that the election would push through after 9:00 p.m. that same day. Apparently, the election officer's decision to hold the election on the night of August 30, 1997 was precipitate. Only after additional military troops had arrived at their site in a nearby barangay about 8:30 p.m. did the election officers proceed to Barangay Maidan. Arriving at Maidan, they allegedly proceeded to conduct the election ‘after announcing it over the mosque.’</w:t>
      </w:r>
    </w:p>
    <w:p w:rsidR="00000000" w:rsidDel="00000000" w:rsidP="00000000" w:rsidRDefault="00000000" w:rsidRPr="00000000" w14:paraId="000007D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“Such abbreviated announcement ‘over the mosque’ at such late hour did NOT constitute sufficient notice to the electorate. Consequently, not the entire electorate or even a respectable number could have known of the activity and actually participated therein or voluntarily and discerningly chosen not to have done so, —</w:t>
      </w:r>
    </w:p>
    <w:p w:rsidR="00000000" w:rsidDel="00000000" w:rsidP="00000000" w:rsidRDefault="00000000" w:rsidRPr="00000000" w14:paraId="000007D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the Court in Hassan v. Comelec® held that the notice given on the afternoon of the election day resetting the election to the following day and transferring its venue was ‘too short.’ We said that ‘[t]o require the voters to come to the polls on such short noticewas highly impracticable. x x x. It is essential to the validity of the election that the voters have notice in some form, either actual or constructive, of the time, place and purpose thereof." The time for holding it must be authoritatively designated in advance.’</w:t>
      </w:r>
    </w:p>
    <w:p w:rsidR="00000000" w:rsidDel="00000000" w:rsidP="00000000" w:rsidRDefault="00000000" w:rsidRPr="00000000" w14:paraId="000007D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case at bar, the announcement was made only minutes before the supposed voting. If [a] one-day notice was held to be insufficient in Hassan, the much shorter notice in the present case should all the more be declared wanting. It should in fact be equated with ‘no notice.’”</w:t>
      </w:r>
    </w:p>
    <w:p w:rsidR="00000000" w:rsidDel="00000000" w:rsidP="00000000" w:rsidRDefault="00000000" w:rsidRPr="00000000" w14:paraId="000007D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his Dissent, J. De Leon opined:</w:t>
      </w:r>
    </w:p>
    <w:p w:rsidR="00000000" w:rsidDel="00000000" w:rsidP="00000000" w:rsidRDefault="00000000" w:rsidRPr="00000000" w14:paraId="000007D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The election announcement made “in the mosque of Barangay Maidan whose population is predominantly Muslim living in the small territorial jurisdiction of said barangay” was sufficient. There was no evidence that said notice “resulted in the disenfranchisement of a substantial number of voters and that the votes not cast would materially affect the results of the election.”</w:t>
      </w:r>
      <w:r w:rsidDel="00000000" w:rsidR="00000000" w:rsidRPr="00000000">
        <w:rPr>
          <w:rFonts w:ascii="Georgia" w:cs="Georgia" w:eastAsia="Georgia" w:hAnsi="Georgia"/>
          <w:sz w:val="22"/>
          <w:szCs w:val="22"/>
          <w:vertAlign w:val="superscript"/>
        </w:rPr>
        <w:footnoteReference w:customMarkFollows="0" w:id="154"/>
      </w:r>
      <w:r w:rsidDel="00000000" w:rsidR="00000000" w:rsidRPr="00000000">
        <w:rPr>
          <w:rFonts w:ascii="Georgia" w:cs="Georgia" w:eastAsia="Georgia" w:hAnsi="Georgia"/>
          <w:sz w:val="22"/>
          <w:szCs w:val="22"/>
          <w:vertAlign w:val="superscript"/>
        </w:rPr>
        <w:footnoteReference w:customMarkFollows="0" w:id="155"/>
      </w:r>
      <w:r w:rsidDel="00000000" w:rsidR="00000000" w:rsidRPr="00000000">
        <w:rPr>
          <w:rFonts w:ascii="Georgia" w:cs="Georgia" w:eastAsia="Georgia" w:hAnsi="Georgia"/>
          <w:sz w:val="22"/>
          <w:szCs w:val="22"/>
          <w:vertAlign w:val="superscript"/>
        </w:rPr>
        <w:footnoteReference w:customMarkFollows="0" w:id="156"/>
      </w:r>
      <w:r w:rsidDel="00000000" w:rsidR="00000000" w:rsidRPr="00000000">
        <w:rPr>
          <w:rtl w:val="0"/>
        </w:rPr>
      </w:r>
    </w:p>
    <w:p w:rsidR="00000000" w:rsidDel="00000000" w:rsidP="00000000" w:rsidRDefault="00000000" w:rsidRPr="00000000" w14:paraId="000007D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 There was no adequate proof that the election was held in “the house of the former mayor”; and “this Court, not being a trier of facts, has to give due weight and credence to the findings of facts of the Comelec x x x” that the election was regularly conducted.</w:t>
      </w:r>
    </w:p>
    <w:p w:rsidR="00000000" w:rsidDel="00000000" w:rsidP="00000000" w:rsidRDefault="00000000" w:rsidRPr="00000000" w14:paraId="000007D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“x x x [C]ourts should be slow in nullifying elections. x x x.” Not proven by Basher were the conditions set by law to enable the Comelec “to declare a failure of elections: (1) that no voting has taken place in the precinct or precincts on the dates fixed by law or, even if there was voting, the election nevertheless result[ed] in a failure to elect; and (2) the votes not cast would affect the result of the election.”</w:t>
      </w:r>
    </w:p>
    <w:p w:rsidR="00000000" w:rsidDel="00000000" w:rsidP="00000000" w:rsidRDefault="00000000" w:rsidRPr="00000000" w14:paraId="000007D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bottom, I decided to include a discussion of Basher v. Comelec in this book to show that even “insignificant” cases get full attention from the Supreme Court, once it sees the need to correct an injustice and to lay down some jurisprudential teachings to guide lower tribunals in resolving future controversies.</w:t>
      </w:r>
    </w:p>
    <w:p w:rsidR="00000000" w:rsidDel="00000000" w:rsidP="00000000" w:rsidRDefault="00000000" w:rsidRPr="00000000" w14:paraId="000007DD">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Chapter 24</w:t>
      </w:r>
    </w:p>
    <w:p w:rsidR="00000000" w:rsidDel="00000000" w:rsidP="00000000" w:rsidRDefault="00000000" w:rsidRPr="00000000" w14:paraId="000007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Mercado v. Tan: Is a Judicial Declaration of </w:t>
      </w:r>
    </w:p>
    <w:p w:rsidR="00000000" w:rsidDel="00000000" w:rsidP="00000000" w:rsidRDefault="00000000" w:rsidRPr="00000000" w14:paraId="000007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Nullity of a Prior Marriage </w:t>
      </w:r>
    </w:p>
    <w:p w:rsidR="00000000" w:rsidDel="00000000" w:rsidP="00000000" w:rsidRDefault="00000000" w:rsidRPr="00000000" w14:paraId="000007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Needed to Abate Bigamy?</w:t>
      </w:r>
    </w:p>
    <w:p w:rsidR="00000000" w:rsidDel="00000000" w:rsidP="00000000" w:rsidRDefault="00000000" w:rsidRPr="00000000" w14:paraId="000007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7E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Under Article 349 of the Revised Penal Code, bigamy is committed by “any person who shall contract a second or subsequent marriage before the former marriage has been legally dissolved, or before the absent spouse has been declared presumptively dead by means of a judgment rendered in the proper proceedings.” The essence of this crime is the existence of a previous valid marriage and the celebration of a second (or subsequent) marriage. Suppose that the first “marriage” is, however, void from the beginning. Will the charge of bigamy still prosper?</w:t>
      </w:r>
    </w:p>
    <w:p w:rsidR="00000000" w:rsidDel="00000000" w:rsidP="00000000" w:rsidRDefault="00000000" w:rsidRPr="00000000" w14:paraId="000007E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in my ponencia in Mercado v. Tan,’ ruled that a judicial declaration of nullity of a previous marriage was necessary before another one could be contracted. “One who enters into a subsequent</w:t>
      </w:r>
      <w:r w:rsidDel="00000000" w:rsidR="00000000" w:rsidRPr="00000000">
        <w:rPr>
          <w:rFonts w:ascii="Georgia" w:cs="Georgia" w:eastAsia="Georgia" w:hAnsi="Georgia"/>
          <w:sz w:val="22"/>
          <w:szCs w:val="22"/>
          <w:vertAlign w:val="superscript"/>
        </w:rPr>
        <w:footnoteReference w:customMarkFollows="0" w:id="157"/>
      </w:r>
      <w:r w:rsidDel="00000000" w:rsidR="00000000" w:rsidRPr="00000000">
        <w:rPr>
          <w:rFonts w:ascii="Georgia" w:cs="Georgia" w:eastAsia="Georgia" w:hAnsi="Georgia"/>
          <w:sz w:val="22"/>
          <w:szCs w:val="22"/>
          <w:rtl w:val="0"/>
        </w:rPr>
        <w:t xml:space="preserve"> marriage without first obtaining such judicial declaration is guilty of bigamy.”</w:t>
      </w:r>
    </w:p>
    <w:p w:rsidR="00000000" w:rsidDel="00000000" w:rsidP="00000000" w:rsidRDefault="00000000" w:rsidRPr="00000000" w14:paraId="000007E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facts of this case are simple. On April 10, 1976, Vincent Paul G. Mercado married Thelma Oliva. Out of the union, two children were born. Thereafter, on June 27, 1991, Mercado married Consuelo Tan, with whom he sired one son, Vincent Paul Jr.</w:t>
      </w:r>
    </w:p>
    <w:p w:rsidR="00000000" w:rsidDel="00000000" w:rsidP="00000000" w:rsidRDefault="00000000" w:rsidRPr="00000000" w14:paraId="000007E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Barely a year afterwards, on October 5, 1992, Tan, the second wife, filed a Complaint for bigamy against Mercado. On November 13, 1992, he instituted an action to annul his first marriage on the ground of “psychological incapacity” under Article 36 of the Family Code.? Ina Decision dated May 6, 1993, the Regional Trial Court of Cebu declared the first marriage null and void.</w:t>
      </w:r>
    </w:p>
    <w:p w:rsidR="00000000" w:rsidDel="00000000" w:rsidP="00000000" w:rsidRDefault="00000000" w:rsidRPr="00000000" w14:paraId="000007E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the Supreme Court, Mercado argued that having obtained a judicial declaration of nullity of his first marriage, he could not be guilty of bigamy. He added that a “void marriage is deemed never to have taker place at all. Thus, he concludes that there [was] no firs. marriage to speak of.”</w:t>
      </w:r>
    </w:p>
    <w:p w:rsidR="00000000" w:rsidDel="00000000" w:rsidP="00000000" w:rsidRDefault="00000000" w:rsidRPr="00000000" w14:paraId="000007E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its Decision rejecting Mercado’s thesis, the Court first traced the history of jurisprudence on bigamy, as follows:</w:t>
      </w:r>
    </w:p>
    <w:p w:rsidR="00000000" w:rsidDel="00000000" w:rsidP="00000000" w:rsidRDefault="00000000" w:rsidRPr="00000000" w14:paraId="000007E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be sure, jurisprudence regarding the need for a judicial declaration of nullity of the previous marriage has been characterized as ‘conflicting.’ In People v. Mendoza,’ a bigamy</w:t>
      </w:r>
      <w:r w:rsidDel="00000000" w:rsidR="00000000" w:rsidRPr="00000000">
        <w:rPr>
          <w:rFonts w:ascii="Georgia" w:cs="Georgia" w:eastAsia="Georgia" w:hAnsi="Georgia"/>
          <w:sz w:val="22"/>
          <w:szCs w:val="22"/>
          <w:vertAlign w:val="superscript"/>
        </w:rPr>
        <w:footnoteReference w:customMarkFollows="0" w:id="158"/>
      </w:r>
      <w:r w:rsidDel="00000000" w:rsidR="00000000" w:rsidRPr="00000000">
        <w:rPr>
          <w:rFonts w:ascii="Georgia" w:cs="Georgia" w:eastAsia="Georgia" w:hAnsi="Georgia"/>
          <w:sz w:val="22"/>
          <w:szCs w:val="22"/>
          <w:vertAlign w:val="superscript"/>
        </w:rPr>
        <w:footnoteReference w:customMarkFollows="0" w:id="159"/>
      </w:r>
      <w:r w:rsidDel="00000000" w:rsidR="00000000" w:rsidRPr="00000000">
        <w:rPr>
          <w:rFonts w:ascii="Georgia" w:cs="Georgia" w:eastAsia="Georgia" w:hAnsi="Georgia"/>
          <w:sz w:val="22"/>
          <w:szCs w:val="22"/>
          <w:vertAlign w:val="superscript"/>
        </w:rPr>
        <w:footnoteReference w:customMarkFollows="0" w:id="160"/>
      </w:r>
      <w:r w:rsidDel="00000000" w:rsidR="00000000" w:rsidRPr="00000000">
        <w:rPr>
          <w:rFonts w:ascii="Georgia" w:cs="Georgia" w:eastAsia="Georgia" w:hAnsi="Georgia"/>
          <w:sz w:val="22"/>
          <w:szCs w:val="22"/>
          <w:rtl w:val="0"/>
        </w:rPr>
        <w:t xml:space="preserve"> case involving an accused who married three times, the Court ruled that there was no need for such declaration. In that case, the accused contracted a second marriage during the subsistence of the first. When the first wife died, he married for the third time. The second wife then charged him with bigamy. Acquitting him, the Court held that the second marriage was void ab initio because it had been contracted while the first marriage was still in effect. Since the second marriage was obviously void and illegal, the Court ruled that there was no need for a judicial declaration of its nullity. Hence, the accused did not commit bigamy when he married for the third time. This ruling was affirmed by the Court in People v. Aragon,5 which involved substantially the same facts.</w:t>
      </w:r>
    </w:p>
    <w:p w:rsidR="00000000" w:rsidDel="00000000" w:rsidP="00000000" w:rsidRDefault="00000000" w:rsidRPr="00000000" w14:paraId="000007E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in subsequent cases, the Court impressed the need for a judicial declaration of nullity. In Vda. de Consuegra v. GSIS,® Jose Consuegra married for the second time while the first marriage was still subsisting. Upon his death, the Court awarded one half of the proceeds of his retirement benefits to the first wife and the other half to the second wife and her children, notwithstanding the manifest nullity of the second marriage. It held: ‘And with respect to the right of the second wife, this Court observes that although the second marriage can be presumed to be void ab initio as it was celebrated while the first marriage</w:t>
      </w:r>
      <w:r w:rsidDel="00000000" w:rsidR="00000000" w:rsidRPr="00000000">
        <w:rPr>
          <w:rFonts w:ascii="Georgia" w:cs="Georgia" w:eastAsia="Georgia" w:hAnsi="Georgia"/>
          <w:sz w:val="22"/>
          <w:szCs w:val="22"/>
          <w:vertAlign w:val="superscript"/>
        </w:rPr>
        <w:footnoteReference w:customMarkFollows="0" w:id="161"/>
      </w:r>
      <w:r w:rsidDel="00000000" w:rsidR="00000000" w:rsidRPr="00000000">
        <w:rPr>
          <w:rFonts w:ascii="Georgia" w:cs="Georgia" w:eastAsia="Georgia" w:hAnsi="Georgia"/>
          <w:sz w:val="22"/>
          <w:szCs w:val="22"/>
          <w:vertAlign w:val="superscript"/>
        </w:rPr>
        <w:footnoteReference w:customMarkFollows="0" w:id="162"/>
      </w:r>
      <w:r w:rsidDel="00000000" w:rsidR="00000000" w:rsidRPr="00000000">
        <w:rPr>
          <w:rFonts w:ascii="Georgia" w:cs="Georgia" w:eastAsia="Georgia" w:hAnsi="Georgia"/>
          <w:sz w:val="22"/>
          <w:szCs w:val="22"/>
          <w:rtl w:val="0"/>
        </w:rPr>
        <w:t xml:space="preserve"> was still subsisting, still there is need for judicial declaration of such nullity.’</w:t>
      </w:r>
    </w:p>
    <w:p w:rsidR="00000000" w:rsidDel="00000000" w:rsidP="00000000" w:rsidRDefault="00000000" w:rsidRPr="00000000" w14:paraId="000007E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Tolentino v. Paras,’ however, the Court again held that judicial declaration of nullity of a void marriage was not necessary. In that case, a man married twice. In his Death Certificate, his second wife was named as his surviving spouse. The first wife then filed a Petition to correct the said entry in the Death Certificate. The Court ruled in favor of the first wife, holding that ‘the second marriage that he contracted with private respondent during the lifetime of the first spouse is null and void from the beginning and of no force and effect. No judicial decree is necessary to establish the invalidity of a void marriage.’</w:t>
      </w:r>
    </w:p>
    <w:p w:rsidR="00000000" w:rsidDel="00000000" w:rsidP="00000000" w:rsidRDefault="00000000" w:rsidRPr="00000000" w14:paraId="000007E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Wiegel v. Sempio-Diy,®? the Court stressed the need for such declaration. In that case, Karl Heinz Wiegel filed an action for the declaration of nullity of his marriage to Lilia Olivia Wiegel on the ground that the latter had a prior existing marriage. After pretrial, Lilia asked that she be allowed to present evidence to prove, among others, that her first husband had previously been married to another woman. In holding that there was no need for such evidence, the Court ruled: ‘x x x There is likewise no need of introducing evidence about the existing prior marriage of her first husband at the time they married each other, for then such a marriage though void still needs, according to this Court, a judicial 7 122 SCRA 525,529, May 30, 1983, per Melencio-Herrera, J. (emphasis</w:t>
      </w:r>
      <w:r w:rsidDel="00000000" w:rsidR="00000000" w:rsidRPr="00000000">
        <w:rPr>
          <w:rFonts w:ascii="Georgia" w:cs="Georgia" w:eastAsia="Georgia" w:hAnsi="Georgia"/>
          <w:sz w:val="22"/>
          <w:szCs w:val="22"/>
          <w:vertAlign w:val="superscript"/>
        </w:rPr>
        <w:footnoteReference w:customMarkFollows="0" w:id="163"/>
      </w:r>
      <w:r w:rsidDel="00000000" w:rsidR="00000000" w:rsidRPr="00000000">
        <w:rPr>
          <w:rFonts w:ascii="Georgia" w:cs="Georgia" w:eastAsia="Georgia" w:hAnsi="Georgia"/>
          <w:sz w:val="22"/>
          <w:szCs w:val="22"/>
          <w:vertAlign w:val="superscript"/>
        </w:rPr>
        <w:footnoteReference w:customMarkFollows="0" w:id="164"/>
      </w:r>
      <w:r w:rsidDel="00000000" w:rsidR="00000000" w:rsidRPr="00000000">
        <w:rPr>
          <w:rFonts w:ascii="Georgia" w:cs="Georgia" w:eastAsia="Georgia" w:hAnsi="Georgia"/>
          <w:sz w:val="22"/>
          <w:szCs w:val="22"/>
          <w:rtl w:val="0"/>
        </w:rPr>
        <w:t xml:space="preserve"> declaration of such fact and for all legal intents and purposes she would still be regarded as a married woman at the time she contracted her marriage with respondent Karl Heinz Wiegel; x x x.’</w:t>
      </w:r>
    </w:p>
    <w:p w:rsidR="00000000" w:rsidDel="00000000" w:rsidP="00000000" w:rsidRDefault="00000000" w:rsidRPr="00000000" w14:paraId="000007E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“Subsequently, in Yap v. CA,’ the Court reverted to the ruling in People v. Mendoza, holding that there was no need for such declaration of nullity.</w:t>
      </w:r>
    </w:p>
    <w:p w:rsidR="00000000" w:rsidDel="00000000" w:rsidP="00000000" w:rsidRDefault="00000000" w:rsidRPr="00000000" w14:paraId="000007E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Domingo v. CA, the issue raised was whether a judicial declaration of nullity was still necessary for the recovery and the separation of properties of erstwhile spouses. Ruling in the affirmative, the Court declared: ‘The Family Code has settled once and for all the conflicting jurisprudence on the matter. A declaration of the absolute nullity of a marriage is now explicitly required either as a cause of action or a ground for defense; in fact, the requirement for a declaration of absolute nullity of a marriage is also for the protection of the spouse who, believing that his or her marriage is illegal and void, marries again. With the judicial declaration of the nullity of his or her first marriage, the person who marries again cannot be charged with bigamy.’””</w:t>
      </w:r>
    </w:p>
    <w:p w:rsidR="00000000" w:rsidDel="00000000" w:rsidP="00000000" w:rsidRDefault="00000000" w:rsidRPr="00000000" w14:paraId="000007F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should be noted, however, that Domingo v. CA was merely a civil case, not a criminal prosecution for bigamy. As author of the Supreme Court's Decision, I</w:t>
      </w:r>
    </w:p>
    <w:p w:rsidR="00000000" w:rsidDel="00000000" w:rsidP="00000000" w:rsidRDefault="00000000" w:rsidRPr="00000000" w14:paraId="000007F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226 SCRA 572, September 17, 1993, per Romero, J.; citing Sempio-Dly, Handbook of the Family Code of the Philippines, 1988, p. 46.</w:t>
      </w:r>
      <w:r w:rsidDel="00000000" w:rsidR="00000000" w:rsidRPr="00000000">
        <w:rPr>
          <w:rFonts w:ascii="Georgia" w:cs="Georgia" w:eastAsia="Georgia" w:hAnsi="Georgia"/>
          <w:sz w:val="22"/>
          <w:szCs w:val="22"/>
          <w:vertAlign w:val="superscript"/>
        </w:rPr>
        <w:footnoteReference w:customMarkFollows="0" w:id="165"/>
      </w:r>
      <w:r w:rsidDel="00000000" w:rsidR="00000000" w:rsidRPr="00000000">
        <w:rPr>
          <w:rFonts w:ascii="Georgia" w:cs="Georgia" w:eastAsia="Georgia" w:hAnsi="Georgia"/>
          <w:sz w:val="22"/>
          <w:szCs w:val="22"/>
          <w:vertAlign w:val="superscript"/>
        </w:rPr>
        <w:footnoteReference w:customMarkFollows="0" w:id="166"/>
      </w:r>
      <w:r w:rsidDel="00000000" w:rsidR="00000000" w:rsidRPr="00000000">
        <w:rPr>
          <w:rtl w:val="0"/>
        </w:rPr>
      </w:r>
    </w:p>
    <w:p w:rsidR="00000000" w:rsidDel="00000000" w:rsidP="00000000" w:rsidRDefault="00000000" w:rsidRPr="00000000" w14:paraId="000007F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had to justify why even in a criminal case for bigamy, a judicial declaration of nullity was essential before a second marriage could be contracted. Hence, I dug up the statutory basis of the previous rulings and distinguished them from the more recent provision of the Family Code.</w:t>
      </w:r>
    </w:p>
    <w:p w:rsidR="00000000" w:rsidDel="00000000" w:rsidP="00000000" w:rsidRDefault="00000000" w:rsidRPr="00000000" w14:paraId="000007F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Mendoza and Aragon, the Court relied on Section 29 of Act No. 3613 (Marriage Law), which provided:</w:t>
      </w:r>
    </w:p>
    <w:p w:rsidR="00000000" w:rsidDel="00000000" w:rsidP="00000000" w:rsidRDefault="00000000" w:rsidRPr="00000000" w14:paraId="000007F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‘Illegal marriages. — Any marriage subsequently contracted by any person during the lifetime of the first spouse shall be illegal and void from its performance, unless:</w:t>
      </w:r>
    </w:p>
    <w:p w:rsidR="00000000" w:rsidDel="00000000" w:rsidP="00000000" w:rsidRDefault="00000000" w:rsidRPr="00000000" w14:paraId="000007F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 The first marriage was annulled or dissolved;</w:t>
      </w:r>
    </w:p>
    <w:p w:rsidR="00000000" w:rsidDel="00000000" w:rsidP="00000000" w:rsidRDefault="00000000" w:rsidRPr="00000000" w14:paraId="000007F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 The first spouse had been absent for seven consecutive years at the time of the second marriage without the spouse present having news of the absentee being alive, or the absentee being generally considered as dead and believed to be so by the spouse present at the time of contracting such subsequent marriage, the marriage as contracted being valid in either case until declared null and void by a competent court.’</w:t>
      </w:r>
    </w:p>
    <w:p w:rsidR="00000000" w:rsidDel="00000000" w:rsidP="00000000" w:rsidRDefault="00000000" w:rsidRPr="00000000" w14:paraId="000007F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Court held in those two cases that the said provision ‘plainly makes a subsequent marriage contracted by any person during the lifetime of his first spouse illegal and void from its performance, and no judicial decree is necessary to establish its invalidity, as distinguished from mere annulable marriages.’</w:t>
      </w:r>
    </w:p>
    <w:p w:rsidR="00000000" w:rsidDel="00000000" w:rsidP="00000000" w:rsidRDefault="00000000" w:rsidRPr="00000000" w14:paraId="000007F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provision appeared in substantially the same form under Article 83 of the 1950 Civil Code and Article 41 of the Family Code. However, Article 40 of the Family Code, a new provision, expressly requires a judicial declaration of nullity of the previous marriage, as follows:</w:t>
      </w:r>
    </w:p>
    <w:p w:rsidR="00000000" w:rsidDel="00000000" w:rsidP="00000000" w:rsidRDefault="00000000" w:rsidRPr="00000000" w14:paraId="000007F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 40. The absolute nullity of a previous marriage may be invoked for purposes of remarriage on the basis solely of a final judgment declaring such marriage void.’</w:t>
      </w:r>
    </w:p>
    <w:p w:rsidR="00000000" w:rsidDel="00000000" w:rsidP="00000000" w:rsidRDefault="00000000" w:rsidRPr="00000000" w14:paraId="000007F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view of this provision, Domingo stressed that a final judgment declaring such marriage void was necessary. Verily, the Family Code and Domingo affirm the earlier ruling in Wiegel. Thus, a Civil Law authority and member of the Civil Code Revision Committee has observed:</w:t>
      </w:r>
    </w:p>
    <w:p w:rsidR="00000000" w:rsidDel="00000000" w:rsidP="00000000" w:rsidRDefault="00000000" w:rsidRPr="00000000" w14:paraId="000007F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‘[Article 40] is also in line with the recent decisions of the Supreme Court that the marriage of a person may be null and void but there is need of a judicial declaration of such fact before that person can marry again; otherwise, the second marriage will also be void (Wiegel v. Sempio-Diy, Aug. 1986, 143 SCRA 499, Vda. De Consuegra v. GSIS, 37 SCRA 315). This provision changes the old rule that where a marriage is illegal and</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void from its performance, no judicial decree is necessary to establish its validity (People v. Mendoza, 95 Phil. 843; People v. Aragon, 100 Phil. 1033).</w:t>
      </w:r>
    </w:p>
    <w:p w:rsidR="00000000" w:rsidDel="00000000" w:rsidP="00000000" w:rsidRDefault="00000000" w:rsidRPr="00000000" w14:paraId="000007F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light, the statutory mooring of the ruling in Mendoza and Aragon - that there is no need for a judicial declaration of nullity of a void marriage — has been cast aside by Article 40 of the Family Code. Such declaration is now necessary before one can contract a second marriage. Absent that declaration, we hold that one may be charged with and convicted of bigamy.</w:t>
      </w:r>
    </w:p>
    <w:p w:rsidR="00000000" w:rsidDel="00000000" w:rsidP="00000000" w:rsidRDefault="00000000" w:rsidRPr="00000000" w14:paraId="000007F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present ruling is consistent with our pronouncement in Terre v. Terre,“4| which involved an administrative Complaint against a lawyer for marrying twice. In rejecting the lawyer’s argument that he was free to enter into a second marriage because the first one was void ab initio, the Court ruled: ‘for purposes of determining whether a person is legally free to contract a second marriage, a judicial declaration that the first marriage was null and void ab initio is _ essential.’ The Court further noted that the said rule was ‘cast into statutory form by Article 40 of the Family Code.’ Significantly, it observed that the second marriage, contracted without a judicial declaration that the first marriage was void, was ‘bigamous and criminal in character.’</w:t>
      </w:r>
    </w:p>
    <w:p w:rsidR="00000000" w:rsidDel="00000000" w:rsidP="00000000" w:rsidRDefault="00000000" w:rsidRPr="00000000" w14:paraId="000007F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“Moreover, Justice Reyes, an authority in Criminal Law whose earlier work was cited by petitioner, changed his view on the subject in view of Article 40 of the Family Code and wrote in 1993 that a person must first obtain a judicial declaration of the nullity of a void marriage before contracting a subsequent marriage:</w:t>
      </w:r>
    </w:p>
    <w:p w:rsidR="00000000" w:rsidDel="00000000" w:rsidP="00000000" w:rsidRDefault="00000000" w:rsidRPr="00000000" w14:paraId="000007F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now settled that the fact that the first marriage is void from the beginning is not a defense in a bigamy charge. As with a voidable marriage, there must be a judicial declaration of the nullity of a marriage before contracting the second marriage. x x x. The Code Commission believes that the parties to a,marriage should not be allowed to assume that their marriage is void, even if such is the fact, but must first secure a judicial declaration of nullity of their marriage before they should be allowed to marry again. x x x.’</w:t>
      </w:r>
    </w:p>
    <w:p w:rsidR="00000000" w:rsidDel="00000000" w:rsidP="00000000" w:rsidRDefault="00000000" w:rsidRPr="00000000" w14:paraId="0000080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instant case, petitioner contracted a second marriage although there was yet no judicial declaration of nullity of his first marriage. In fact, he instituted the Petition to have the first marriage declared void only after complainant had filed a letter-complaint charging him with bigamy. By contracting a second marriage while the first was still</w:t>
      </w:r>
      <w:r w:rsidDel="00000000" w:rsidR="00000000" w:rsidRPr="00000000">
        <w:rPr>
          <w:rFonts w:ascii="Georgia" w:cs="Georgia" w:eastAsia="Georgia" w:hAnsi="Georgia"/>
          <w:b w:val="1"/>
          <w:bCs w:val="1"/>
          <w:sz w:val="22"/>
          <w:szCs w:val="22"/>
          <w:rtl w:val="0"/>
        </w:rPr>
        <w:t xml:space="preserve"> </w:t>
      </w:r>
      <w:r w:rsidDel="00000000" w:rsidR="00000000" w:rsidRPr="00000000">
        <w:rPr>
          <w:rFonts w:ascii="Georgia" w:cs="Georgia" w:eastAsia="Georgia" w:hAnsi="Georgia"/>
          <w:sz w:val="22"/>
          <w:szCs w:val="22"/>
          <w:rtl w:val="0"/>
        </w:rPr>
        <w:t xml:space="preserve">subsisting, he committed the acts punishable under Article 349 of the Revised Penal Code.</w:t>
      </w:r>
    </w:p>
    <w:p w:rsidR="00000000" w:rsidDel="00000000" w:rsidP="00000000" w:rsidRDefault="00000000" w:rsidRPr="00000000" w14:paraId="0000080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he subsequently obtained a judicial declaration of the nullity of the first marriage was immaterial. To repeat, the crime had already been consummated by then. Moreover, his view effectively encourages delay in the prosecution of bigamy cases; an accused could simply file a petition to declare his previous marriage void and invoke the pendency of that action as a prejudicial question in the criminal case. We cannot allow that.”</w:t>
      </w:r>
    </w:p>
    <w:p w:rsidR="00000000" w:rsidDel="00000000" w:rsidP="00000000" w:rsidRDefault="00000000" w:rsidRPr="00000000" w14:paraId="0000080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It is only by way of exception that the Family Code requires a judicial declaration of nullity of the previous marriage before a subsequent marriage is contracted; without such declaration, the validity and the full legal consequence of the subsequent marriage would itself be in similar jeopardy under Article 53, in relation to Article 52, of the Family Code. Parenthetically, I would daresay that the necessity of a judicial declaration of nullity of a void marriage for the purpose of remarriage should be held to refer merely to cases where it can be said that a marriage, at least ostensibly, had taken place. No such judicial declaration of nullity, in my view, should still be deemed essential when the ‘marriage,’ for instance, is between persons of the same sex or when either or both parties had not at all given consent to the ‘marriage.’ Indeed, it is likely that Article 40 of the Family Code has been meant and intended to refer only to marriages declared void under the provisions of Articles 35, 36, 37, 38 and 53 thereof.</w:t>
      </w:r>
    </w:p>
    <w:p w:rsidR="00000000" w:rsidDel="00000000" w:rsidP="00000000" w:rsidRDefault="00000000" w:rsidRPr="00000000" w14:paraId="0000080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fine, the Family Code, I respectfully submit, did not have the effect of overturning the rule in criminal law and related jurisprudence. The Revised Penal Code expresses:</w:t>
      </w:r>
    </w:p>
    <w:p w:rsidR="00000000" w:rsidDel="00000000" w:rsidP="00000000" w:rsidRDefault="00000000" w:rsidRPr="00000000" w14:paraId="0000080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‘Art. 349. Bigamy. - The penalty of prision mayor shall be imposed upon any person who shall contract a second or subsequent marriage before the former marriage has been legally dissolved, or before the absent spouse has been declared presumptively dead by means of a judgment rendered in the proper proceedings.’</w:t>
      </w:r>
    </w:p>
    <w:p w:rsidR="00000000" w:rsidDel="00000000" w:rsidP="00000000" w:rsidRDefault="00000000" w:rsidRPr="00000000" w14:paraId="0000080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“Surely, the foregoing provision con-templated an existing, not void, prior marriage. Covered by Article 349 would thus be, for instance, a voidable marriage, it obviously being valid and subsisting until set aside by a competent court. As early as People vs. Aragon,'® this Court has underscored:</w:t>
      </w:r>
    </w:p>
    <w:p w:rsidR="00000000" w:rsidDel="00000000" w:rsidP="00000000" w:rsidRDefault="00000000" w:rsidRPr="00000000" w14:paraId="0000080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Our Revised Penal Code is of recent enactment and had the rule</w:t>
      </w:r>
      <w:r w:rsidDel="00000000" w:rsidR="00000000" w:rsidRPr="00000000">
        <w:rPr>
          <w:rFonts w:ascii="Georgia" w:cs="Georgia" w:eastAsia="Georgia" w:hAnsi="Georgia"/>
          <w:sz w:val="22"/>
          <w:szCs w:val="22"/>
          <w:vertAlign w:val="superscript"/>
        </w:rPr>
        <w:footnoteReference w:customMarkFollows="0" w:id="167"/>
      </w:r>
      <w:r w:rsidDel="00000000" w:rsidR="00000000" w:rsidRPr="00000000">
        <w:rPr>
          <w:rFonts w:ascii="Georgia" w:cs="Georgia" w:eastAsia="Georgia" w:hAnsi="Georgia"/>
          <w:sz w:val="22"/>
          <w:szCs w:val="22"/>
          <w:rtl w:val="0"/>
        </w:rPr>
        <w:t xml:space="preserve"> enunciated in Spain and In America requiring judicial declaration of nullity of ab initio void marriages been within the contemplation of the legislature, an express provision to that effect would or should have been inserted in the law. In its absence, we are bound by said rule of strict interpretation.’</w:t>
      </w:r>
    </w:p>
    <w:p w:rsidR="00000000" w:rsidDel="00000000" w:rsidP="00000000" w:rsidRDefault="00000000" w:rsidRPr="00000000" w14:paraId="0000080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a voidable marriage which legally exists until judicially annulled (and therefore not a defense in bigamy if the second marriage were contracted prior to the decree of annulment), the complete nullity, however, of a previously contracted marriage, being a total nullity and inexistent, should be capable of being independently raised by way of a defense in a criminal case for bigamy. I see no incongruence between this rule in criminal law and that of the Family Code, and each may be applied within the respective spheres of governance.”</w:t>
      </w:r>
    </w:p>
    <w:p w:rsidR="00000000" w:rsidDel="00000000" w:rsidP="00000000" w:rsidRDefault="00000000" w:rsidRPr="00000000" w14:paraId="0000080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ponencia was carried in the Third Division by a 4-1 vote.” Nonetheless, deserving reflection is Justice Vitug’s observation “that the necessity of a judicial declaration of nullity of a void marriage for the purpose of remarriage should be held to refer merely to cases where it can be said that a marriage, at least ostensibly, had taken place.” Indeed, where the first “marriage” was a total sham like one in a movie, there is no need for such declaration. Note, however, that in Mercado the first marriage had actually been celebrated, but petitioner claimed its nullity by reason</w:t>
      </w:r>
      <w:r w:rsidDel="00000000" w:rsidR="00000000" w:rsidRPr="00000000">
        <w:rPr>
          <w:rFonts w:ascii="Georgia" w:cs="Georgia" w:eastAsia="Georgia" w:hAnsi="Georgia"/>
          <w:sz w:val="22"/>
          <w:szCs w:val="22"/>
          <w:vertAlign w:val="superscript"/>
        </w:rPr>
        <w:footnoteReference w:customMarkFollows="0" w:id="168"/>
      </w:r>
      <w:r w:rsidDel="00000000" w:rsidR="00000000" w:rsidRPr="00000000">
        <w:rPr>
          <w:rFonts w:ascii="Georgia" w:cs="Georgia" w:eastAsia="Georgia" w:hAnsi="Georgia"/>
          <w:sz w:val="22"/>
          <w:szCs w:val="22"/>
          <w:rtl w:val="0"/>
        </w:rPr>
        <w:t xml:space="preserve"> of Article 36 of the Family Code. Hence, such observation would not find application in the case at bar.</w:t>
      </w:r>
    </w:p>
    <w:p w:rsidR="00000000" w:rsidDel="00000000" w:rsidP="00000000" w:rsidRDefault="00000000" w:rsidRPr="00000000" w14:paraId="0000080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postscript, may I add that my Decision was strengthened by a First Division case penned by Justice Consuelo Ynares-Santiago, Bobis v. Bobis,"* which had unanimously been promulgated almost on the same day as Mercado. Bobis held that the subsequent filing of a civil action for the declaration of nullity of a previous marriage did not constitute a “prejudicial question” and therefore did not suspend the proceedings in a criminal case for bigamy. The reason was that such declaration, even if obtained, would not have abated the criminal prosecution for the two marriages. Explained the Court:</w:t>
      </w:r>
    </w:p>
    <w:p w:rsidR="00000000" w:rsidDel="00000000" w:rsidP="00000000" w:rsidRDefault="00000000" w:rsidRPr="00000000" w14:paraId="0000080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“x x x [S]uffice it to state that the Civil Code, under which the first marriage was celebrated, provides that ‘every intendment of law or fact leans toward the validity of ‘ marriage, the indissolubility of the marriage bonds.’'? Hence, parties should not be permitted to judge for themselves the nullity of their marriage, for the same must be submitted to the determination of competent courts. Only when the nullity of the marriage is so declared can it be held as void, and so long as there is no such declaration the presumption is that the marriage exists.” No matter how obvious, manifest or patent the absence of an element is, the intervention of * GR No. July 31, 2000, penned by Justice Consuelo Ynares-Santiago and</w:t>
      </w:r>
      <w:r w:rsidDel="00000000" w:rsidR="00000000" w:rsidRPr="00000000">
        <w:rPr>
          <w:rFonts w:ascii="Georgia" w:cs="Georgia" w:eastAsia="Georgia" w:hAnsi="Georgia"/>
          <w:sz w:val="22"/>
          <w:szCs w:val="22"/>
          <w:vertAlign w:val="superscript"/>
        </w:rPr>
        <w:footnoteReference w:customMarkFollows="0" w:id="169"/>
      </w:r>
      <w:r w:rsidDel="00000000" w:rsidR="00000000" w:rsidRPr="00000000">
        <w:rPr>
          <w:rFonts w:ascii="Georgia" w:cs="Georgia" w:eastAsia="Georgia" w:hAnsi="Georgia"/>
          <w:sz w:val="22"/>
          <w:szCs w:val="22"/>
          <w:vertAlign w:val="superscript"/>
        </w:rPr>
        <w:footnoteReference w:customMarkFollows="0" w:id="170"/>
      </w:r>
      <w:r w:rsidDel="00000000" w:rsidR="00000000" w:rsidRPr="00000000">
        <w:rPr>
          <w:rFonts w:ascii="Georgia" w:cs="Georgia" w:eastAsia="Georgia" w:hAnsi="Georgia"/>
          <w:sz w:val="22"/>
          <w:szCs w:val="22"/>
          <w:rtl w:val="0"/>
        </w:rPr>
        <w:t xml:space="preserve"> the courts must always be resorted to. That is why Article 40 of the Family Code requires a ‘final judgment,’ which only the courts can render. Thus, as ruled in Landicho v. Relova,”' he who contracts a second marriage before the judicial declaration of nullity of the first marriage assumes the risk of being prosecuted for bigamy, and in such a case the criminal case may not be suspended on the ground of the pendency of a civil case for declaration of nullity. In a recent case for concubinage, we held that the pendency of a civil case for declaration of nullity of marriage is not a prejudicial question.” This ruling applies here by analogy since both crimes presuppose the subsistence of a marriage.</w:t>
      </w:r>
    </w:p>
    <w:p w:rsidR="00000000" w:rsidDel="00000000" w:rsidP="00000000" w:rsidRDefault="00000000" w:rsidRPr="00000000" w14:paraId="0000080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“Ignorance of the existence of Article 40 of the Family Code cannot even be successfully invoked as an excuse.” The contracting of a marriage knowing that the requirements of the law have not been complied with or that the marriage is in disregard of a legal impediment is an act penalized by the Revised Penal Code.* The legality of a marriage is a matter of law and every person is presumed to know the law. As respondent did not obtain the judicial declaration of nullity when he entered into the second marriage, why should he be allowed to belatedly obtain that judicial declaration in order to delay his criminal prosecution and  subsequently defeat it by his own disobedience of the law? If he wants to raise the nullity of the previous marriage, he can do it as a matter of defense when he presents his evidence during the trial proper in the criminal case.</w:t>
      </w:r>
    </w:p>
    <w:p w:rsidR="00000000" w:rsidDel="00000000" w:rsidP="00000000" w:rsidRDefault="00000000" w:rsidRPr="00000000" w14:paraId="0000080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burden of proof to show the dissolution of the first marriage before the second marriage was contracted rests upon the defense,&gt; but that is a matter that can be raised in the trial of the bigamy case. In the } meantime, it should be stressed that not every defense raised in the civil action may be used as a prejudicial question to obtain the suspension of the criminal action. The lower court, therefore, erred in suspending the criminal case for bigamy. Moreover, when respondent was indicted for bigamy, the fact that he entered into two marriage ceremonies appeared indubitable. It was only after he; was sued by petitioner for bigamy that he thought of seeking a judicial declaration of nullity of his first marriage. The obvious intent, therefore, [was] that respondent merely resorted to the civil action as a potential prejudicial question for the purpose of frustrating or delaying his criminal prosecution. As has been discussed above, this cannot be done.</w:t>
      </w:r>
    </w:p>
    <w:p w:rsidR="00000000" w:rsidDel="00000000" w:rsidP="00000000" w:rsidRDefault="00000000" w:rsidRPr="00000000" w14:paraId="0000080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light of Article 40 of the Family Code, respondent, without first having obtained the judicial declaration of nullity of the first marriage, can not be said to have</w:t>
      </w:r>
      <w:r w:rsidDel="00000000" w:rsidR="00000000" w:rsidRPr="00000000">
        <w:rPr>
          <w:rFonts w:ascii="Georgia" w:cs="Georgia" w:eastAsia="Georgia" w:hAnsi="Georgia"/>
          <w:sz w:val="22"/>
          <w:szCs w:val="22"/>
          <w:vertAlign w:val="superscript"/>
        </w:rPr>
        <w:footnoteReference w:customMarkFollows="0" w:id="171"/>
      </w:r>
      <w:r w:rsidDel="00000000" w:rsidR="00000000" w:rsidRPr="00000000">
        <w:rPr>
          <w:rFonts w:ascii="Georgia" w:cs="Georgia" w:eastAsia="Georgia" w:hAnsi="Georgia"/>
          <w:sz w:val="22"/>
          <w:szCs w:val="22"/>
          <w:rtl w:val="0"/>
        </w:rPr>
        <w:t xml:space="preserve"> validly entered into the second marriage. Per current jurisprudence, a marriage though void still needs a judicial declaration of such fact before any party can marry again; otherwise the second marriage will also be void.” The reason is that, without a judicial declaration of its nullity, the first marriage is presumed to be subsisting. In the case at bar, respondent was for all legal intents and purposes regarded as a married man at the time he contracted his second marriage with petitioner.” Against this legal backdrop, any decision in the civil action for nullity would not erase the fact that respondent entered into a second marriage during the subsistence of a first marriage. Thus, a decision in the civil case is not essential to the determination of the criminal charge. It is, therefore, not a prejudicial question. As stated above, respondent cannot be permitted to use his own malfeasance to defeat the criminal action against him.”</w:t>
      </w:r>
    </w:p>
    <w:p w:rsidR="00000000" w:rsidDel="00000000" w:rsidP="00000000" w:rsidRDefault="00000000" w:rsidRPr="00000000" w14:paraId="0000080E">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A</w:t>
      </w:r>
    </w:p>
    <w:p w:rsidR="00000000" w:rsidDel="00000000" w:rsidP="00000000" w:rsidRDefault="00000000" w:rsidRPr="00000000" w14:paraId="00000810">
      <w:pPr>
        <w:jc w:val="cente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1">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Chief Justice Davide:</w:t>
      </w:r>
    </w:p>
    <w:p w:rsidR="00000000" w:rsidDel="00000000" w:rsidP="00000000" w:rsidRDefault="00000000" w:rsidRPr="00000000" w14:paraId="00000812">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 Man of Integrity, Simplicity</w:t>
      </w:r>
    </w:p>
    <w:p w:rsidR="00000000" w:rsidDel="00000000" w:rsidP="00000000" w:rsidRDefault="00000000" w:rsidRPr="00000000" w14:paraId="0000081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And Dedication</w:t>
      </w:r>
    </w:p>
    <w:p w:rsidR="00000000" w:rsidDel="00000000" w:rsidP="00000000" w:rsidRDefault="00000000" w:rsidRPr="00000000" w14:paraId="0000081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1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guest speaker is normally introduced by projecting his family background, scholastic record, employment history, as well as the awards he has received, to show how worthy he is to speak before the assembly and why the audience is honored by his presence.</w:t>
      </w:r>
    </w:p>
    <w:p w:rsidR="00000000" w:rsidDel="00000000" w:rsidP="00000000" w:rsidRDefault="00000000" w:rsidRPr="00000000" w14:paraId="0000081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however, differ from this conventional manner of introduction by relating to you instead my own impression of our guest’s personal habits, lifestyle and character traits — the way I have known him as my colleague, the primus inter pares or the first among equals, in the highest court of the land.</w:t>
      </w:r>
      <w:r w:rsidDel="00000000" w:rsidR="00000000" w:rsidRPr="00000000">
        <w:rPr>
          <w:rFonts w:ascii="Georgia" w:cs="Georgia" w:eastAsia="Georgia" w:hAnsi="Georgia"/>
          <w:sz w:val="22"/>
          <w:szCs w:val="22"/>
          <w:vertAlign w:val="superscript"/>
        </w:rPr>
        <w:footnoteReference w:customMarkFollows="0" w:id="172"/>
      </w:r>
      <w:r w:rsidDel="00000000" w:rsidR="00000000" w:rsidRPr="00000000">
        <w:rPr>
          <w:rtl w:val="0"/>
        </w:rPr>
      </w:r>
    </w:p>
    <w:p w:rsidR="00000000" w:rsidDel="00000000" w:rsidP="00000000" w:rsidRDefault="00000000" w:rsidRPr="00000000" w14:paraId="0000081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my opinion, Chief Justice Hilario G. Davide Jr. personifies three things: first, integrity; second, simplicity; and third, dedication to duty. In short, his major traits are encapsulated by the easy-to-remember acronym ISD: integrity, simplicity and dedication.</w:t>
      </w:r>
    </w:p>
    <w:p w:rsidR="00000000" w:rsidDel="00000000" w:rsidP="00000000" w:rsidRDefault="00000000" w:rsidRPr="00000000" w14:paraId="0000081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our guest is a towering persona of integrity. In his nine years as jurist and in many more before as a legislator, constitution-maker and elections chairman, no one has ever doubted his honesty. No taint of corruption has ever been hurled at him or his family. Kinship, relationship or friendship has never interfered with his work. Indeed, he has no business cronies, no favored friends, no officious relatives, not even backdoor coteries to prop him up in times of difficulty and crisis. To have integrity implies moral courage, which means not only theoretical bravery in battle but, a priori, a purity of spirit and a clarity of conscience. For only he who is pure of heart and clear of mind with no skeletons to hide can rightfully be called a man of integrity like our guest.</w:t>
      </w:r>
    </w:p>
    <w:p w:rsidR="00000000" w:rsidDel="00000000" w:rsidP="00000000" w:rsidRDefault="00000000" w:rsidRPr="00000000" w14:paraId="0000081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our millennial Chief Justice lives simply, frugally and transparently. He does not drink, does not smoke, does not gamble, and rarely attends social occasions outside official functions. He sleeps early and also wakes up early — at about 3:30 a.m. Upon waking up, he prays. Then he cuts the Bible and reads at random the page that opens. It is his firm belief that he is simply the Lord’s servant who gets his day-today instructions from God’s book. Thereafter he indulges in his favorite sport and exercise, which is brisk walking. He eats a fast breakfast and, before the break of dawn, he is on his way to office.</w:t>
      </w:r>
    </w:p>
    <w:p w:rsidR="00000000" w:rsidDel="00000000" w:rsidP="00000000" w:rsidRDefault="00000000" w:rsidRPr="00000000" w14:paraId="0000081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easy to get along with him because he is humble and soft-spoken, almost self-deprecating, but at the same time self-actualized. During our more than four years together in the Court, I have yet to hear him raise his voice or blurt out nasty words. He is aware of who he is and of what he can do or cannot do. He has a vision of what needs to be done and a clear concept of how and when to accomplish it.</w:t>
      </w:r>
    </w:p>
    <w:p w:rsidR="00000000" w:rsidDel="00000000" w:rsidP="00000000" w:rsidRDefault="00000000" w:rsidRPr="00000000" w14:paraId="0000081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Third, Chief Justice Davide is dedicated to whatever he is doing. Among the first to arrive, he reports to office at 6:30 a.m. Until evening he works ceaselessly. Besides being an avid and a fast reader, he has an amazing capacity to absorb and internalize facts as well as to analyze legal provisions. He is always punctual with his appointments and always delivers what he commits.</w:t>
      </w:r>
    </w:p>
    <w:p w:rsidR="00000000" w:rsidDel="00000000" w:rsidP="00000000" w:rsidRDefault="00000000" w:rsidRPr="00000000" w14:paraId="0000081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a jurist, he is always prepared during deliberations of the Court — whether to defend his ponencias or to challenge those of others. Quite easily he can digest the minutiae of judicial work, for which he has an elephantine memory and a gluttonous appetite. He writes exhaustively, patiently explaining the details of the cases assigned to him, stating all the arguments of each of the parties, and then discussing one by one each question raised. Dissecting issues with a surgeon’s scalpel, he rules clearly and firmly, leaving no doubt or equivocation or residue. Seldom does he pontificate; instead, he argues his points with a view to convince, sometimes in a manner that overwhelms the reader. He avoids obiters, flamboyance and braggadocio; rather, he writes unaffectedly, without much literary flourish or pretension to poetry. Nevertheless, his balance and symmetry are identifiable and poised.</w:t>
      </w:r>
    </w:p>
    <w:p w:rsidR="00000000" w:rsidDel="00000000" w:rsidP="00000000" w:rsidRDefault="00000000" w:rsidRPr="00000000" w14:paraId="0000081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 candidly admits that since his appointment as Chief Justice, his additional work as chief executive of the entire judiciary consumes about 80 percent of his working time. Only the balance of 20 percent is now used for his work in the Supreme Court itself. Indeed, he has single-mindedly pursued his now famous “Davide Watch,” in which he spelled out his far-ranging and all-encompassing vision, mission and direction for the judiciary. He has initiated day-long dialogs with judges and judicial personnel in all regions of the country, thus making him the first Chief Justice in our 99 years of judicial history to embark on this rather tiring and time-consuming program. He is determined to devote his tenure, which will last till the year 2005, to the elevation of the standards of the judiciary “by cleansing the judicial stables” of the misfit, the corrupt and the unqualified and by permeating it with his four-fold values of integrity, independence, excellence and effectiveness. By graciously agreeing to be the guest of honor in today’s formal launching of Bantay Katarungan or “Sentinel of Justice,” he has telegraphed his openness to constructive criticisms and to collaboration with the private sector in elevating judicial standards.</w:t>
      </w:r>
    </w:p>
    <w:p w:rsidR="00000000" w:rsidDel="00000000" w:rsidP="00000000" w:rsidRDefault="00000000" w:rsidRPr="00000000" w14:paraId="0000081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Indeed, he is relentless in his effort to establish in this land a new temple of justice befitting God and man. Iam certain — and I am sure you will agree with me — that armed with unflinching zeal and energy, determined to lead his colleagues and subalterns by his own example, and protected by his mantle of unsullied integrity, becoming simplicity and unfailing devotion to duty, our guest of honor is destined to become one of the greatest Chief Justices of this country. Let us then rise and put our hands together as we welcome the Honorable Hilario G. Davide Jr.</w:t>
      </w:r>
    </w:p>
    <w:p w:rsidR="00000000" w:rsidDel="00000000" w:rsidP="00000000" w:rsidRDefault="00000000" w:rsidRPr="00000000" w14:paraId="0000081F">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B</w:t>
      </w:r>
    </w:p>
    <w:p w:rsidR="00000000" w:rsidDel="00000000" w:rsidP="00000000" w:rsidRDefault="00000000" w:rsidRPr="00000000" w14:paraId="000008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822">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An Overview of the Centenary </w:t>
      </w:r>
    </w:p>
    <w:p w:rsidR="00000000" w:rsidDel="00000000" w:rsidP="00000000" w:rsidRDefault="00000000" w:rsidRPr="00000000" w14:paraId="00000823">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Celebrations:</w:t>
      </w:r>
    </w:p>
    <w:p w:rsidR="00000000" w:rsidDel="00000000" w:rsidP="00000000" w:rsidRDefault="00000000" w:rsidRPr="00000000" w14:paraId="00000824">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2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behalf of the Supreme Court and as chairman of the Centenary Executive Committee, I would now like to give you an overview of the year-long centenary celebrations which begin today and culminate on June 11, 2001.</w:t>
      </w:r>
    </w:p>
    <w:p w:rsidR="00000000" w:rsidDel="00000000" w:rsidP="00000000" w:rsidRDefault="00000000" w:rsidRPr="00000000" w14:paraId="0000082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just clarify at the outset that the Supreme Court reckons its founding on June 11, 1901, because it was on this date that Act No. 136, otherwise known as the Judiciary Law, was enacted by the Second Philippine Commission. This law “vested judicial power of the government of the Philippine Islands in the Supreme Court, Courts of First Instance and Justice of the Peace Courts and such other courts as may be authorized by law.”</w:t>
      </w:r>
    </w:p>
    <w:p w:rsidR="00000000" w:rsidDel="00000000" w:rsidP="00000000" w:rsidRDefault="00000000" w:rsidRPr="00000000" w14:paraId="0000082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Delivered by Justice Artemio V. Panganiban during the formal launching ceremony of the Supreme Court Centenary Celebrations on June 9, 2000, 3:00 p.m., Session Hall, Supreme Court of the Philippines.</w:t>
      </w:r>
    </w:p>
    <w:p w:rsidR="00000000" w:rsidDel="00000000" w:rsidP="00000000" w:rsidRDefault="00000000" w:rsidRPr="00000000" w14:paraId="0000082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While it is true that the then American Military Governor, Gen. Ellwel Otis, had earlier issued on May 29, 1899 General Order No. 20, which created a “Supreme Court” and designated its members, the said Order was “really nothing more than an extension of the military authority of the United States Army.”</w:t>
      </w:r>
    </w:p>
    <w:p w:rsidR="00000000" w:rsidDel="00000000" w:rsidP="00000000" w:rsidRDefault="00000000" w:rsidRPr="00000000" w14:paraId="0000082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On the other hand, not only was Act No. 136 approved by a civil government; it also established an independent judicial hierarchy, with the Supreme Court at its apex.</w:t>
      </w:r>
    </w:p>
    <w:p w:rsidR="00000000" w:rsidDel="00000000" w:rsidP="00000000" w:rsidRDefault="00000000" w:rsidRPr="00000000" w14:paraId="0000082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we treasure independence as a basic feature of our judicial system, we have chosen June 11, 1901 as our foundation date. Thus, two days from now, on Sunday, June 11, 2000, the Supreme Court will be 99 years old. On that day it will embark on a year-long celebration to commemorate its centennial on June 11, 2001.</w:t>
      </w:r>
    </w:p>
    <w:p w:rsidR="00000000" w:rsidDel="00000000" w:rsidP="00000000" w:rsidRDefault="00000000" w:rsidRPr="00000000" w14:paraId="0000082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Rarely does the Supreme Court celebrate itself, but who can blame a 100-year-old for thanking God and the people for giving it a long, meaningful and heroic life. Few institutions in this country can claim a century of nobility and respect. Indeed, the Supreme Court, inaugurated on June 11, 1901, is the same revered Supreme Court today, and for many tomorrows it will still be the same great tribunal, the last bulwark of democracy, and the final recourse of the damned.</w:t>
      </w:r>
    </w:p>
    <w:p w:rsidR="00000000" w:rsidDel="00000000" w:rsidP="00000000" w:rsidRDefault="00000000" w:rsidRPr="00000000" w14:paraId="0000082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remember fittingly the Court and the many great and heroic men who have graced its bench, the Centenary Executive Committee has lined up a number of activities and projects designed to be participated in, not only by jurists and lawyers, but by the general public as well, and to be held not only in the capital region but all over the Philippines.</w:t>
      </w:r>
    </w:p>
    <w:p w:rsidR="00000000" w:rsidDel="00000000" w:rsidP="00000000" w:rsidRDefault="00000000" w:rsidRPr="00000000" w14:paraId="0000082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have over 50 projects and activities. The more important are:</w:t>
      </w:r>
    </w:p>
    <w:p w:rsidR="00000000" w:rsidDel="00000000" w:rsidP="00000000" w:rsidRDefault="00000000" w:rsidRPr="00000000" w14:paraId="0000082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 A monthly lecture on various aspects of law and life, with invited lecturers from the US, Spanish, Hungarian and Israeli Supreme Courts, as well as other legal luminaries from here and abroad (Justice Ameurfina A. Melencio-Herrera, who is in-charge of this project and who is abroad on official mission, has asked me to announce that the series will begin on Tuesday, July 11, at 2:00 p.m., here in this Session Hall, with former Chief Justice Andres R. Narvasa lecturing on “The Chief Justices and Their Contributions to Philippine History.”) 2. Debates; as well as essay, oratorical and other literary and speech contests amongst law students</w:t>
      </w:r>
    </w:p>
    <w:p w:rsidR="00000000" w:rsidDel="00000000" w:rsidP="00000000" w:rsidRDefault="00000000" w:rsidRPr="00000000" w14:paraId="0000082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3. Mock trial courts involving interesting current issues</w:t>
      </w:r>
    </w:p>
    <w:p w:rsidR="00000000" w:rsidDel="00000000" w:rsidP="00000000" w:rsidRDefault="00000000" w:rsidRPr="00000000" w14:paraId="0000083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4. Various coffee-table books that depict the history of the Court, and that highlight decisions with literary, jurisprudential and historical value</w:t>
      </w:r>
    </w:p>
    <w:p w:rsidR="00000000" w:rsidDel="00000000" w:rsidP="00000000" w:rsidRDefault="00000000" w:rsidRPr="00000000" w14:paraId="0000083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5. Radio, TV and cinema features on the judiciary</w:t>
      </w:r>
    </w:p>
    <w:p w:rsidR="00000000" w:rsidDel="00000000" w:rsidP="00000000" w:rsidRDefault="00000000" w:rsidRPr="00000000" w14:paraId="0000083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6. Journalism awards for outstanding legal articles</w:t>
      </w:r>
    </w:p>
    <w:p w:rsidR="00000000" w:rsidDel="00000000" w:rsidP="00000000" w:rsidRDefault="00000000" w:rsidRPr="00000000" w14:paraId="0000083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7. Recognition of outstanding legal literature 8. Publication of a “benchbook” for trial judges</w:t>
      </w:r>
    </w:p>
    <w:p w:rsidR="00000000" w:rsidDel="00000000" w:rsidP="00000000" w:rsidRDefault="00000000" w:rsidRPr="00000000" w14:paraId="0000083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9. Strengthening of Alternative Dispute Resolution methods</w:t>
      </w:r>
    </w:p>
    <w:p w:rsidR="00000000" w:rsidDel="00000000" w:rsidP="00000000" w:rsidRDefault="00000000" w:rsidRPr="00000000" w14:paraId="0000083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10. The setting up of a foundation to fund endowments for professorial chairs in law, as well as fellowships for advance studies and scholarships for deserving but poor law students and lawyers</w:t>
      </w:r>
    </w:p>
    <w:p w:rsidR="00000000" w:rsidDel="00000000" w:rsidP="00000000" w:rsidRDefault="00000000" w:rsidRPr="00000000" w14:paraId="0000083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11. Various cultural presentations like plays, musicals, art and photo exhibits, as well as traveling carousels of the judiciary</w:t>
      </w:r>
    </w:p>
    <w:p w:rsidR="00000000" w:rsidDel="00000000" w:rsidP="00000000" w:rsidRDefault="00000000" w:rsidRPr="00000000" w14:paraId="0000083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12. Centennial awards for excellence to be given to deserving judges, prosecutors and other personnel in the justice system</w:t>
      </w:r>
    </w:p>
    <w:p w:rsidR="00000000" w:rsidDel="00000000" w:rsidP="00000000" w:rsidRDefault="00000000" w:rsidRPr="00000000" w14:paraId="0000083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13. Centennial ecumenical services and Masses 14. Commemorative parades and motorcades</w:t>
      </w:r>
    </w:p>
    <w:p w:rsidR="00000000" w:rsidDel="00000000" w:rsidP="00000000" w:rsidRDefault="00000000" w:rsidRPr="00000000" w14:paraId="0000083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15. Close bonding with the judiciary’s various publics, highlighted by a judiciary night with the tri-</w:t>
      </w:r>
    </w:p>
    <w:p w:rsidR="00000000" w:rsidDel="00000000" w:rsidP="00000000" w:rsidRDefault="00000000" w:rsidRPr="00000000" w14:paraId="0000083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media</w:t>
      </w:r>
    </w:p>
    <w:p w:rsidR="00000000" w:rsidDel="00000000" w:rsidP="00000000" w:rsidRDefault="00000000" w:rsidRPr="00000000" w14:paraId="0000083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16. Upgrading of the various physical facilities of the Supreme Court, including its Session Hall and main lobby; and the construction of a Division hearing room, multipurpose hall, auditorium and a multipurpose parking building (We will also hasten the setting up of Halls of Justice in various parts of the country.)</w:t>
      </w:r>
    </w:p>
    <w:p w:rsidR="00000000" w:rsidDel="00000000" w:rsidP="00000000" w:rsidRDefault="00000000" w:rsidRPr="00000000" w14:paraId="0000083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17. Construction of the Philippine Judicial Academy facilities in Tagaytay</w:t>
      </w:r>
    </w:p>
    <w:p w:rsidR="00000000" w:rsidDel="00000000" w:rsidP="00000000" w:rsidRDefault="00000000" w:rsidRPr="00000000" w14:paraId="0000083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18. Launching of an employees’ housing program and the development of the eight-hectare SC property in Quezon City. (This is the subject of a Memorandum of Agreement to be signed later on during this launching ceremony.)</w:t>
      </w:r>
    </w:p>
    <w:p w:rsidR="00000000" w:rsidDel="00000000" w:rsidP="00000000" w:rsidRDefault="00000000" w:rsidRPr="00000000" w14:paraId="0000083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19. Judiciary sportsfests and employee awareness programs</w:t>
      </w:r>
    </w:p>
    <w:p w:rsidR="00000000" w:rsidDel="00000000" w:rsidP="00000000" w:rsidRDefault="00000000" w:rsidRPr="00000000" w14:paraId="0000083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20. The computerization of the justice system (This will be discussed later by Mme. Justice Consuelo Ynares-Santiago, a member of the Court's Computerization Committee.)</w:t>
      </w:r>
    </w:p>
    <w:p w:rsidR="00000000" w:rsidDel="00000000" w:rsidP="00000000" w:rsidRDefault="00000000" w:rsidRPr="00000000" w14:paraId="00000840">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21. Continuing mandatory legal education for lawyers and other legal education reforms. (This will be elaborated on by Mr. Justice Vicente V. Mendoza in representation of Mr. Justice Jose C. Vitug, the chairman of our Legal Education Committee who is now abroad on official mission.)</w:t>
      </w:r>
    </w:p>
    <w:p w:rsidR="00000000" w:rsidDel="00000000" w:rsidP="00000000" w:rsidRDefault="00000000" w:rsidRPr="00000000" w14:paraId="0000084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22. “Zero backlog,” the resolution of all Supreme Court cases in which the last pleadings were filed at least 24 months ago '</w:t>
      </w:r>
    </w:p>
    <w:p w:rsidR="00000000" w:rsidDel="00000000" w:rsidP="00000000" w:rsidRDefault="00000000" w:rsidRPr="00000000" w14:paraId="0000084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23. Updating of our Rules of Court to keep pace with the rapidly evolving electronic age and the promulgation of Rules for the new family courts. (Later this will be explained in more detail by Mr. Justice Reynato S. Puno, chairman of the Court's standing Committee on Revision of Rules.)</w:t>
      </w:r>
    </w:p>
    <w:p w:rsidR="00000000" w:rsidDel="00000000" w:rsidP="00000000" w:rsidRDefault="00000000" w:rsidRPr="00000000" w14:paraId="0000084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24. Reforms in the system of admission to the bar and the upgrading of law schools</w:t>
      </w:r>
    </w:p>
    <w:p w:rsidR="00000000" w:rsidDel="00000000" w:rsidP="00000000" w:rsidRDefault="00000000" w:rsidRPr="00000000" w14:paraId="0000084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25. The culminating activity — a commemorative Centennial Celebration on June 11, 2001 — during which the President of the Philippines, the Vice President, the Senate President, the Speaker of the House of Representatives and the Chief Justices of various countries will be special guests</w:t>
      </w:r>
    </w:p>
    <w:p w:rsidR="00000000" w:rsidDel="00000000" w:rsidP="00000000" w:rsidRDefault="00000000" w:rsidRPr="00000000" w14:paraId="0000084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At this point, let me just emphasize that these projects are not mine alone to plan or to accomplish. Their accomplishment will be the result of the combined efforts of our Centenary Executive Committee, the members of which I now would like to acknowledge and recognize formally. They are as follows:</w:t>
      </w:r>
    </w:p>
    <w:p w:rsidR="00000000" w:rsidDel="00000000" w:rsidP="00000000" w:rsidRDefault="00000000" w:rsidRPr="00000000" w14:paraId="0000084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Leonardo A. Quisumbing, vice chairman, with the following members: Justice Santiago M. Kapunan Justice Vicente V. Mendoza Justice Bernardo P. Pardo Justice Arturo B. Buena Justice Minerva P. Gonzaga-Reyes Justice Consuelo M. Ynares-Santiago Justice Sabino R. de Leon Jr. Justice Jose Y. Feria (ret.) Justice Ameurfina A. Melencio-Herrera (ret.) Justice Carolina C. Grifiio-Aquino (ret.) Justice Abraham V. Sarmiento (ret.) Justice Alfredo L. Benipayo (Court Administrator) Justice Salome A. Montoya (CA) Justice Cancio C. Garcia (CA) Atty. Arthur D. Lim Atty. Luzviminda D. Puno Atty. Ma. Luisa D, Villarama Atty. Jose P. Perez Mr. Joseph Bryan Hilary P. Davide Atty. Ismael G. Khan Jr. Judge Danilo B. Pine Dean Hernando B. Perez Dean Merlin M. Magallona Atty. Ricardo J. Romulo</w:t>
      </w:r>
    </w:p>
    <w:p w:rsidR="00000000" w:rsidDel="00000000" w:rsidP="00000000" w:rsidRDefault="00000000" w:rsidRPr="00000000" w14:paraId="0000084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also have a Council of Advisers composed of Chief Justice Hilario G. Davide Jr., chairman, and the following members:</w:t>
      </w:r>
    </w:p>
    <w:p w:rsidR="00000000" w:rsidDel="00000000" w:rsidP="00000000" w:rsidRDefault="00000000" w:rsidRPr="00000000" w14:paraId="0000084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Justice Josue N. Bellosillo Justice Jose A.R. Melo Justice Reynato S. Puno Justice Jose C. Vitug</w:t>
      </w:r>
    </w:p>
    <w:p w:rsidR="00000000" w:rsidDel="00000000" w:rsidP="00000000" w:rsidRDefault="00000000" w:rsidRPr="00000000" w14:paraId="0000084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Retired Deputy Court Administrator Reynaldo L. Suarez is our executive officer.</w:t>
      </w:r>
    </w:p>
    <w:p w:rsidR="00000000" w:rsidDel="00000000" w:rsidP="00000000" w:rsidRDefault="00000000" w:rsidRPr="00000000" w14:paraId="0000084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 To their combined talents, efforts and enthusiasms, I attribute whatever merit there may be in the centenary projects and activities. Let us give them a big hand.</w:t>
      </w:r>
    </w:p>
    <w:p w:rsidR="00000000" w:rsidDel="00000000" w:rsidP="00000000" w:rsidRDefault="00000000" w:rsidRPr="00000000" w14:paraId="0000084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Finally, let me say that a number of well-intentioned people have cautioned me about having too many big and long-range projects, not all of which we may be able to accomplish in our one year of celebrations. I acknowledge these concerns and thank our friends for their reminders. I do realize that, indeed, we may not accomplish all of them within one year. I fervently hope, however, that with such an array of distinguished and ready-to-work Executive Committee members and advisers, we will be able to implement most of them and thus approximate Chief Justice Davide’s mandate to celebrate our centennial in a “grand manner.” I trust also that whatever we may not finish will be continued and implemented even after our centenary on June 11, 2001.</w:t>
      </w:r>
    </w:p>
    <w:p w:rsidR="00000000" w:rsidDel="00000000" w:rsidP="00000000" w:rsidRDefault="00000000" w:rsidRPr="00000000" w14:paraId="0000084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sum, we have great plans, and great people who are ready and willing to execute them. Indeed, I would rather that we have perfect plans that we may not accomplish completely than have faulty plans that we will achieve fully. As the great Michelangelo once said so aptly, “The greatest danger for most of us is not that our aim is too high and we miss it, but that it is too low and we reach it.”</w:t>
      </w:r>
    </w:p>
    <w:p w:rsidR="00000000" w:rsidDel="00000000" w:rsidP="00000000" w:rsidRDefault="00000000" w:rsidRPr="00000000" w14:paraId="0000084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84E">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Appendix C</w:t>
      </w:r>
    </w:p>
    <w:p w:rsidR="00000000" w:rsidDel="00000000" w:rsidP="00000000" w:rsidRDefault="00000000" w:rsidRPr="00000000" w14:paraId="000008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8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Service, Excellence and Truth’</w:t>
      </w:r>
    </w:p>
    <w:p w:rsidR="00000000" w:rsidDel="00000000" w:rsidP="00000000" w:rsidRDefault="00000000" w:rsidRPr="00000000" w14:paraId="00000852">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5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About two months ago, our esteemed past district governor and past president of the Rotary Club of Manila, Vince J. Carlos who is now chairman of the Program Committee of this Conference, called me up to invite me to speak before you today. Normally, Supreme Court justices limit their public appearances like speaking engagements and media interviews because, by the nature of their work, they are passive public servants. They act and speak only on matters brought to their attention by litigants. And after they issue their written decisions, they do not go around town defending their judgments.</w:t>
      </w:r>
    </w:p>
    <w:p w:rsidR="00000000" w:rsidDel="00000000" w:rsidP="00000000" w:rsidRDefault="00000000" w:rsidRPr="00000000" w14:paraId="0000085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Unlike cabinet members or legislators, jurists prefer to keep a low profile and to avoid public controversies as much as possible. They are supposed to listen to the parties to a litigation, and only after all sides are fully heard do they open their mouths or make known their judgments. And such judgments are expected to be final and complete; they should speak for themselves without need of explanation or elaboration. In fact, if a judgment needs further explanation or elaboration, it is not a good decision because it is either incomplete or incomprehensible. Part of the judicial mystique consists in being detached and apart, so as to be free from the biases that go with the three dreaded “ships”; namely, friendship, kinship and relationship.</w:t>
      </w:r>
    </w:p>
    <w:p w:rsidR="00000000" w:rsidDel="00000000" w:rsidP="00000000" w:rsidRDefault="00000000" w:rsidRPr="00000000" w14:paraId="0000085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Governor Vince was persuasive. He told me that a rotarian-justice is needed today because the topic is “Justice and Rotary in the New Millennium,” and the representative of Rotary International (RI) President Carlo Ravizza is a distinguished lawyer in the person of RI President-nominee Richard King. Governor Vince told me, “We must show President-nominee Richard that in our country, justice and Rotary are closely related, and that the best lawyers make the best rotarians.”</w:t>
      </w:r>
    </w:p>
    <w:p w:rsidR="00000000" w:rsidDel="00000000" w:rsidP="00000000" w:rsidRDefault="00000000" w:rsidRPr="00000000" w14:paraId="0000085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Hearing such a grand premise, I could only say, “Yes, I'll be there. Indeed, whenever Governor Vince calls, I answer; whenever Rotary summons, I come. Such is the magnet of Rotary; such is the drawing power of the greatest civic club in the world.”</w:t>
      </w:r>
    </w:p>
    <w:p w:rsidR="00000000" w:rsidDel="00000000" w:rsidP="00000000" w:rsidRDefault="00000000" w:rsidRPr="00000000" w14:paraId="000008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Lawyers Galore in Rotary</w:t>
      </w:r>
    </w:p>
    <w:p w:rsidR="00000000" w:rsidDel="00000000" w:rsidP="00000000" w:rsidRDefault="00000000" w:rsidRPr="00000000" w14:paraId="0000085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Come to think of it, if you will scan the leadership profile of this District Conference, you will realize that many of the front liners, starting with RI President-nominee Richard, are lawyers of substance.</w:t>
      </w:r>
    </w:p>
    <w:p w:rsidR="00000000" w:rsidDel="00000000" w:rsidP="00000000" w:rsidRDefault="00000000" w:rsidRPr="00000000" w14:paraId="0000085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Governor Vince himself is a lawyer of good standing and a past Cabinet member of this Republic, having been secretary of tourism a few years ago. Let us go over the list of top officers of Discon 2000. The chairman of the board of advisers, the only Filipino to serve as Rotary International president — Mat Caparas — is a great lawyer himself, as well as a former Cabinet member during the term of President Corazon C. Aquino.</w:t>
      </w:r>
    </w:p>
    <w:p w:rsidR="00000000" w:rsidDel="00000000" w:rsidP="00000000" w:rsidRDefault="00000000" w:rsidRPr="00000000" w14:paraId="0000085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Our incumbent district governor, Frankie S. Roman, is likewise a full-fledged attorney who has conquered the interesting world of public relations and advertising. Conference Chairman Tito Gupit is a respected lawyer, law dean and law professor. An advocate who has passed the litmus test of nomination by the Judicial and Bar Council for possible appointment to the Supreme Court, he is one of the very few to make it direct from private law practice.</w:t>
      </w:r>
    </w:p>
    <w:p w:rsidR="00000000" w:rsidDel="00000000" w:rsidP="00000000" w:rsidRDefault="00000000" w:rsidRPr="00000000" w14:paraId="0000085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Lawyers of no mean ability and public acclaim are District Conference (Discon) 2000 Co-chair Netoy M. Sevilla and a host of others who have taken time out from their busy professional and business schedules to wade into the Rotary world of “service above self; he profits most who serves best.”</w:t>
      </w:r>
    </w:p>
    <w:p w:rsidR="00000000" w:rsidDel="00000000" w:rsidP="00000000" w:rsidRDefault="00000000" w:rsidRPr="00000000" w14:paraId="0000085C">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it may be asked: why do these lawyers of note — all successful, all outstanding, and all pedigreed citizens — spend their time, talent and treasure on Rotary? For that matter, why do all of us, over 800 strong in this plenary session, accept the heavy responsibilities of being Rotarians?</w:t>
      </w:r>
    </w:p>
    <w:p w:rsidR="00000000" w:rsidDel="00000000" w:rsidP="00000000" w:rsidRDefault="00000000" w:rsidRPr="00000000" w14:paraId="0000085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am sure each of us, all of us, have answered this question many times over. In my case, let me begin answering that question by saying that by policy and practice, members of the Supreme Court divest themselves of most of their nonjudicial involvements upon assuming their duties. They are in fact required to terminate their connections with private organizations and clubs.</w:t>
      </w:r>
    </w:p>
    <w:p w:rsidR="00000000" w:rsidDel="00000000" w:rsidP="00000000" w:rsidRDefault="00000000" w:rsidRPr="00000000" w14:paraId="0000085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Thus, though I had been active in more than fifteen organizations prior to my appointment to the Court, [had to resign from them upon assuming office. However, I requested partial exemption from this stringent policy; I begged the Court to allow me to retain my membership in the Rotary Club of Manila (and in two other groups). | explained that although some rotarians may have pending court litigations, I was sure that they would not use their Rotary memberships as an excuse to influence judicial decisions. After all, Rotary is not a social club, and membership is not used for selfish or private gain. Besides, before my appointment to the Supreme Court, there had been other magistrates like Justices George Malcolm, Edgardo Paras and Teodoro Padilla who were Manila Rotarians.</w:t>
      </w:r>
    </w:p>
    <w:p w:rsidR="00000000" w:rsidDel="00000000" w:rsidP="00000000" w:rsidRDefault="00000000" w:rsidRPr="00000000" w14:paraId="0000085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After having reached the summit of my career as a lawyer through my appointment to the highest court of the land, why did I still insist on continuing my membership in Rotary? What links Rotary to the dispensation of justice in the new millennium? As I said last year when I inducted the 57 club presidents of District 3830 on June 29, 1999: [am a Rotarian and proud to be one, because Rotary satisfies my quest for three things — (1) service for others, (2) excellence in my work, and (3) truth in everything I say or do. Let me explain each of these.</w:t>
      </w:r>
    </w:p>
    <w:p w:rsidR="00000000" w:rsidDel="00000000" w:rsidP="00000000" w:rsidRDefault="00000000" w:rsidRPr="00000000" w14:paraId="00000860">
      <w:pPr>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Service for Others</w:t>
      </w:r>
    </w:p>
    <w:p w:rsidR="00000000" w:rsidDel="00000000" w:rsidP="00000000" w:rsidRDefault="00000000" w:rsidRPr="00000000" w14:paraId="0000086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on service for others. I joined the Rotary Club of Manila in 1983 and became its 72nd president seven years afterwards, in 1990-1991. Like all of you, my work as president did not begin only upon my induction into office. I started the hectic preparations for my term right after my election six months earlier: by choosing my various projects, by energizing each of the 67 committees I had appointed to undertake them, and by preparing a week-by-week timetable for each of those committees.</w:t>
      </w:r>
    </w:p>
    <w:p w:rsidR="00000000" w:rsidDel="00000000" w:rsidP="00000000" w:rsidRDefault="00000000" w:rsidRPr="00000000" w14:paraId="0000086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that year and a half (6 months as president-elect and 12 months as president), I was almost full-time with Rotary. I had to take leave from my practice of law and from my various businesses then, and to delegate much of my work to my law partners and business associates. It was truly amazing. To fulfill my Rotary duties, I stopped earning from my usual profession and businesses and, on top of that, contributed money, time and effort. Such is every Rotarian’s commitment to service.</w:t>
      </w:r>
    </w:p>
    <w:p w:rsidR="00000000" w:rsidDel="00000000" w:rsidP="00000000" w:rsidRDefault="00000000" w:rsidRPr="00000000" w14:paraId="0000086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During my valedictory on June 27, 1991, | recounted to our club our one year of love and service and happily reported that we had completed 185 projects. Apart from those planned and included in the original program of action, we had to undertake new projects brought about by emergencies like that killer earthquake in July 1990, just two weeks into my presidency; and later on, the eruption of Mt. Pinatubo in June of 1991, just a few days before my term expired. While I had planned to raise a total of P6 million to support my program, I actually collected P22 million, of which P8 million went to the Rotary earthquake fund, P4 million to the “Preserve Planet Earth” multimedia campaign, P3 million to our district conference and the rest to our other projects.</w:t>
      </w:r>
    </w:p>
    <w:p w:rsidR="00000000" w:rsidDel="00000000" w:rsidP="00000000" w:rsidRDefault="00000000" w:rsidRPr="00000000" w14:paraId="0000086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what was noticeable and impressive was not really the ability of our members to write checks in support of our projects, but their willingness to roll up their sleeves and wade deep into “hands-on” service. Indeed, almost every one of the 430 members of our club participated directly in such undertaking. While they gave money to enable us to buy many material things, what truly impressed me was their commitment to give the many more things that money could not buy — like their time, their personal service, their love for the poor, and their dedication to serve the least of their fellowmen.</w:t>
      </w:r>
    </w:p>
    <w:p w:rsidR="00000000" w:rsidDel="00000000" w:rsidP="00000000" w:rsidRDefault="00000000" w:rsidRPr="00000000" w14:paraId="0000086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Looking back to my hectic presidency, what did I gain? No, I did not become any richer or more powerful or even more prominent. But now as I reminisce, I look back to the joy we had in serving others, to our ecstasy in working with no material reward in mind. I experienced self-fulfillment and contentment in selfless service.</w:t>
      </w:r>
    </w:p>
    <w:p w:rsidR="00000000" w:rsidDel="00000000" w:rsidP="00000000" w:rsidRDefault="00000000" w:rsidRPr="00000000" w14:paraId="0000086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more than the human satisfaction is the divine inspiration. Truly, our credo of “Service Above Self — He Profits Most Who Serves Best” is not just an idle capitalist maxim invented by Paul Harris. Beyond mere sloganeering, he was really restating a theological truth: that we glorify God when we serve our fellowmen. For was it not our Lord Jesus Christ who said that when we feed the hungry, clothe the naked, shelter the homeless and comfort the afflicted, we really do it for God?</w:t>
      </w:r>
    </w:p>
    <w:p w:rsidR="00000000" w:rsidDel="00000000" w:rsidP="00000000" w:rsidRDefault="00000000" w:rsidRPr="00000000" w14:paraId="0000086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this larger sense, our work in Rotary is not only our joy for the here and now, but really and truly our anointment for the hereafter and forever. For indeed, when we on that inevitable day finally knock on the pearly gates and face our Creator and Ultimate Judge, He will not ask us how many digits there were in our bank accounts, or how many diplomas and plaques of appreciation we received, or what our positions in government were, or even how many times we went to church. Rather, our Lord and Master will quiz us on whether we helped the marginalized, sheltered the homeless, fed the hungry, healed the sick and protected the oppressed. And we Rotarians will answer, “Yes, Lord, in all good faith and dedication, beyond our quest for fame and fortune, we served our fellowmen above self through our hands-on immersion in Rotary work.” Then our Lord will say, “Welcome to my everlasting Kingdom.”</w:t>
      </w:r>
    </w:p>
    <w:p w:rsidR="00000000" w:rsidDel="00000000" w:rsidP="00000000" w:rsidRDefault="00000000" w:rsidRPr="00000000" w14:paraId="000008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Pursuit of Excellence</w:t>
      </w:r>
    </w:p>
    <w:p w:rsidR="00000000" w:rsidDel="00000000" w:rsidP="00000000" w:rsidRDefault="00000000" w:rsidRPr="00000000" w14:paraId="00000869">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will now discuss my second reason. I am a Rotarian because Rotary satisfies my quest for excellence. Rotary demands not only service for others, but the best service possible. Because Rotary work is voluntary, it is given without expectation of any reward or compensation. Rotarians perform civic and humanitarian endeavors, not because of public acclaim, but because they want to do it, because they love to do it. Rotary being a labor of love, members perform their work with a passion for excellence — they serve others in ways and modes they would not employ for money or material rewards.</w:t>
      </w:r>
    </w:p>
    <w:p w:rsidR="00000000" w:rsidDel="00000000" w:rsidP="00000000" w:rsidRDefault="00000000" w:rsidRPr="00000000" w14:paraId="0000086A">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But more than bringing out the best in themselves, Rotarians also inspire the best in others. Hence, Rotary sponsors awards for outstanding journalists, workers and teachers; grants scholarships to deserving students; sends exchange study teams to foreign lands; sponsors oratorical, essay-writing and choral contests; and supports Rotaract and Interact Clubs.</w:t>
      </w:r>
    </w:p>
    <w:p w:rsidR="00000000" w:rsidDel="00000000" w:rsidP="00000000" w:rsidRDefault="00000000" w:rsidRPr="00000000" w14:paraId="0000086B">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By bringing out the best in our members as well as in others, Rotary becomes our beacon in our pursuit of excellence. Inevitably, it ends up as our source of self-dignity, self-worth and self-fulfillment.</w:t>
      </w:r>
    </w:p>
    <w:p w:rsidR="00000000" w:rsidDel="00000000" w:rsidP="00000000" w:rsidRDefault="00000000" w:rsidRPr="00000000" w14:paraId="000008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Search for Truth</w:t>
      </w:r>
    </w:p>
    <w:p w:rsidR="00000000" w:rsidDel="00000000" w:rsidP="00000000" w:rsidRDefault="00000000" w:rsidRPr="00000000" w14:paraId="0000086D">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Let me now go to the third reason. I am a Rotarian because Rotary fulfills my search for truth. All of us in Rotary are pledged to use the Four-Way Test in all our actions and dealings with others. First and foremost among these four tests is the question “Is it the truth?”</w:t>
      </w:r>
    </w:p>
    <w:p w:rsidR="00000000" w:rsidDel="00000000" w:rsidP="00000000" w:rsidRDefault="00000000" w:rsidRPr="00000000" w14:paraId="0000086E">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Every Rotarian is expected to say and do only the truth. This passion for verity unites my oath in the judiciary with my commitment to Rotary. Verily, the search for truth is the essence of life itself. Without truth, life becomes a mirage and work becomes a charade. How true it is that falsehood leads to loss of self-esteem and self-worth.</w:t>
      </w:r>
    </w:p>
    <w:p w:rsidR="00000000" w:rsidDel="00000000" w:rsidP="00000000" w:rsidRDefault="00000000" w:rsidRPr="00000000" w14:paraId="0000086F">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truth searchers, Rotarians, like judges, really aim for integrity that encompasses not merely honesty in dealing with our fellowmen. Integrity includes intellectual decency and a deep sense of personal honor, both of which transcend a desire for public acclaim or recognition. A person of true integrity judges himself not only by his outward acts, but by his own secret intentions which are known only to himself and to his God.</w:t>
      </w:r>
    </w:p>
    <w:p w:rsidR="00000000" w:rsidDel="00000000" w:rsidP="00000000" w:rsidRDefault="00000000" w:rsidRPr="00000000" w14:paraId="0000087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Personal Notes</w:t>
      </w:r>
    </w:p>
    <w:p w:rsidR="00000000" w:rsidDel="00000000" w:rsidP="00000000" w:rsidRDefault="00000000" w:rsidRPr="00000000" w14:paraId="00000871">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Before I end this message, let me just add two personal notes.</w:t>
      </w:r>
    </w:p>
    <w:p w:rsidR="00000000" w:rsidDel="00000000" w:rsidP="00000000" w:rsidRDefault="00000000" w:rsidRPr="00000000" w14:paraId="00000872">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First, may I say that it was in Rotary where I met former President Fidel V. Ramos who, upon appointing me to the Supreme Court more than four years ago, told me that my being a fellow Rotarian enabled him to gauge my personal and official performance. If I had not joined Rotary and practiced the SET values of service, excellence and truth, then perhaps I would never have met our former president, and he would never have been able to assess my capability as a lawyer and as a leader. For this opportunity for public service, I will always be grateful to President Ramos and to Kotary.</w:t>
      </w:r>
    </w:p>
    <w:p w:rsidR="00000000" w:rsidDel="00000000" w:rsidP="00000000" w:rsidRDefault="00000000" w:rsidRPr="00000000" w14:paraId="00000873">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Second, may I repeat my regrets at my inability to participate as actively as I want to in our Rotary activities. You see, while the core values of Rotary and the judiciary are similar, there is however a difference in the manner in which the judiciary expresses and fulfills these values. While in Rotary we pursue our goals by linking arm-in-arm and getting together to promote our club activities, the Judicial Code of Ethics bars jurists from socializing so freely and so frequently.</w:t>
      </w:r>
    </w:p>
    <w:p w:rsidR="00000000" w:rsidDel="00000000" w:rsidP="00000000" w:rsidRDefault="00000000" w:rsidRPr="00000000" w14:paraId="00000874">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Jurists are expected to be impartial in all their actions. To do this, they must isolate themselves, so as not to be influenced by factors and matters other than the facts, issues, and points of law raised in the litigations before them. I know that Rotarians are men of integrity and discretion, who will not wittingly or unwittingly sway jurists; much less, influence them directly and unethically. But the public, especially litigants who are not Rotarians, may not understand unnecessary coziness or public displays of camaraderie and friendship.</w:t>
      </w:r>
    </w:p>
    <w:p w:rsidR="00000000" w:rsidDel="00000000" w:rsidP="00000000" w:rsidRDefault="00000000" w:rsidRPr="00000000" w14:paraId="00000875">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hope then that you will understand my need for some degree of judicial isolation, as I cut off too much intimacy in conversations, limit my presence in our social functions, and restrict my participation in some Rotary avenues of service. A number of you may have been disappointed with me for refusing to receive visitors and telephone calls and shunning conversation regarding my work. But please, know that even in activities affecting my very home, I am restricted in my actions. For instance, I could not offer any opinion regarding the proposed commercial rezoning of the Makati village where I live; or give my opinion in an election controversy that scandalized the sports club where, as a member, I regularly play tennis.</w:t>
      </w:r>
    </w:p>
    <w:p w:rsidR="00000000" w:rsidDel="00000000" w:rsidP="00000000" w:rsidRDefault="00000000" w:rsidRPr="00000000" w14:paraId="00000876">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 fellow Rotarians, even if you do not see me or talk to me as often as before, even if I may have been entombed in isolation at the Supreme Court, and even if I may have taken the judicial vow of silence on many matters that call for advocacy and outcry, I assure you I am doing my judicial work quietly, competently and honestly, so much so that you can take pride in having a Rotarian-justice who is faithful to the reclusive and exclusive work of magistracy. With that caveat, let me end by going back to the topic “Justice and Rotary in the New Millennium.”</w:t>
      </w:r>
    </w:p>
    <w:p w:rsidR="00000000" w:rsidDel="00000000" w:rsidP="00000000" w:rsidRDefault="00000000" w:rsidRPr="00000000" w14:paraId="00000877">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Great indeed is the worldwide Rotary movement. Greater still is the relevance and application of the Rotary ideals of SERVICE, EXCELLENCE and TRUTH (or SET) to the promotion of justice in our country and elsewhere. Wonder no more, then, that great lawyers like our top personalities today — including RI President-nominee Richard, RI Past President Mat, District Governors Vince and Frankie, President Tito and PP Netoy —are a hundred percent committed as great Rotarians. For indeed, Rotary and justice are intertwined intimately. Truly, the Rotary ideals of SET — service, excellence and truth — are the very same standards that enliven and embody justice in the Philippines and in the world!</w:t>
      </w:r>
    </w:p>
    <w:p w:rsidR="00000000" w:rsidDel="00000000" w:rsidP="00000000" w:rsidRDefault="00000000" w:rsidRPr="00000000" w14:paraId="00000878">
      <w:pP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 thank you.</w:t>
      </w:r>
    </w:p>
    <w:p w:rsidR="00000000" w:rsidDel="00000000" w:rsidP="00000000" w:rsidRDefault="00000000" w:rsidRPr="00000000" w14:paraId="00000879">
      <w:pPr>
        <w:rPr>
          <w:rFonts w:ascii="Georgia" w:cs="Georgia" w:eastAsia="Georgia" w:hAnsi="Georgi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8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INDEX</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Achacoso, Rufino 69</w:t>
        <w:br w:type="textWrapping"/>
        <w:t xml:space="preserve">Administrative Order No. 372</w:t>
        <w:br w:type="textWrapping"/>
        <w:t xml:space="preserve">Annulment 394</w:t>
        <w:br w:type="textWrapping"/>
        <w:t xml:space="preserve">Administrative proceedings</w:t>
        <w:br w:type="textWrapping"/>
        <w:t xml:space="preserve">Due process 290, 291</w:t>
        <w:br w:type="textWrapping"/>
        <w:t xml:space="preserve">Administrative rules &amp; regulations</w:t>
        <w:br w:type="textWrapping"/>
        <w:t xml:space="preserve">Annulment 394</w:t>
        <w:br w:type="textWrapping"/>
        <w:t xml:space="preserve">Admission to the bar 16, 36</w:t>
        <w:br w:type="textWrapping"/>
        <w:t xml:space="preserve">Agarao, Carina 231</w:t>
        <w:br w:type="textWrapping"/>
        <w:t xml:space="preserve">Aggravating circumstance 260-261</w:t>
        <w:br w:type="textWrapping"/>
        <w:t xml:space="preserve">Alcibiades 11</w:t>
        <w:br w:type="textWrapping"/>
        <w:t xml:space="preserve">Alternative dispute resolution (ADR) 22, 40</w:t>
        <w:br w:type="textWrapping"/>
        <w:t xml:space="preserve">Amazon.com 48, 50</w:t>
        <w:br w:type="textWrapping"/>
        <w:t xml:space="preserve">American Online 48</w:t>
        <w:br w:type="textWrapping"/>
        <w:t xml:space="preserve">Ancheta, Alonzo Q 42</w:t>
        <w:br w:type="textWrapping"/>
        <w:t xml:space="preserve">Appellate system 12, 13</w:t>
        <w:br w:type="textWrapping"/>
        <w:t xml:space="preserve">Aquino, Carolina C. Griño 462</w:t>
        <w:br w:type="textWrapping"/>
        <w:t xml:space="preserve">Aquino, Corazon C. 466</w:t>
        <w:br w:type="textWrapping"/>
        <w:t xml:space="preserve">Arbitration 40, 41</w:t>
        <w:br w:type="textWrapping"/>
        <w:t xml:space="preserve">Arrest warrant 216-227</w:t>
        <w:br w:type="textWrapping"/>
        <w:t xml:space="preserve">Arrests</w:t>
        <w:br w:type="textWrapping"/>
        <w:t xml:space="preserve">Extradition 329, 332</w:t>
        <w:br w:type="textWrapping"/>
        <w:t xml:space="preserve">Asia Foundation 26, 34</w:t>
        <w:br w:type="textWrapping"/>
        <w:t xml:space="preserve">Asian Development Bank 26, 34</w:t>
        <w:br w:type="textWrapping"/>
        <w:t xml:space="preserve">Audi alteram partem 303</w:t>
        <w:br w:type="textWrapping"/>
        <w:t xml:space="preserve">Aumentado, Erico B 18, 37</w:t>
        <w:br w:type="textWrapping"/>
        <w:t xml:space="preserve">Australian AID 26, 34</w:t>
        <w:br w:type="textWrapping"/>
        <w:t xml:space="preserve">Automatic appeals 13</w:t>
        <w:br w:type="textWrapping"/>
        <w:t xml:space="preserve">Backlog 5-10</w:t>
        <w:br w:type="textWrapping"/>
        <w:t xml:space="preserve">Definition 6</w:t>
        <w:br w:type="textWrapping"/>
        <w:t xml:space="preserve">Back wages 168-170</w:t>
        <w:br w:type="textWrapping"/>
        <w:t xml:space="preserve">Bail 199-203</w:t>
        <w:br w:type="textWrapping"/>
        <w:t xml:space="preserve">Bail bond 199, 224-227</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Ballot secrecy 388, 389</w:t>
        <w:br w:type="textWrapping"/>
        <w:t xml:space="preserve">Banatao, Diosdado 97</w:t>
        <w:br w:type="textWrapping"/>
        <w:t xml:space="preserve">Bantay Katarungan 24, 43</w:t>
        <w:br w:type="textWrapping"/>
        <w:t xml:space="preserve">Bar examinations 35</w:t>
        <w:br w:type="textWrapping"/>
        <w:t xml:space="preserve">Batas Pambansa Blg. 22 13, 41</w:t>
        <w:br w:type="textWrapping"/>
        <w:t xml:space="preserve">“Battered woman syndrome” 272, 273</w:t>
        <w:br w:type="textWrapping"/>
        <w:t xml:space="preserve">Battles in the Supreme Court xi, 6, 107, 229, 273,</w:t>
        <w:br w:type="textWrapping"/>
        <w:t xml:space="preserve">276, 277</w:t>
        <w:br w:type="textWrapping"/>
        <w:t xml:space="preserve">Bautista, Violeta 231</w:t>
        <w:br w:type="textWrapping"/>
        <w:t xml:space="preserve">Bellosillo, Josue N. 44, 211, 223, 240, 254</w:t>
        <w:br w:type="textWrapping"/>
        <w:t xml:space="preserve">255, 257, 259, 279, 291, 324, 328,</w:t>
        <w:br w:type="textWrapping"/>
        <w:t xml:space="preserve">338, 349, 377, 417, 425</w:t>
        <w:br w:type="textWrapping"/>
        <w:t xml:space="preserve">Benipayo, Alfredo L 9, 10, 462</w:t>
        <w:br w:type="textWrapping"/>
        <w:t xml:space="preserve">Bezos, Jeff 48, 63</w:t>
        <w:br w:type="textWrapping"/>
        <w:t xml:space="preserve">Bigamy 434-449</w:t>
        <w:br w:type="textWrapping"/>
        <w:t xml:space="preserve">Blueprint of Action for the Judiciary 60</w:t>
        <w:br w:type="textWrapping"/>
        <w:t xml:space="preserve">Bouncing checks 13, 41</w:t>
        <w:br w:type="textWrapping"/>
        <w:t xml:space="preserve">Decriminalization 23</w:t>
        <w:br w:type="textWrapping"/>
        <w:t xml:space="preserve">Buena, Arturo B 241, 261, 279, 328, 338,</w:t>
        <w:br w:type="textWrapping"/>
        <w:t xml:space="preserve">349, 377, 417, 425</w:t>
        <w:br w:type="textWrapping"/>
        <w:t xml:space="preserve">CD-Roms 71, 79</w:t>
        <w:br w:type="textWrapping"/>
        <w:t xml:space="preserve">CIDA 26, 34</w:t>
        <w:br w:type="textWrapping"/>
        <w:t xml:space="preserve">Caparas, Mat 466, 473</w:t>
        <w:br w:type="textWrapping"/>
        <w:t xml:space="preserve">Capital offenses</w:t>
        <w:br w:type="textWrapping"/>
        <w:t xml:space="preserve">Appeals 23, 41</w:t>
        <w:br w:type="textWrapping"/>
        <w:t xml:space="preserve">Bail 198</w:t>
        <w:br w:type="textWrapping"/>
        <w:t xml:space="preserve">Career jurists 44, 472</w:t>
        <w:br w:type="textWrapping"/>
        <w:t xml:space="preserve">Carlos, Vince J 464-466, 474</w:t>
        <w:br w:type="textWrapping"/>
        <w:t xml:space="preserve">Carpio, Antonio T 37, 42</w:t>
        <w:br w:type="textWrapping"/>
        <w:t xml:space="preserve">Case Administration System (CAS) 19, 53</w:t>
        <w:br w:type="textWrapping"/>
        <w:t xml:space="preserve">Caseflow</w:t>
        <w:br w:type="textWrapping"/>
        <w:t xml:space="preserve">Statistics 27, 28</w:t>
        <w:br w:type="textWrapping"/>
        <w:t xml:space="preserve">Case, Stephen 68</w:t>
        <w:br w:type="textWrapping"/>
        <w:t xml:space="preserve">Cayetano, Renato L. 18, 37</w:t>
        <w:br w:type="textWrapping"/>
        <w:t xml:space="preserve">Centenary Celebrations 457, 463</w:t>
        <w:br w:type="textWrapping"/>
        <w:t xml:space="preserve">Projects 459</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Centenary Executive Committee 16, 34, 35, 457,</w:t>
        <w:br w:type="textWrapping"/>
        <w:t xml:space="preserve">Composition 458, 461, 462</w:t>
        <w:br w:type="textWrapping"/>
        <w:t xml:space="preserve">Chambers, John 67</w:t>
        <w:br w:type="textWrapping"/>
        <w:t xml:space="preserve">Change in men 72, 86</w:t>
        <w:br w:type="textWrapping"/>
        <w:t xml:space="preserve">Civil action 204-215</w:t>
        <w:br w:type="textWrapping"/>
        <w:t xml:space="preserve">Civil Service Commission 80, 90</w:t>
        <w:br w:type="textWrapping"/>
        <w:t xml:space="preserve">Clear and present danger rule 380, 381</w:t>
        <w:br w:type="textWrapping"/>
        <w:t xml:space="preserve">Code of Canon Law 195-197</w:t>
        <w:br w:type="textWrapping"/>
        <w:t xml:space="preserve">Collas, Juan G. 42</w:t>
        <w:br w:type="textWrapping"/>
        <w:t xml:space="preserve">Collective bargaining agreement 168-170</w:t>
        <w:br w:type="textWrapping"/>
        <w:t xml:space="preserve">Commercial disputes 40</w:t>
        <w:br w:type="textWrapping"/>
        <w:t xml:space="preserve">Commission on Audit</w:t>
        <w:br w:type="textWrapping"/>
        <w:t xml:space="preserve">Appeals 13</w:t>
        <w:br w:type="textWrapping"/>
        <w:t xml:space="preserve">Commission on Election</w:t>
        <w:br w:type="textWrapping"/>
        <w:t xml:space="preserve">Appeals 13</w:t>
        <w:br w:type="textWrapping"/>
        <w:t xml:space="preserve">Committee on Computerization 53</w:t>
        <w:br w:type="textWrapping"/>
        <w:t xml:space="preserve">Committee on Legal Education 16, 35</w:t>
        <w:br w:type="textWrapping"/>
        <w:t xml:space="preserve">Committee on Public Information xiv, 4, 59</w:t>
        <w:br w:type="textWrapping"/>
        <w:t xml:space="preserve">Committee on the Revision of the Rules of Court 24</w:t>
        <w:br w:type="textWrapping"/>
        <w:t xml:space="preserve">Company closure 278, 286</w:t>
        <w:br w:type="textWrapping"/>
        <w:t xml:space="preserve">Benefits 170-173, 177-180</w:t>
        <w:br w:type="textWrapping"/>
        <w:t xml:space="preserve">Company losses</w:t>
        <w:br w:type="textWrapping"/>
        <w:t xml:space="preserve">Retrenchment 183-185</w:t>
        <w:br w:type="textWrapping"/>
        <w:t xml:space="preserve">Compromise agreements 133, 134, 147-152</w:t>
        <w:br w:type="textWrapping"/>
        <w:t xml:space="preserve">Computer-Assisted Legal Research (CARL) 19, 53</w:t>
        <w:br w:type="textWrapping"/>
        <w:t xml:space="preserve">Computerization 19, 20, 39, 53</w:t>
        <w:br w:type="textWrapping"/>
        <w:t xml:space="preserve">Concepcion, Roberto 311, 312</w:t>
        <w:br w:type="textWrapping"/>
        <w:t xml:space="preserve">Conservator 119-121, 127-129</w:t>
        <w:br w:type="textWrapping"/>
        <w:t xml:space="preserve">Constitution (1987), Art. XIII, Sec. 3 316</w:t>
        <w:br w:type="textWrapping"/>
        <w:t xml:space="preserve">Constitution (1987), Art. III, Sec. 7 330</w:t>
        <w:br w:type="textWrapping"/>
        <w:t xml:space="preserve">Constitution (1987), Art. VI, Sec. 5 342, 343</w:t>
        <w:br w:type="textWrapping"/>
        <w:t xml:space="preserve">Constitution (1987), Art. VIII, Sec. 4 413, 414, 418, 420</w:t>
        <w:br w:type="textWrapping"/>
        <w:t xml:space="preserve">Constitution (1987), Art. VIII, Sec. 15 6</w:t>
        <w:br w:type="textWrapping"/>
        <w:t xml:space="preserve">Constitution (1987), Art. X, Sec. 4 395</w:t>
        <w:br w:type="textWrapping"/>
        <w:t xml:space="preserve">Constitution (1987), Art. X, Sec. 6 405</w:t>
        <w:br w:type="textWrapping"/>
        <w:t xml:space="preserve">Constitution (1987), Art. XIII, Sec. 3 167</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Constitution (1987), Art. XVIII, Sec. 26 139, 142-144</w:t>
        <w:br w:type="textWrapping"/>
        <w:t xml:space="preserve">Constitutional rights 12</w:t>
        <w:br w:type="textWrapping"/>
        <w:t xml:space="preserve">Continuing legal education program 55</w:t>
        <w:br w:type="textWrapping"/>
        <w:t xml:space="preserve">Contract of sale 118-123, 127</w:t>
        <w:br w:type="textWrapping"/>
        <w:t xml:space="preserve">Conviction for lesser offense 257</w:t>
        <w:br w:type="textWrapping"/>
        <w:t xml:space="preserve">Corruption, Incompetence and Delay (CID) 42</w:t>
        <w:br w:type="textWrapping"/>
        <w:t xml:space="preserve">Cortes, Irene R. 298</w:t>
        <w:br w:type="textWrapping"/>
        <w:t xml:space="preserve">Cortes, Josefina R. 65</w:t>
        <w:br w:type="textWrapping"/>
        <w:t xml:space="preserve">Counterclaim 204-215</w:t>
        <w:br w:type="textWrapping"/>
        <w:t xml:space="preserve">Court decisions</w:t>
        <w:br w:type="textWrapping"/>
        <w:t xml:space="preserve">Diversity 229</w:t>
        <w:br w:type="textWrapping"/>
        <w:t xml:space="preserve">Statistics - CA &amp; Sandiganbayan</w:t>
        <w:br w:type="textWrapping"/>
        <w:t xml:space="preserve">Disposed cases 7</w:t>
        <w:br w:type="textWrapping"/>
        <w:t xml:space="preserve">Statistics -SC disposed cases 5</w:t>
        <w:br w:type="textWrapping"/>
        <w:t xml:space="preserve">Statistics -Trial courts disposed cases 8</w:t>
        <w:br w:type="textWrapping"/>
        <w:t xml:space="preserve">Court Delay 3, 4, 23</w:t>
        <w:br w:type="textWrapping"/>
        <w:t xml:space="preserve">Causes 11-15</w:t>
        <w:br w:type="textWrapping"/>
        <w:t xml:space="preserve">Solutions 15-25</w:t>
        <w:br w:type="textWrapping"/>
        <w:t xml:space="preserve">Court of Appeals</w:t>
        <w:br w:type="textWrapping"/>
        <w:t xml:space="preserve">Capital offenses 23, 41</w:t>
        <w:br w:type="textWrapping"/>
        <w:t xml:space="preserve">Decided cases 7</w:t>
        <w:br w:type="textWrapping"/>
        <w:t xml:space="preserve">Court of Tax Appeals</w:t>
        <w:br w:type="textWrapping"/>
        <w:t xml:space="preserve">Decided cases 8</w:t>
        <w:br w:type="textWrapping"/>
        <w:t xml:space="preserve">Court officials &amp; employees</w:t>
        <w:br w:type="textWrapping"/>
        <w:t xml:space="preserve">Delays 15</w:t>
        <w:br w:type="textWrapping"/>
        <w:t xml:space="preserve">Courthouses 19, 39</w:t>
        <w:br w:type="textWrapping"/>
        <w:t xml:space="preserve">Criminal action 204-215</w:t>
        <w:br w:type="textWrapping"/>
        <w:t xml:space="preserve">Cruz, Edgardo P 24</w:t>
        <w:br w:type="textWrapping"/>
        <w:t xml:space="preserve">Cyber technology 46, 49</w:t>
        <w:br w:type="textWrapping"/>
        <w:t xml:space="preserve">Catholic Bishops Conference of the</w:t>
        <w:br w:type="textWrapping"/>
        <w:t xml:space="preserve">Philippines (CBCP) 231</w:t>
        <w:br w:type="textWrapping"/>
        <w:t xml:space="preserve">Dangerous tendency rule 380, 381</w:t>
        <w:br w:type="textWrapping"/>
        <w:t xml:space="preserve">Davide Hilario G. Jr. xvi, xv, 1, 10, 44, 53, 59,</w:t>
        <w:br w:type="textWrapping"/>
        <w:t xml:space="preserve">211, 223, 239, 241, 242, 255, 261, 279, 328, 338, 349, 377,</w:t>
        <w:br w:type="textWrapping"/>
        <w:t xml:space="preserve">425, 446, 453-456, 462, 463</w:t>
        <w:br w:type="textWrapping"/>
        <w:t xml:space="preserve">Davide, Joseph Bryan Hilary 462</w:t>
        <w:br w:type="textWrapping"/>
        <w:t xml:space="preserve">Davide Watch v, 1, 10, 26, 59</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De Leon, Sabino Jr 53, 239, 241, 243, 255, 258, 279,</w:t>
        <w:br w:type="textWrapping"/>
        <w:t xml:space="preserve">338, 349, 377, 417, 425, 432, 462</w:t>
        <w:br w:type="textWrapping"/>
        <w:t xml:space="preserve">De Leon, Sonia Yuson 6</w:t>
        <w:br w:type="textWrapping"/>
        <w:t xml:space="preserve">Death penalty</w:t>
        <w:br w:type="textWrapping"/>
        <w:t xml:space="preserve">Aggravating circumstances 254-256</w:t>
        <w:br w:type="textWrapping"/>
        <w:t xml:space="preserve">Qualifying circumstances 237-254</w:t>
        <w:br w:type="textWrapping"/>
        <w:t xml:space="preserve">Death Penalty Law</w:t>
        <w:br w:type="textWrapping"/>
        <w:t xml:space="preserve">Execution 232, 260</w:t>
        <w:br w:type="textWrapping"/>
        <w:t xml:space="preserve">Moratorium 231</w:t>
        <w:br w:type="textWrapping"/>
        <w:t xml:space="preserve">Review 273-275</w:t>
        <w:br w:type="textWrapping"/>
        <w:t xml:space="preserve">Decentralization 398-400</w:t>
        <w:br w:type="textWrapping"/>
        <w:t xml:space="preserve">Defamation</w:t>
        <w:br w:type="textWrapping"/>
        <w:t xml:space="preserve">Requisites 52</w:t>
        <w:br w:type="textWrapping"/>
        <w:t xml:space="preserve">Dell, Michael 68</w:t>
        <w:br w:type="textWrapping"/>
        <w:t xml:space="preserve">Dentistry 69</w:t>
        <w:br w:type="textWrapping"/>
        <w:t xml:space="preserve">Derivative suit 118</w:t>
        <w:br w:type="textWrapping"/>
        <w:t xml:space="preserve">Desamito, Julio F 346</w:t>
        <w:br w:type="textWrapping"/>
        <w:t xml:space="preserve">“Discovery” mechanism 22, 41</w:t>
        <w:br w:type="textWrapping"/>
        <w:t xml:space="preserve">Divorce 188-189</w:t>
        <w:br w:type="textWrapping"/>
        <w:t xml:space="preserve">“Double standard” of justice 420</w:t>
        <w:br w:type="textWrapping"/>
        <w:t xml:space="preserve">Double standards 100</w:t>
        <w:br w:type="textWrapping"/>
        <w:t xml:space="preserve">Drilon, Franklin M. 18, 37</w:t>
        <w:br w:type="textWrapping"/>
        <w:t xml:space="preserve">Drucker, Peter 67</w:t>
        <w:br w:type="textWrapping"/>
        <w:t xml:space="preserve">Due process 11, 277, 279</w:t>
        <w:br w:type="textWrapping"/>
        <w:t xml:space="preserve">Court mechanics 12</w:t>
        <w:br w:type="textWrapping"/>
        <w:t xml:space="preserve">Extradition cases 326-339</w:t>
        <w:br w:type="textWrapping"/>
        <w:t xml:space="preserve">Labor cases 280-325</w:t>
        <w:br w:type="textWrapping"/>
        <w:t xml:space="preserve">Partial reopening of cases 273</w:t>
        <w:br w:type="textWrapping"/>
        <w:t xml:space="preserve">Due process clause 282, 284</w:t>
        <w:br w:type="textWrapping"/>
        <w:t xml:space="preserve">Purpose 280, 311</w:t>
        <w:br w:type="textWrapping"/>
        <w:t xml:space="preserve">State 297</w:t>
        <w:br w:type="textWrapping"/>
        <w:t xml:space="preserve">e-age tools / technology xiv, 19, 21, 24, 39</w:t>
        <w:br w:type="textWrapping"/>
        <w:t xml:space="preserve">e-commerce 50, 69</w:t>
        <w:br w:type="textWrapping"/>
        <w:t xml:space="preserve">e-economics 51</w:t>
        <w:br w:type="textWrapping"/>
        <w:t xml:space="preserve">e-media 51</w:t>
        <w:br w:type="textWrapping"/>
        <w:t xml:space="preserve">Echegaray, Leo 232, 239</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Economic nationalism 155-158</w:t>
        <w:br w:type="textWrapping"/>
        <w:t xml:space="preserve">Edison, Thomas 97</w:t>
        <w:br w:type="textWrapping"/>
        <w:t xml:space="preserve">Einstein, Albert 77</w:t>
        <w:br w:type="textWrapping"/>
        <w:t xml:space="preserve">Elections</w:t>
        <w:br w:type="textWrapping"/>
        <w:t xml:space="preserve">Failure of election 424-433</w:t>
        <w:br w:type="textWrapping"/>
        <w:t xml:space="preserve">Electronic data exchange 21, 55</w:t>
        <w:br w:type="textWrapping"/>
        <w:t xml:space="preserve">Electronic information kiosk 21, 55</w:t>
        <w:br w:type="textWrapping"/>
        <w:t xml:space="preserve">Emerson 73</w:t>
        <w:br w:type="textWrapping"/>
        <w:t xml:space="preserve">Employer-employee relationship 319-320, 322, 323</w:t>
        <w:br w:type="textWrapping"/>
        <w:t xml:space="preserve">Four fold tests 180</w:t>
        <w:br w:type="textWrapping"/>
        <w:t xml:space="preserve">En Banc cases 414, 415</w:t>
        <w:br w:type="textWrapping"/>
        <w:t xml:space="preserve">Eternity 74, 87, 102</w:t>
        <w:br w:type="textWrapping"/>
        <w:t xml:space="preserve">Ethical Standards Law 89, 91, 99, 100</w:t>
        <w:br w:type="textWrapping"/>
        <w:t xml:space="preserve">Ethics 72, 85, 99-102</w:t>
        <w:br w:type="textWrapping"/>
        <w:t xml:space="preserve">Executive clemency 232</w:t>
        <w:br w:type="textWrapping"/>
        <w:t xml:space="preserve">Excellence 70, 71, 80-84, 95-97</w:t>
        <w:br w:type="textWrapping"/>
        <w:t xml:space="preserve">Exit polls 51, 376-393</w:t>
        <w:br w:type="textWrapping"/>
        <w:t xml:space="preserve">Definition 377</w:t>
        <w:br w:type="textWrapping"/>
        <w:t xml:space="preserve">Extradition 326-339</w:t>
        <w:br w:type="textWrapping"/>
        <w:t xml:space="preserve">Extradition Treaty (1994) 326, 328-333, 337-339</w:t>
        <w:br w:type="textWrapping"/>
        <w:t xml:space="preserve">Family 192</w:t>
        <w:br w:type="textWrapping"/>
        <w:t xml:space="preserve">Family Code</w:t>
        <w:br w:type="textWrapping"/>
        <w:t xml:space="preserve">Art. 36 188, 190, 193, 195-197</w:t>
        <w:br w:type="textWrapping"/>
        <w:t xml:space="preserve">Far Eastern University 65, 92</w:t>
        <w:br w:type="textWrapping"/>
        <w:t xml:space="preserve">Feliciano, Florentino 44, 335</w:t>
        <w:br w:type="textWrapping"/>
        <w:t xml:space="preserve">Feria, Jose A. Jr. 42</w:t>
        <w:br w:type="textWrapping"/>
        <w:t xml:space="preserve">Feria, Jose Y. 24, 25, 43, 462</w:t>
        <w:br w:type="textWrapping"/>
        <w:t xml:space="preserve">Fiscal autonomy 401-403, 405, 406</w:t>
        <w:br w:type="textWrapping"/>
        <w:t xml:space="preserve">Fiscal independence 17, 37, 38</w:t>
        <w:br w:type="textWrapping"/>
        <w:t xml:space="preserve">Flores, Teresita Dy-Liacco 346</w:t>
        <w:br w:type="textWrapping"/>
        <w:t xml:space="preserve">Forum shopping 118, 119, 122, 127</w:t>
        <w:br w:type="textWrapping"/>
        <w:t xml:space="preserve">Foundation for Judicial Excellence 25, 43</w:t>
        <w:br w:type="textWrapping"/>
        <w:t xml:space="preserve">Foundation for the Enhancement of</w:t>
        <w:br w:type="textWrapping"/>
        <w:t xml:space="preserve">Legal Education 35, 42</w:t>
        <w:br w:type="textWrapping"/>
        <w:t xml:space="preserve">Francisco, Ricardo J. 44, 211, 223</w:t>
        <w:br w:type="textWrapping"/>
        <w:t xml:space="preserve">Frankfurter, Felix 11</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Freedom of expression 51, 378, 381, 382, 391-393</w:t>
        <w:br w:type="textWrapping"/>
        <w:t xml:space="preserve">Freedom of speech &amp; of the</w:t>
        <w:br w:type="textWrapping"/>
        <w:t xml:space="preserve">press 51, 378, 379, 383, 384, 393</w:t>
        <w:br w:type="textWrapping"/>
        <w:t xml:space="preserve">Galvez, Ricardo P 24</w:t>
        <w:br w:type="textWrapping"/>
        <w:t xml:space="preserve">Gancayco, Emilio 294</w:t>
        <w:br w:type="textWrapping"/>
        <w:t xml:space="preserve">Gandhi, Mohandas 77, 97</w:t>
        <w:br w:type="textWrapping"/>
        <w:t xml:space="preserve">Garcia, Cancio C 462</w:t>
        <w:br w:type="textWrapping"/>
        <w:t xml:space="preserve">Gates, William H. 49, 67, 68</w:t>
        <w:br w:type="textWrapping"/>
        <w:t xml:space="preserve">Gatmaitan, Andres G 42</w:t>
        <w:br w:type="textWrapping"/>
        <w:t xml:space="preserve">Germany</w:t>
        <w:br w:type="textWrapping"/>
        <w:t xml:space="preserve">Party-list system 341, 342</w:t>
        <w:br w:type="textWrapping"/>
        <w:t xml:space="preserve">Globalization 153-166</w:t>
        <w:br w:type="textWrapping"/>
        <w:t xml:space="preserve">Gorospe, Manolo B 346</w:t>
        <w:br w:type="textWrapping"/>
        <w:t xml:space="preserve">Gozon, Felipe L 42</w:t>
        <w:br w:type="textWrapping"/>
        <w:t xml:space="preserve">Gregorio, Vicente G 42</w:t>
        <w:br w:type="textWrapping"/>
        <w:t xml:space="preserve">Guiani, Japal M. 346</w:t>
        <w:br w:type="textWrapping"/>
        <w:t xml:space="preserve">Gupit, Tito 466, 474</w:t>
        <w:br w:type="textWrapping"/>
        <w:t xml:space="preserve">Gutierrez, Hugo Jr 287</w:t>
        <w:br w:type="textWrapping"/>
        <w:t xml:space="preserve">Halls of Justice 19, 39</w:t>
        <w:br w:type="textWrapping"/>
        <w:t xml:space="preserve">Hamon, Grace 211</w:t>
        <w:br w:type="textWrapping"/>
        <w:t xml:space="preserve">Hand, Learned 84</w:t>
        <w:br w:type="textWrapping"/>
        <w:t xml:space="preserve">Harris, Paul 469</w:t>
        <w:br w:type="textWrapping"/>
        <w:t xml:space="preserve">Havel, Vaclav 103</w:t>
        <w:br w:type="textWrapping"/>
        <w:t xml:space="preserve">Hermosisima, Regino C. 44</w:t>
        <w:br w:type="textWrapping"/>
        <w:t xml:space="preserve">Herrera, Ameurfina Melencio A. 17, 459, 462</w:t>
        <w:br w:type="textWrapping"/>
        <w:t xml:space="preserve">Holmes, Oliver Wendell 379, 381</w:t>
        <w:br w:type="textWrapping"/>
        <w:t xml:space="preserve">House of Representatives</w:t>
        <w:br w:type="textWrapping"/>
        <w:t xml:space="preserve">Party-list 342</w:t>
        <w:br w:type="textWrapping"/>
        <w:t xml:space="preserve">Illegal possession of firearms 260-263</w:t>
        <w:br w:type="textWrapping"/>
        <w:t xml:space="preserve">Improvident plea 264</w:t>
        <w:br w:type="textWrapping"/>
        <w:t xml:space="preserve">In flagrante delicto 295, 302</w:t>
        <w:br w:type="textWrapping"/>
        <w:t xml:space="preserve">Information technology 19, 39, 46, 49</w:t>
        <w:br w:type="textWrapping"/>
        <w:t xml:space="preserve">“Insignificant cases” 423</w:t>
        <w:br w:type="textWrapping"/>
        <w:t xml:space="preserve">Integrated Bar of the Philippines 9</w:t>
        <w:br w:type="textWrapping"/>
        <w:t xml:space="preserve">Internet 78</w:t>
        <w:br w:type="textWrapping"/>
        <w:t xml:space="preserve">Internet homepage 20, 39, 54</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Interventions 136</w:t>
        <w:br w:type="textWrapping"/>
        <w:t xml:space="preserve">JICA 26, 34</w:t>
        <w:br w:type="textWrapping"/>
        <w:t xml:space="preserve">Jimenez, Mark 326</w:t>
        <w:br w:type="textWrapping"/>
        <w:t xml:space="preserve">Judges</w:t>
        <w:br w:type="textWrapping"/>
        <w:t xml:space="preserve">Compensation 37</w:t>
        <w:br w:type="textWrapping"/>
        <w:t xml:space="preserve">Continuing education 17</w:t>
        <w:br w:type="textWrapping"/>
        <w:t xml:space="preserve">Delays 14</w:t>
        <w:br w:type="textWrapping"/>
        <w:t xml:space="preserve">Disciplinary actions 3, 18</w:t>
        <w:br w:type="textWrapping"/>
        <w:t xml:space="preserve">“Ins” 15</w:t>
        <w:br w:type="textWrapping"/>
        <w:t xml:space="preserve">Qualities 15</w:t>
        <w:br w:type="textWrapping"/>
        <w:t xml:space="preserve">Judicial Administration 21, 22, 40</w:t>
        <w:br w:type="textWrapping"/>
        <w:t xml:space="preserve">Judicial and Bar Council 16, 36, 466</w:t>
        <w:br w:type="textWrapping"/>
        <w:t xml:space="preserve">Judicial appointments 36, 43</w:t>
        <w:br w:type="textWrapping"/>
        <w:t xml:space="preserve">Nomination process 16</w:t>
        <w:br w:type="textWrapping"/>
        <w:t xml:space="preserve">Pre-judicature course 17</w:t>
        <w:br w:type="textWrapping"/>
        <w:t xml:space="preserve">Judicial compensation 37</w:t>
        <w:br w:type="textWrapping"/>
        <w:t xml:space="preserve">Judicial decision-making 21, 39</w:t>
        <w:br w:type="textWrapping"/>
        <w:t xml:space="preserve">Judicial disciplinary process 18, 38</w:t>
        <w:br w:type="textWrapping"/>
        <w:t xml:space="preserve">Judicial mystique</w:t>
        <w:br w:type="textWrapping"/>
        <w:t xml:space="preserve">Detachment 466, 467, 472</w:t>
        <w:br w:type="textWrapping"/>
        <w:t xml:space="preserve">Judicial power 155, 161, 409</w:t>
        <w:br w:type="textWrapping"/>
        <w:t xml:space="preserve">Judicial reform xvii, 25, 26, 34-41</w:t>
        <w:br w:type="textWrapping"/>
        <w:t xml:space="preserve">Judicial Reforms Committee 25</w:t>
        <w:br w:type="textWrapping"/>
        <w:t xml:space="preserve">Judicial tools and facilities 19, 21, 24, 38, 39</w:t>
        <w:br w:type="textWrapping"/>
        <w:t xml:space="preserve">Judicial tradition xi</w:t>
        <w:br w:type="textWrapping"/>
        <w:t xml:space="preserve">Judicial transparency 26</w:t>
        <w:br w:type="textWrapping"/>
        <w:t xml:space="preserve">Judiciary</w:t>
        <w:br w:type="textWrapping"/>
        <w:t xml:space="preserve">Criticism 57-59</w:t>
        <w:br w:type="textWrapping"/>
        <w:t xml:space="preserve">Definition xi</w:t>
        <w:br w:type="textWrapping"/>
        <w:t xml:space="preserve">Internal examination xii</w:t>
        <w:br w:type="textWrapping"/>
        <w:t xml:space="preserve">Transparency xii, xiv, xv</w:t>
        <w:br w:type="textWrapping"/>
        <w:t xml:space="preserve">Jurisdiction</w:t>
        <w:br w:type="textWrapping"/>
        <w:t xml:space="preserve">Bail bond 199</w:t>
        <w:br w:type="textWrapping"/>
        <w:t xml:space="preserve">Justices</w:t>
        <w:br w:type="textWrapping"/>
        <w:t xml:space="preserve">Briefing 109</w:t>
        <w:br w:type="textWrapping"/>
        <w:t xml:space="preserve">Compensation 37</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Disciplinary action 3</w:t>
        <w:br w:type="textWrapping"/>
        <w:t xml:space="preserve">Non-judicial involvements 466, 467, 472</w:t>
        <w:br w:type="textWrapping"/>
        <w:t xml:space="preserve">Justices, retired</w:t>
        <w:br w:type="textWrapping"/>
        <w:t xml:space="preserve">Bar reforms 35</w:t>
        <w:br w:type="textWrapping"/>
        <w:t xml:space="preserve">Juvenile offenders 258</w:t>
        <w:br w:type="textWrapping"/>
        <w:t xml:space="preserve">Kapunan, Santiago M. 44, 211, 223, 240, 241, 255, 260,</w:t>
        <w:br w:type="textWrapping"/>
        <w:t xml:space="preserve">279, 328, 338, 349, 362, 377, 391, 406,</w:t>
        <w:br w:type="textWrapping"/>
        <w:t xml:space="preserve">411, 412, 417, 432, 416, 462</w:t>
        <w:br w:type="textWrapping"/>
        <w:t xml:space="preserve">Khan, Isamel G. Jr. 462</w:t>
        <w:br w:type="textWrapping"/>
        <w:t xml:space="preserve">King, Richard 465, 473</w:t>
        <w:br w:type="textWrapping"/>
        <w:t xml:space="preserve">Kirby, Michael 57</w:t>
        <w:br w:type="textWrapping"/>
        <w:t xml:space="preserve">Labor</w:t>
        <w:br w:type="textWrapping"/>
        <w:t xml:space="preserve">Full protection 168, 316</w:t>
        <w:br w:type="textWrapping"/>
        <w:t xml:space="preserve">Lantion, Ralph C. 327</w:t>
        <w:br w:type="textWrapping"/>
        <w:t xml:space="preserve">Law professors 15, 16</w:t>
        <w:br w:type="textWrapping"/>
        <w:t xml:space="preserve">Law schools 15, 35</w:t>
        <w:br w:type="textWrapping"/>
        <w:t xml:space="preserve">Lawful exercise of duty 259</w:t>
        <w:br w:type="textWrapping"/>
        <w:t xml:space="preserve">Lawyers</w:t>
        <w:br w:type="textWrapping"/>
        <w:t xml:space="preserve">Delays 14</w:t>
        <w:br w:type="textWrapping"/>
        <w:t xml:space="preserve">Rotary 465, 466</w:t>
        <w:br w:type="textWrapping"/>
        <w:t xml:space="preserve">Leadership by Example xi, 1, 15, 49, 107, 229, 236,</w:t>
        <w:br w:type="textWrapping"/>
        <w:t xml:space="preserve">238, 273</w:t>
        <w:br w:type="textWrapping"/>
        <w:t xml:space="preserve">Leaño, Saklolo A. 42</w:t>
        <w:br w:type="textWrapping"/>
        <w:t xml:space="preserve">Legal education 15, 16</w:t>
        <w:br w:type="textWrapping"/>
        <w:t xml:space="preserve">Legarda, Katrina 272</w:t>
        <w:br w:type="textWrapping"/>
        <w:t xml:space="preserve">Legislative power 155, 158-160</w:t>
        <w:br w:type="textWrapping"/>
        <w:t xml:space="preserve">Libel 52</w:t>
        <w:br w:type="textWrapping"/>
        <w:t xml:space="preserve">Lim, Arthur D. 35, 42, 462</w:t>
        <w:br w:type="textWrapping"/>
        <w:t xml:space="preserve">Lincoln, Abraham 58</w:t>
        <w:br w:type="textWrapping"/>
        <w:t xml:space="preserve">Local autonomy 398-401</w:t>
        <w:br w:type="textWrapping"/>
        <w:t xml:space="preserve">Local Government Code (1991) 111-114</w:t>
        <w:br w:type="textWrapping"/>
        <w:t xml:space="preserve">Local Government Units</w:t>
        <w:br w:type="textWrapping"/>
        <w:t xml:space="preserve">Fiscal autonomy 110-115</w:t>
        <w:br w:type="textWrapping"/>
        <w:t xml:space="preserve">Local Governments</w:t>
        <w:br w:type="textWrapping"/>
        <w:t xml:space="preserve">Real estate tax 110-115</w:t>
        <w:br w:type="textWrapping"/>
        <w:t xml:space="preserve">Macapagal, Diosdado 93</w:t>
        <w:br w:type="textWrapping"/>
        <w:t xml:space="preserve">Maceda, Ernesto M. 69</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Magallona, Merlin M 462</w:t>
        <w:br w:type="textWrapping"/>
        <w:t xml:space="preserve">Magsaysay, Ramon 323</w:t>
        <w:br w:type="textWrapping"/>
        <w:t xml:space="preserve">Makasiar, Felix 287</w:t>
        <w:br w:type="textWrapping"/>
        <w:t xml:space="preserve">Malcolm, George 467</w:t>
        <w:br w:type="textWrapping"/>
        <w:t xml:space="preserve">Man-made delays 14, 15</w:t>
        <w:br w:type="textWrapping"/>
        <w:t xml:space="preserve">Management Association of the Philippines 29</w:t>
        <w:br w:type="textWrapping"/>
        <w:t xml:space="preserve">Management Information System Office 53</w:t>
        <w:br w:type="textWrapping"/>
        <w:t xml:space="preserve">Mandatory continuous trial 23</w:t>
        <w:br w:type="textWrapping"/>
        <w:t xml:space="preserve">Manila Overseas Press Club 19, 26, 46, 59</w:t>
        <w:br w:type="textWrapping"/>
        <w:t xml:space="preserve">Marohombsar, Abdul Gani 346</w:t>
        <w:br w:type="textWrapping"/>
        <w:t xml:space="preserve">Marriages</w:t>
        <w:br w:type="textWrapping"/>
        <w:t xml:space="preserve">Illegal 439</w:t>
        <w:br w:type="textWrapping"/>
        <w:t xml:space="preserve">Judicial declaration of nullity 434-443</w:t>
        <w:br w:type="textWrapping"/>
        <w:t xml:space="preserve">Void 188-197, 435-437, 440-443</w:t>
        <w:br w:type="textWrapping"/>
        <w:t xml:space="preserve">Media 46, 56-63</w:t>
        <w:br w:type="textWrapping"/>
        <w:t xml:space="preserve">Melo, Jose A.R. 44, 53, 109, 211, 223, 242,</w:t>
        <w:br w:type="textWrapping"/>
        <w:t xml:space="preserve">247-249, 252, 255, 264, 328, 330, 331, 338, 349, 377, 390,</w:t>
        <w:br w:type="textWrapping"/>
        <w:t xml:space="preserve">416, 417, 420, 421, 425, 445</w:t>
        <w:br w:type="textWrapping"/>
        <w:t xml:space="preserve">Mendoza, Estelito P 327</w:t>
        <w:br w:type="textWrapping"/>
        <w:t xml:space="preserve">Mendoza, Vicente V 211, 212, 223, 240-243, 263, 264,</w:t>
        <w:br w:type="textWrapping"/>
        <w:t xml:space="preserve">270, 274, 278, 279, 282-284, 296, 297, 300, 324, 328, 338,</w:t>
        <w:br w:type="textWrapping"/>
        <w:t xml:space="preserve">341, 349, 362, 368, 369, 377, 390, 417, 425, 461, 462</w:t>
        <w:br w:type="textWrapping"/>
        <w:t xml:space="preserve">Mental examination 271</w:t>
        <w:br w:type="textWrapping"/>
        <w:t xml:space="preserve">Mental retardate &amp; deaf-mute</w:t>
        <w:br w:type="textWrapping"/>
        <w:t xml:space="preserve">Due process 292</w:t>
        <w:br w:type="textWrapping"/>
        <w:t xml:space="preserve">Microchips 46</w:t>
        <w:br w:type="textWrapping"/>
        <w:t xml:space="preserve">Metropolitan Trial Courts 9</w:t>
        <w:br w:type="textWrapping"/>
        <w:t xml:space="preserve">Minority</w:t>
        <w:br w:type="textWrapping"/>
        <w:t xml:space="preserve">Mitigating circumstances 258</w:t>
        <w:br w:type="textWrapping"/>
        <w:t xml:space="preserve">Miranda rights 12</w:t>
        <w:br w:type="textWrapping"/>
        <w:t xml:space="preserve">Modems 46</w:t>
        <w:br w:type="textWrapping"/>
        <w:t xml:space="preserve">Montoya, Salome A 462</w:t>
        <w:br w:type="textWrapping"/>
        <w:t xml:space="preserve">Moore, Gordon 67</w:t>
        <w:br w:type="textWrapping"/>
        <w:t xml:space="preserve">Morgridge, John 67</w:t>
        <w:br w:type="textWrapping"/>
        <w:t xml:space="preserve">Motions for reconsideration 123-127</w:t>
        <w:br w:type="textWrapping"/>
        <w:t xml:space="preserve">Municipal Circuit Trial Courts 9</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Municipal Trial Courts in Cities 9</w:t>
        <w:br w:type="textWrapping"/>
        <w:t xml:space="preserve">Naisbitt, John 66, 166</w:t>
        <w:br w:type="textWrapping"/>
        <w:t xml:space="preserve">National Economic &amp; Development Authority 59</w:t>
        <w:br w:type="textWrapping"/>
        <w:t xml:space="preserve">National Labor Relations Commission 167</w:t>
        <w:br w:type="textWrapping"/>
        <w:t xml:space="preserve">Narvasa, Andres R. 44, 211, 223, 459</w:t>
        <w:br w:type="textWrapping"/>
        <w:t xml:space="preserve">Nemenzo, Francisco 97</w:t>
        <w:br w:type="textWrapping"/>
        <w:t xml:space="preserve">Niemeyer formula 341, 342, 351-354, 362</w:t>
        <w:br w:type="textWrapping"/>
        <w:t xml:space="preserve">Noyce, Bob 67</w:t>
        <w:br w:type="textWrapping"/>
        <w:t xml:space="preserve">Office of the Court Administrator 21, 39</w:t>
        <w:br w:type="textWrapping"/>
        <w:t xml:space="preserve">Oil Deregulation Law 51</w:t>
        <w:br w:type="textWrapping"/>
        <w:t xml:space="preserve">Onassis, Aristotle 93</w:t>
        <w:br w:type="textWrapping"/>
        <w:t xml:space="preserve">Ongkiko, Mario E 42</w:t>
        <w:br w:type="textWrapping"/>
        <w:t xml:space="preserve">Ordonez, Sedfrey A 25, 43</w:t>
        <w:br w:type="textWrapping"/>
        <w:t xml:space="preserve">Ortega, Carlos M. 65</w:t>
        <w:br w:type="textWrapping"/>
        <w:t xml:space="preserve">Osmeña, Sergio 92</w:t>
        <w:br w:type="textWrapping"/>
        <w:t xml:space="preserve">Padilla, Teodoro R 44, 292, 467</w:t>
        <w:br w:type="textWrapping"/>
        <w:t xml:space="preserve">Paras, Edgardo 467</w:t>
        <w:br w:type="textWrapping"/>
        <w:t xml:space="preserve">Pardo, Bernardo P 255, 261, 279, 328, 338, 349,</w:t>
        <w:br w:type="textWrapping"/>
        <w:t xml:space="preserve">377, 417, 425, 446, 462</w:t>
        <w:br w:type="textWrapping"/>
        <w:t xml:space="preserve">Parlade, Custodio O 42</w:t>
        <w:br w:type="textWrapping"/>
        <w:t xml:space="preserve">Partial reopening of case 273</w:t>
        <w:br w:type="textWrapping"/>
        <w:t xml:space="preserve">Party-list representatives 345, 346</w:t>
        <w:br w:type="textWrapping"/>
        <w:t xml:space="preserve">Party-list system 340-375</w:t>
        <w:br w:type="textWrapping"/>
        <w:t xml:space="preserve">Allocation of seats 343, 346-348, 350-355</w:t>
        <w:br w:type="textWrapping"/>
        <w:t xml:space="preserve">Mathematical formula 341, 354-362, 364-370</w:t>
        <w:br w:type="textWrapping"/>
        <w:t xml:space="preserve">Pascua, Ric 29</w:t>
        <w:br w:type="textWrapping"/>
        <w:t xml:space="preserve">Perez, Hernando B. 462</w:t>
        <w:br w:type="textWrapping"/>
        <w:t xml:space="preserve">Perez, Jose P 462</w:t>
        <w:br w:type="textWrapping"/>
        <w:t xml:space="preserve">Phi Kappa Phi Honor Society 76, 80, 90</w:t>
        <w:br w:type="textWrapping"/>
        <w:t xml:space="preserve">Philippine Jesuit Prison Service Foundation, Inc. 232</w:t>
        <w:br w:type="textWrapping"/>
        <w:t xml:space="preserve">Philippine Judicial Academy 17, 55</w:t>
        <w:br w:type="textWrapping"/>
        <w:t xml:space="preserve">Judicial Reforms Committee 25</w:t>
        <w:br w:type="textWrapping"/>
        <w:t xml:space="preserve">Pre-judicature course 36</w:t>
        <w:br w:type="textWrapping"/>
        <w:t xml:space="preserve">Pimentel, Aquilino Q. Jr. 16, 394</w:t>
        <w:br w:type="textWrapping"/>
        <w:t xml:space="preserve">Pine, Danilo 462</w:t>
        <w:br w:type="textWrapping"/>
        <w:t xml:space="preserve">Plea of guilt 274-271</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Positive plea 264</w:t>
        <w:br w:type="textWrapping"/>
        <w:t xml:space="preserve">Pre-judicature course 36</w:t>
        <w:br w:type="textWrapping"/>
        <w:t xml:space="preserve">Presidential Commission on Good Government ... 133-152</w:t>
        <w:br w:type="textWrapping"/>
        <w:t xml:space="preserve">Presidential Conscience Commission 231</w:t>
        <w:br w:type="textWrapping"/>
        <w:t xml:space="preserve">Presidential Decree No. 921 110-112, 114</w:t>
        <w:br w:type="textWrapping"/>
        <w:t xml:space="preserve">Presidential power</w:t>
        <w:br w:type="textWrapping"/>
        <w:t xml:space="preserve">Clemency 232</w:t>
        <w:br w:type="textWrapping"/>
        <w:t xml:space="preserve">Local Government Units 395-398, 402, 403, 407, 409-412</w:t>
        <w:br w:type="textWrapping"/>
        <w:t xml:space="preserve">Pretrial 22, 23</w:t>
        <w:br w:type="textWrapping"/>
        <w:t xml:space="preserve">Prior restraint 382</w:t>
        <w:br w:type="textWrapping"/>
        <w:t xml:space="preserve">Privileged mitigating circumstance 259</w:t>
        <w:br w:type="textWrapping"/>
        <w:t xml:space="preserve">Procedural due process 186, 187</w:t>
        <w:br w:type="textWrapping"/>
        <w:t xml:space="preserve">Prosecutor</w:t>
        <w:br w:type="textWrapping"/>
        <w:t xml:space="preserve">Arrest warrant 217-223</w:t>
        <w:br w:type="textWrapping"/>
        <w:t xml:space="preserve">Psychological incapacity 188-197, 435</w:t>
        <w:br w:type="textWrapping"/>
        <w:t xml:space="preserve">Public Information Office 59</w:t>
        <w:br w:type="textWrapping"/>
        <w:t xml:space="preserve">Public officials &amp; employees</w:t>
        <w:br w:type="textWrapping"/>
        <w:t xml:space="preserve">Libel 52</w:t>
        <w:br w:type="textWrapping"/>
        <w:t xml:space="preserve">Puno, Luzviminda D. 462</w:t>
        <w:br w:type="textWrapping"/>
        <w:t xml:space="preserve">Puno, Reynato S. 24, 44, 211, 223, 241, 255, 261, 271,</w:t>
        <w:br w:type="textWrapping"/>
        <w:t xml:space="preserve">279, 284, 303, 323, 328, 338, 331, 335, 337, 338, 349, 371,</w:t>
        <w:br w:type="textWrapping"/>
        <w:t xml:space="preserve">377, 417, 419, 425, 446, 461, 462</w:t>
        <w:br w:type="textWrapping"/>
        <w:t xml:space="preserve">Purisima, Fidel P 240, 241, 255, 261, 279, 292, 328,</w:t>
        <w:br w:type="textWrapping"/>
        <w:t xml:space="preserve">338, 349, 377, 416, 417, 419, 425, 445</w:t>
        <w:br w:type="textWrapping"/>
        <w:t xml:space="preserve">Quality of justice 4, 10, 12</w:t>
        <w:br w:type="textWrapping"/>
        <w:t xml:space="preserve">Quiason, Camilo D 42</w:t>
        <w:br w:type="textWrapping"/>
        <w:t xml:space="preserve">Quisumbing, Leonardo A. 223, 242, 249, 254,</w:t>
        <w:br w:type="textWrapping"/>
        <w:t xml:space="preserve">279, 328, 338, 349, 362, 377, 417, 425, 461</w:t>
        <w:br w:type="textWrapping"/>
        <w:t xml:space="preserve">Ramos, Fidel V 37, 154, 472</w:t>
        <w:br w:type="textWrapping"/>
        <w:t xml:space="preserve">Ravizza, Carlo 465</w:t>
        <w:br w:type="textWrapping"/>
        <w:t xml:space="preserve">Rape 233-236</w:t>
        <w:br w:type="textWrapping"/>
        <w:t xml:space="preserve">Age 242-254</w:t>
        <w:br w:type="textWrapping"/>
        <w:t xml:space="preserve">Lesser offense 257</w:t>
        <w:br w:type="textWrapping"/>
        <w:t xml:space="preserve">Qualifying circumstances 254</w:t>
        <w:br w:type="textWrapping"/>
        <w:t xml:space="preserve">Relationship 237-242</w:t>
        <w:br w:type="textWrapping"/>
        <w:t xml:space="preserve">Real estate tax 110-115</w:t>
        <w:br w:type="textWrapping"/>
        <w:t xml:space="preserve">Regala, Teodoro D. Sr. 42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Regalado, Florenz 44, 211, 223</w:t>
        <w:br w:type="textWrapping"/>
        <w:t xml:space="preserve">Regional Trial Courts</w:t>
        <w:br w:type="textWrapping"/>
        <w:t xml:space="preserve">Decided cases 8, 9</w:t>
        <w:br w:type="textWrapping"/>
        <w:t xml:space="preserve">Republic Act No. 6713 89, 99</w:t>
        <w:br w:type="textWrapping"/>
        <w:t xml:space="preserve">Republic Act No. 7941</w:t>
        <w:br w:type="textWrapping"/>
        <w:t xml:space="preserve">Validity 341</w:t>
        <w:br w:type="textWrapping"/>
        <w:t xml:space="preserve">Republic Act No. 8180 51</w:t>
        <w:br w:type="textWrapping"/>
        <w:t xml:space="preserve">Republic Act No. 8353 235, 236</w:t>
        <w:br w:type="textWrapping"/>
        <w:t xml:space="preserve">Republic Act No. 8479 51</w:t>
        <w:br w:type="textWrapping"/>
        <w:t xml:space="preserve">Republic Act No. 8557 17, 36</w:t>
        <w:br w:type="textWrapping"/>
        <w:t xml:space="preserve">Resignation 185</w:t>
        <w:br w:type="textWrapping"/>
        <w:t xml:space="preserve">Voluntary 174-177</w:t>
        <w:br w:type="textWrapping"/>
        <w:t xml:space="preserve">Retrenchment 183-185, 278</w:t>
        <w:br w:type="textWrapping"/>
        <w:t xml:space="preserve">Revised Penal Code,</w:t>
        <w:br w:type="textWrapping"/>
        <w:t xml:space="preserve">Art. 349 444</w:t>
        <w:br w:type="textWrapping"/>
        <w:t xml:space="preserve">Reyes, Minerva Gonzaga 239, 240,</w:t>
        <w:br w:type="textWrapping"/>
        <w:t xml:space="preserve">255, 264, 279, 328, 338, 349,</w:t>
        <w:br w:type="textWrapping"/>
        <w:t xml:space="preserve">377, 416, 417, 425, 445, 462</w:t>
        <w:br w:type="textWrapping"/>
        <w:t xml:space="preserve">Right to be heard 298, 299, 301, 303, 318</w:t>
        <w:br w:type="textWrapping"/>
        <w:t xml:space="preserve">Right to vote 383</w:t>
        <w:br w:type="textWrapping"/>
        <w:t xml:space="preserve">Roces, Alejandro R. 92, 93</w:t>
        <w:br w:type="textWrapping"/>
        <w:t xml:space="preserve">Rockefeller, John 67</w:t>
        <w:br w:type="textWrapping"/>
        <w:t xml:space="preserve">Roman, Frankie S. 466, 474</w:t>
        <w:br w:type="textWrapping"/>
        <w:t xml:space="preserve">Romero, Flerida Ruth P. 44, 211, 223, 243</w:t>
        <w:br w:type="textWrapping"/>
        <w:t xml:space="preserve">Romulo, Ricardo J. 35, 42, 462</w:t>
        <w:br w:type="textWrapping"/>
        <w:t xml:space="preserve">Roosevelt, Franklin D. 77</w:t>
        <w:br w:type="textWrapping"/>
        <w:t xml:space="preserve">Rotary Club of Manila 464, 467</w:t>
        <w:br w:type="textWrapping"/>
        <w:t xml:space="preserve">Rules of Court</w:t>
        <w:br w:type="textWrapping"/>
        <w:t xml:space="preserve">Updating 24</w:t>
        <w:br w:type="textWrapping"/>
        <w:t xml:space="preserve">Rules of Court, Rule 110, Sec. 6 208, 209</w:t>
        <w:br w:type="textWrapping"/>
        <w:t xml:space="preserve">Rules of Court, Rule 120, Sec. 2 206, 207</w:t>
        <w:br w:type="textWrapping"/>
        <w:t xml:space="preserve">Salary Standardization Law 17, 18, 37</w:t>
        <w:br w:type="textWrapping"/>
        <w:t xml:space="preserve">Salonga, Jovito R. 24, 43, 66, 90</w:t>
        <w:br w:type="textWrapping"/>
        <w:t xml:space="preserve">San Diego, Francisco 231</w:t>
        <w:br w:type="textWrapping"/>
        <w:t xml:space="preserve">Sandiganbayan</w:t>
        <w:br w:type="textWrapping"/>
        <w:t xml:space="preserve">Decided cases 7</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Jurisdiction 133-134, 136, 137</w:t>
        <w:br w:type="textWrapping"/>
        <w:t xml:space="preserve">Santiago, Consuelo Ynares 53, 239, 240, 242,</w:t>
        <w:br w:type="textWrapping"/>
        <w:t xml:space="preserve">253, 255, 279, 328, 338, 349,</w:t>
        <w:br w:type="textWrapping"/>
        <w:t xml:space="preserve">377, 417, 425, 446, 460, 462</w:t>
        <w:br w:type="textWrapping"/>
        <w:t xml:space="preserve">Sarmiento, Abraham V 462</w:t>
        <w:br w:type="textWrapping"/>
        <w:t xml:space="preserve">Schwab, Charles 68</w:t>
        <w:br w:type="textWrapping"/>
        <w:t xml:space="preserve">Science and Information Technology. 69</w:t>
        <w:br w:type="textWrapping"/>
        <w:t xml:space="preserve">“Searching inquiry” 264, 265, 269, 291</w:t>
        <w:br w:type="textWrapping"/>
        <w:t xml:space="preserve">Self-defense</w:t>
        <w:br w:type="textWrapping"/>
        <w:t xml:space="preserve">Elements 271</w:t>
        <w:br w:type="textWrapping"/>
        <w:t xml:space="preserve">Senate concurrence</w:t>
        <w:br w:type="textWrapping"/>
        <w:t xml:space="preserve">Constitutionality 155</w:t>
        <w:br w:type="textWrapping"/>
        <w:t xml:space="preserve">Sentinel of Justice 24, 43</w:t>
        <w:br w:type="textWrapping"/>
        <w:t xml:space="preserve">Separation pay 278</w:t>
        <w:br w:type="textWrapping"/>
        <w:t xml:space="preserve">Sequestration 133-152</w:t>
        <w:br w:type="textWrapping"/>
        <w:t xml:space="preserve">Service, Excellence &amp; Truth (SET) 468-474</w:t>
        <w:br w:type="textWrapping"/>
        <w:t xml:space="preserve">Sevilla, Nitoy M 466, 474</w:t>
        <w:br w:type="textWrapping"/>
        <w:t xml:space="preserve">Shari’ah District Courts</w:t>
        <w:br w:type="textWrapping"/>
        <w:t xml:space="preserve">Decided cases 8</w:t>
        <w:br w:type="textWrapping"/>
        <w:t xml:space="preserve">Siguion-Reyna, Leonardo T. 42</w:t>
        <w:br w:type="textWrapping"/>
        <w:t xml:space="preserve">Small claims courts 23</w:t>
        <w:br w:type="textWrapping"/>
        <w:t xml:space="preserve">Social Welfare &amp; Development,</w:t>
        <w:br w:type="textWrapping"/>
        <w:t xml:space="preserve">Department of 258</w:t>
        <w:br w:type="textWrapping"/>
        <w:t xml:space="preserve">Speedy justice 10, 11</w:t>
        <w:br w:type="textWrapping"/>
        <w:t xml:space="preserve">Judicial tools, facilities and personnel 19</w:t>
        <w:br w:type="textWrapping"/>
        <w:t xml:space="preserve">Stare decisis xi</w:t>
        <w:br w:type="textWrapping"/>
        <w:t xml:space="preserve">Statutes</w:t>
        <w:br w:type="textWrapping"/>
        <w:t xml:space="preserve">Validity 341</w:t>
        <w:br w:type="textWrapping"/>
        <w:t xml:space="preserve">Study Group on Bar Reforms 30</w:t>
        <w:br w:type="textWrapping"/>
        <w:t xml:space="preserve">Suarez, Reynaldo L. 462</w:t>
        <w:br w:type="textWrapping"/>
        <w:t xml:space="preserve">Sui generis 336</w:t>
        <w:br w:type="textWrapping"/>
        <w:t xml:space="preserve">Sumilao farmers’ case 420, 421</w:t>
        <w:br w:type="textWrapping"/>
        <w:t xml:space="preserve">Supervision 396-398</w:t>
        <w:br w:type="textWrapping"/>
        <w:t xml:space="preserve">Supreme Court</w:t>
        <w:br w:type="textWrapping"/>
        <w:t xml:space="preserve">Administrative supervision over courts 13</w:t>
        <w:br w:type="textWrapping"/>
        <w:t xml:space="preserve">Appeals 13</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Composition xvii</w:t>
        <w:br w:type="textWrapping"/>
        <w:t xml:space="preserve">Decided cases 5</w:t>
        <w:br w:type="textWrapping"/>
        <w:t xml:space="preserve">Division 413-422</w:t>
        <w:br w:type="textWrapping"/>
        <w:t xml:space="preserve">Division composition xix</w:t>
        <w:br w:type="textWrapping"/>
        <w:t xml:space="preserve">En Banc 413-422</w:t>
        <w:br w:type="textWrapping"/>
        <w:t xml:space="preserve">Justice briefing 109</w:t>
        <w:br w:type="textWrapping"/>
        <w:t xml:space="preserve">SC Circular No. 2-89 415-417</w:t>
        <w:br w:type="textWrapping"/>
        <w:t xml:space="preserve">Surrogate parenthood 51, 69</w:t>
        <w:br w:type="textWrapping"/>
        <w:t xml:space="preserve">Systematic delays 11-13</w:t>
        <w:br w:type="textWrapping"/>
        <w:t xml:space="preserve">Tañada, Wigberto 155, 156</w:t>
        <w:br w:type="textWrapping"/>
        <w:t xml:space="preserve">Tancangco, Luzviminda G 346</w:t>
        <w:br w:type="textWrapping"/>
        <w:t xml:space="preserve">Taxi drivers</w:t>
        <w:br w:type="textWrapping"/>
        <w:t xml:space="preserve">Separation pay 177-180</w:t>
        <w:br w:type="textWrapping"/>
        <w:t xml:space="preserve">Teachers</w:t>
        <w:br w:type="textWrapping"/>
        <w:t xml:space="preserve">Illegal dismissal 291</w:t>
        <w:br w:type="textWrapping"/>
        <w:t xml:space="preserve">Telemedicine 50</w:t>
        <w:br w:type="textWrapping"/>
        <w:t xml:space="preserve">Ten Commandments 102, 103</w:t>
        <w:br w:type="textWrapping"/>
        <w:t xml:space="preserve">Teodoro, Toribio 97</w:t>
        <w:br w:type="textWrapping"/>
        <w:t xml:space="preserve">Termination 186, 276</w:t>
        <w:br w:type="textWrapping"/>
        <w:t xml:space="preserve">Causes 307-309</w:t>
        <w:br w:type="textWrapping"/>
        <w:t xml:space="preserve">Illegal 286, 290, 293</w:t>
        <w:br w:type="textWrapping"/>
        <w:t xml:space="preserve">Illegal strike 288</w:t>
        <w:br w:type="textWrapping"/>
        <w:t xml:space="preserve">Notice 279-284, 296, 299, 303-313,</w:t>
        <w:br w:type="textWrapping"/>
        <w:t xml:space="preserve">315-317, 322, 324</w:t>
        <w:br w:type="textWrapping"/>
        <w:t xml:space="preserve">Requisites 276-277, 285-286</w:t>
        <w:br w:type="textWrapping"/>
        <w:t xml:space="preserve">Right to hearing 298, 299, 310, 318</w:t>
        <w:br w:type="textWrapping"/>
        <w:t xml:space="preserve">Termination Pay Law 281</w:t>
        <w:br w:type="textWrapping"/>
        <w:t xml:space="preserve">Themistocles 11</w:t>
        <w:br w:type="textWrapping"/>
        <w:t xml:space="preserve">Third wave 46, 47</w:t>
        <w:br w:type="textWrapping"/>
        <w:t xml:space="preserve">3M 70, 71</w:t>
        <w:br w:type="textWrapping"/>
        <w:t xml:space="preserve">Time Publishing 48</w:t>
        <w:br w:type="textWrapping"/>
        <w:t xml:space="preserve">Time Warner 48</w:t>
        <w:br w:type="textWrapping"/>
        <w:t xml:space="preserve">Toffler, Alvin 47</w:t>
        <w:br w:type="textWrapping"/>
        <w:t xml:space="preserve">Torres, Justo Jr. 211</w:t>
        <w:br w:type="textWrapping"/>
        <w:t xml:space="preserve">Transparency &amp; accountability 57, 59, 89</w:t>
        <w:br w:type="textWrapping"/>
        <w:t xml:space="preserve">Tudtud, Benny 44</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Tuquero, Artemio G. 24</w:t>
        <w:br w:type="textWrapping"/>
        <w:t xml:space="preserve">Turner Broadcasting 48</w:t>
        <w:br w:type="textWrapping"/>
        <w:t xml:space="preserve">Unanimity 107</w:t>
        <w:br w:type="textWrapping"/>
        <w:t xml:space="preserve">United Nations Development Program 26, 34, 59</w:t>
        <w:br w:type="textWrapping"/>
        <w:t xml:space="preserve">United States Extradition Treaty (1994) 326, 328-333,</w:t>
        <w:br w:type="textWrapping"/>
        <w:t xml:space="preserve">337-339</w:t>
        <w:br w:type="textWrapping"/>
        <w:t xml:space="preserve">United States Agency</w:t>
        <w:br w:type="textWrapping"/>
        <w:t xml:space="preserve">for International Development (USAID) 26, 34</w:t>
        <w:br w:type="textWrapping"/>
        <w:t xml:space="preserve">University of the East 65</w:t>
        <w:br w:type="textWrapping"/>
        <w:t xml:space="preserve">Uranza, Luis Q.U. Jr 24</w:t>
        <w:br w:type="textWrapping"/>
        <w:t xml:space="preserve">Uy, Ivan John 53</w:t>
        <w:br w:type="textWrapping"/>
        <w:t xml:space="preserve">Valdez, Salvador J. Jr 24</w:t>
        <w:br w:type="textWrapping"/>
        <w:t xml:space="preserve">Vanderbilt, Cornelius 67</w:t>
        <w:br w:type="textWrapping"/>
        <w:t xml:space="preserve">Video teleconferencing 21, 55</w:t>
        <w:br w:type="textWrapping"/>
        <w:t xml:space="preserve">Vienna Convention on the Law of Treaties 338, 339</w:t>
        <w:br w:type="textWrapping"/>
        <w:t xml:space="preserve">Villarama, Ma. Luisa D 462</w:t>
        <w:br w:type="textWrapping"/>
        <w:t xml:space="preserve">Vitug, Jose C 44, 211, 223, 239-242, 254, 255,</w:t>
        <w:br w:type="textWrapping"/>
        <w:t xml:space="preserve">264, 268, 274, 324, 328, 338, 349, 377, 390, 391, 416, 417,</w:t>
        <w:br w:type="textWrapping"/>
        <w:t xml:space="preserve">420, 425, 443, 445, 461, 462</w:t>
        <w:br w:type="textWrapping"/>
        <w:t xml:space="preserve">Voice of speech recognition 55</w:t>
        <w:br w:type="textWrapping"/>
        <w:t xml:space="preserve">Warner Communications 48</w:t>
        <w:br w:type="textWrapping"/>
        <w:t xml:space="preserve">Webster, Daniel 1</w:t>
        <w:br w:type="textWrapping"/>
        <w:t xml:space="preserve">Wood, Leonard 320</w:t>
        <w:br w:type="textWrapping"/>
        <w:t xml:space="preserve">World Bank 26, 34, 60</w:t>
        <w:br w:type="textWrapping"/>
        <w:t xml:space="preserve">World Trade Organization 51</w:t>
        <w:br w:type="textWrapping"/>
        <w:t xml:space="preserve">Agreement 155-166</w:t>
        <w:br w:type="textWrapping"/>
        <w:t xml:space="preserve">www.supremecourt.gov.ph 20, 39, 54</w:t>
        <w:br w:type="textWrapping"/>
        <w:t xml:space="preserve">Zamora, Ronaldo B. 231</w:t>
        <w:br w:type="textWrapping"/>
        <w:t xml:space="preserve">“Zero Backlog” 5, 6</w:t>
      </w:r>
    </w:p>
    <w:p w:rsidR="00000000" w:rsidDel="00000000" w:rsidP="00000000" w:rsidRDefault="00000000" w:rsidRPr="00000000" w14:paraId="0000088B">
      <w:pPr>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8C">
      <w:pPr>
        <w:ind w:left="0" w:firstLine="0"/>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88D">
      <w:pPr>
        <w:ind w:left="0" w:firstLine="0"/>
        <w:rPr>
          <w:rFonts w:ascii="Georgia" w:cs="Georgia" w:eastAsia="Georgia" w:hAnsi="Georgia"/>
          <w:sz w:val="22"/>
          <w:szCs w:val="22"/>
        </w:rPr>
      </w:pPr>
      <w:r w:rsidDel="00000000" w:rsidR="00000000" w:rsidRPr="00000000">
        <w:rPr>
          <w:rtl w:val="0"/>
        </w:rPr>
      </w:r>
    </w:p>
    <w:sectPr>
      <w:headerReference r:id="rId9" w:type="default"/>
      <w:pgSz w:h="12960" w:w="8640" w:orient="portrait"/>
      <w:pgMar w:bottom="792" w:top="792" w:left="893" w:right="89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My appointment was dated October 5, 1995, but I began discharging my JMiliclal Fesponsibilities on October 10, 1995,</w:t>
      </w:r>
    </w:p>
  </w:footnote>
  <w:footnote w:id="1">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referred to these three values as “EXEE” in Chapter 4; as “GG=TE*” in Chapter 5 and as “e-values” in Chapter 6.</w:t>
      </w:r>
    </w:p>
  </w:footnote>
  <w:footnote w:id="2">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Some of these opinions were not promulgated as such, because they were eventually adopted by the ponentes who incorporated them in the final decisions; or because the ponencias were reformulated, thus making the publication of my Separate Opinions unnecessary.</w:t>
      </w:r>
    </w:p>
  </w:footnote>
  <w:footnote w:id="3">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The Constitution gives the Supreme Court twenty-four months after the last pleading has been filed, within which to decide a particular case. Sec. 15 of Article VIII of the Charter provides: “(1)All cases or matters filed after the effectivity of this Constitution must be decided or resolved within twenty-four months from date of submission for the Supreme Court, and, unless reduced by the Supreme Court, twelve months for all lower collegiate courts, and three months for all other lower courts. “(2) A case or matter shall be deemed submitted for decision or resolution upon the filing of the last pleading, brief, or memorandum required by the Rules of Court or by the court itself. “(3) Upon the expiration of the corresponding period, a certification to this effect signed by the Chief Justice or the presiding judge shall forthwith be issued and a copy thereof attached to the record of the case or matter, and served upon the parties. The certification shall state why a decision or resolution has not been rendered or issued within said period. “(4) Despite the expiration of the applicable mandatory period, the court, without prejudice to such responsibility as may have been incurred in consequence thereof, shall decide or resolve the case or matter submitted thereto for determination, without further delay.”</w:t>
      </w:r>
    </w:p>
  </w:footnote>
  <w:footnote w:id="4">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As discussed in Chapter 1, the Court itself hopes to resolve its collective backlog by June 11, 2001, the Supreme Court's centennial.</w:t>
      </w:r>
    </w:p>
  </w:footnote>
  <w:footnote w:id="5">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During my fifth year, I lectured nine times during seminars sponsored by the Philippine Judicial Academy (October 14 and December 2 in 1999; and in 2000 on the following dates: January 13, February 16, February 23, June 28, June 29, July 31 and August 9), and once each before the Manila Overseas Press Club (March 10, 2000) and Bantay Katarungan (April 14, 2000).</w:t>
      </w:r>
    </w:p>
  </w:footnote>
  <w:footnote w:id="6">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Jhe latent statistics as found in “Summary Reports of Cases” for the years 1904. 1000, certified by the Statistical Reports Division of the Court Management Oiflive, Office of the Court Administrator, Supreme Court,</w:t>
      </w:r>
    </w:p>
  </w:footnote>
  <w:footnote w:id="7">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Huge backlogs seem to characterize many judicial systems in the world. The International Herald Tribune (June 2, 2000, p. 12) reports that in India, “[a]bout 25 million cases are pending, a breathtaking pileup of untried accused and unsatisfied aggrieved. By one calculation, if no new actions were filed, 324 years would be needed to clear the dockets.”</w:t>
      </w:r>
    </w:p>
  </w:footnote>
  <w:footnote w:id="8">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It should be 56.33 percent based on the quoted figures.</w:t>
      </w:r>
    </w:p>
  </w:footnote>
  <w:footnote w:id="9">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Justice Benipayo attributes this problem not to “judicial inefficiency” but to “{flirst, the increased volume of new cases being filed; and second, perhaps more importantly, the large number of vacant judgeships.” © Tradition and Transition: The First Year of the Davide Watch, pp- 3-4; for an</w:t>
      </w:r>
    </w:p>
  </w:footnote>
  <w:footnote w:id="10">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explanation of Chief Justice Davide's program. of action, please see Panganiban, Leadership by Example, 1999 ed., pp. 22-72.</w:t>
      </w:r>
    </w:p>
  </w:footnote>
  <w:footnote w:id="11">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III §§ 14(2) and 16; Roque v. Ombudsman, 307 SCRA 104, May 12, 1999; Valles v. Sandiganbayan, 307 SCRA 149, May 18, 1999; Tatad v. Sandiganbayan, 159 SCRA 70, March 21, 1988.</w:t>
      </w:r>
    </w:p>
  </w:footnote>
  <w:footnote w:id="12">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Cf. Isagani A. Cruz, Constitutional Law, 1998 ed., p. 98.</w:t>
      </w:r>
    </w:p>
  </w:footnote>
  <w:footnote w:id="13">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Cf. Speeches of Justice Teodoro R. Padilla, 1997 ed., p. 78.</w:t>
      </w:r>
    </w:p>
  </w:footnote>
  <w:footnote w:id="14">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1999 ed., pp. 11-17.</w:t>
      </w:r>
    </w:p>
  </w:footnote>
  <w:footnote w:id="15">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On August 1, 2000, Rep. Aumentado filed House Bill No. 11903 entitled “An Act Declaring the Exemption of the Judiciary and Its Personnel from the Coverage of RA 6758, otherwise known as the Salary Standardization Law.” For his part, Sen. Cayetano authored Senate Bill No. 2142 entitled “An Act Granting Exempt ion to the Members of the Judiciary, including the Chief Justice and the Associate Justices of the Supreme Court and Their Personnel from the Coverage of Republic Act No. 6758, Otherwise Known as the Salary Standardization Law,”</w:t>
      </w:r>
    </w:p>
  </w:footnote>
  <w:footnote w:id="16">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Some of these e-age tools are: (a) The Case Administration System or CAS, which tracks for fast and easy access all cases in the Supreme Court from the time they are filed until they are finally disposed of. (b) The Computer-Assisted Legal Research or CALR, an electronic compilation of all decisions of the Supreme Court from 1901 to the present. This is an ongoing project in which the electronic compilation of decisions promulgated from January 1996 to the recent past has already been done, with the rest to be finished in two years’ time. Once completely updated, this system will do away with bulky volumes like the SCRA and the Philippine Reports. (c) The computerization of various administrative processes like payrolls (the SC Payroll System is an electronic system that processes the salaries of Court employees, track records of its personnel, and provides data to other government agencies ranging from personal contributions and loan deductions to income tax returns), personnel record tracking (the Electronic System for Personnel Record Tracking or ESPRT covers the processing of all transactions concerning personnel matters such as promotions, transfers, issuance of service records and other certifications, and other personnel-related procedures; it also covers the maintenance of the 201 files of the approximately 25,000 Supreme Court and lower court personnel), supplies and property accounting (the Personnel System of Attendance and Leave Monitoring or PSALM involves the monitoring of the attendance and the leave balances of the employees and officials of the Supreme Court and the lower courts; the system downloads data from time recorder machines installed in the Court for recording of daily attendance and computation of leave balances), revenue monitoring, revenue tracking (the Revenue Monitoring System or RMS monitors and records the collection of remittances and deposits from lower courts; these deposits come from initial and subsequent payments made by the parties when filing cases and pleading; the system provides reports on collection and deposit, subsidiary ledgers, recapitulation, reports of disbursement by the disbursing officer and monthly transmittal), financial information and records management; the Financial Management Information System or FMIS Version 2 facilitates the general supervision and administrative control of activities in finance, budgeting, accounting, disbursement and collection, including providing staff advice and assistance to the Court on the status of appropriations, allotments and other financial matters; the system generates periodic financial reports for submission to the proper authorities; e.g., Office of the Chief Justice, Department of Budget and Management (DBM), Commission on Audit (COA), Congress and other agencies). (d) The recent opening of the Supreme Court Internet homepage www.supremecourt.gov.ph through which the most recent decisions and issuances are made accessible. In the near future, we hope to make this facility interactive to enable the public to “converse” with the Court. (e) The High Court’s acquisition of 1,500 personal computers to be distributed to all regional trial courts and selected first-level courts nationwide. Through computerization, we hope to be able to administer lower courts more effectively and efficiently and thereby produce speedier and more judicious pronouncements. Apart from these ongoing “Third Wave” projects, the Court also plans to adopt a number of technological innovations which should become realities during the next five years, well within Chief Justice Davide’s term. Some of these are the following: (f) Voice or speech recognition whereby, in place of stenography, software and hardware will be used to recognize spoken words and convert them to printable or electronic format.</w:t>
      </w:r>
    </w:p>
  </w:footnote>
  <w:footnote w:id="17">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The Committee is composed of Justice Reynato S. Puno, chair; retired Justice Jose Y. Feria, vice chair; and the following members; Court of Appeals Justices Salvador J. Valdez Jr. and Edgardo P. Cruz, Justice Secretary Artemio G. Tuquero, Sol. Gen, Ricardo P. Galvez and Atty. Luis Q.U, Uranza Jr.</w:t>
      </w:r>
    </w:p>
  </w:footnote>
  <w:footnote w:id="18">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Address of Supreme Court Justice Artemio V. Panganiban as guest speaker during the general membership meeting of the Management Association of the Philippines (MAP) held on September 11, 2000 at the Grand Ballroom of Hotel Intercontinental Manila.</w:t>
      </w:r>
    </w:p>
  </w:footnote>
  <w:footnote w:id="19">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Tshould add at this point how impressed I was with World Bank Country Director Vinay Bhargava who, on July 25, 2000, hosted a dinner in honor of our Chief Justice and the Supreme Court, during which he invited the Philippine representatives of these developmental agencies and urged them to assist us unconditionally in our pursuit of judicial reform. i</w:t>
      </w:r>
    </w:p>
  </w:footnote>
  <w:footnote w:id="20">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The other magistrates’ monthly salaries are as follows: Chief Justice, P44,000; Court of Appeals and Sandiganbayan presiding justice, P38,500; metropolitan trial court judges, P24,127 and municipal trial court judges, P21,449. These amounts already include the 10% increase starting January 1, 2000.</w:t>
      </w:r>
    </w:p>
  </w:footnote>
  <w:footnote w:id="21">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 note that several lawmakers, among them Senate President Franklin M. Drilon, Senator Rene L. Cayetano and Deputy Speaker Erico B. Aumentado, are working to free the judiciary from this law.</w:t>
      </w:r>
    </w:p>
  </w:footnote>
  <w:footnote w:id="22">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The duty of the Supreme Court should not be so much the adjudication of Hi) Cases, a8 to teach or to open new vistas to guide lower courts in deciding Hie Controversies,</w:t>
      </w:r>
    </w:p>
  </w:footnote>
  <w:footnote w:id="23">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Toffler, The Third Wave, Bantam Books, 1980 ed., p. 4.</w:t>
      </w:r>
    </w:p>
  </w:footnote>
  <w:footnote w:id="24">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Id., pp. 10-11. See also John Naisbitt, Megatrends, Warner Books, 1982 ed., p. 11: “This book is about ten major transformations taking place right now in our society. While more subtle, yet more explosive, I think, than this first, the megashift from an industrial to an information society.”</w:t>
      </w:r>
    </w:p>
  </w:footnote>
  <w:footnote w:id="25">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Bartlett, Familiar Quotations, 15" ed., p. 524</w:t>
      </w:r>
    </w:p>
  </w:footnote>
  <w:footnote w:id="26">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Address delivered by Supreme Court Justice Artemio V. Panganiban on April 25, 2000 during the commencement exercises of the University of the East at the University Theater, UE Campus, Manila.</w:t>
      </w:r>
    </w:p>
  </w:footnote>
  <w:footnote w:id="27">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1982 ed., published by Warner Communications Company.</w:t>
      </w:r>
    </w:p>
  </w:footnote>
  <w:footnote w:id="28">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Drucker, Managing ina Time of Great Change, 1995 ed., p. 208.</w:t>
      </w:r>
    </w:p>
  </w:footnote>
  <w:footnote w:id="29">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See Fortune.Com, "Why Cisco Is On Top,” March 27, 2000.</w:t>
      </w:r>
    </w:p>
  </w:footnote>
  <w:footnote w:id="30">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See Manila Standard, April 16, 2000, p.5.</w:t>
      </w:r>
    </w:p>
  </w:footnote>
  <w:footnote w:id="31">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1995 ed., Penguin Books, pp. 75:77,</w:t>
      </w:r>
    </w:p>
  </w:footnote>
  <w:footnote w:id="32">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'Twken from Tom Peters, Passion for Excellence, 1985 ed., p. 115.</w:t>
      </w:r>
    </w:p>
  </w:footnote>
  <w:footnote w:id="33">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See Stephen R. Covey, Seven Habits of Highly Effective People, 1989 ed., pp. 18+ 21.</w:t>
      </w:r>
    </w:p>
  </w:footnote>
  <w:footnote w:id="34">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 news program on Sky Cable Channel 21.</w:t>
      </w:r>
    </w:p>
  </w:footnote>
  <w:footnote w:id="35">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Other newspapers have websites also, but for brevity’s sake I expressly mentioned only the three largest circulated broadsheets.</w:t>
      </w:r>
    </w:p>
  </w:footnote>
  <w:footnote w:id="36">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In 1967, my new Mercedes Benz 200G cost only about P20,000. In my youthful exuberance, I thought that owning a Mercedes was the symbol of having “arrived,”</w:t>
      </w:r>
    </w:p>
  </w:footnote>
  <w:footnote w:id="37">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See Peter Drucker, Managing in a Time of Great Challenge, 1995 ed., p. 204.</w:t>
      </w:r>
    </w:p>
  </w:footnote>
  <w:footnote w:id="38">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Paul Kennedy, Preparing for the Twenty-First Century, 1993 ed., p. 339.</w:t>
      </w:r>
    </w:p>
  </w:footnote>
  <w:footnote w:id="39">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Henry J. Abraham, Justices and Presidents, 1992 ed., p. 56, quoting from the Neto York Times Magazine, November 28, 1954, p. 14.</w:t>
      </w:r>
    </w:p>
  </w:footnote>
  <w:footnote w:id="40">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Covey, op. cit., p. 22.</w:t>
      </w:r>
    </w:p>
  </w:footnote>
  <w:footnote w:id="41">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II, §28.</w:t>
      </w:r>
    </w:p>
  </w:footnote>
  <w:footnote w:id="42">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III, §7.</w:t>
      </w:r>
    </w:p>
  </w:footnote>
  <w:footnote w:id="43">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XI, §1.</w:t>
      </w:r>
    </w:p>
  </w:footnote>
  <w:footnote w:id="44">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Keynote address delivered by Supreme Court Justice Artemio V, Panganiban before the 16th Annual President Osmefia Forum on Values sponsored by the College Assurance Plan in Cebu City on September 2, 2000,</w:t>
      </w:r>
    </w:p>
  </w:footnote>
  <w:footnote w:id="45">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College Assurance Plan. 92</w:t>
      </w:r>
    </w:p>
  </w:footnote>
  <w:footnote w:id="46">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July 21, 2000 issue,</w:t>
      </w:r>
    </w:p>
  </w:footnote>
  <w:footnote w:id="47">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2Cor 4:8-9,</w:t>
      </w:r>
    </w:p>
  </w:footnote>
  <w:footnote w:id="48">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‘Taken from a speech of Vaclav Havel upon conferment on hin of a doctoral degree, honoris causa, at Harvard University, Boston, on June 8, 1995.</w:t>
      </w:r>
    </w:p>
  </w:footnote>
  <w:footnote w:id="49">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ic knowledgeable jurist, who patiently “broke” me in during the first few months of iny incumbency, ‘a</w:t>
      </w:r>
    </w:p>
  </w:footnote>
  <w:footnote w:id="50">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250 SCRA 500, December 1, 1995,</w:t>
      </w:r>
    </w:p>
  </w:footnote>
  <w:footnote w:id="51">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252 SCRA 259, January 24, 1996,</w:t>
      </w:r>
    </w:p>
  </w:footnote>
  <w:footnote w:id="52">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§28-A of RA 265 provides:</w:t>
      </w:r>
    </w:p>
  </w:footnote>
  <w:footnote w:id="53">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“Whenever, on the basis of a report submitted by the appropriate supervising or examining department, the Monetary Board finds that a bank or a non-bank financial intermediary performing quasi-banking functions is in a state of continuing inability or unwillingness to maintain a state of liquidity deemed adequate to protect the interest of depositors and creditors, the Monetary Board may appoint a conservator to take charge of the assets, liabilities, and the management of that institution, collect all monies and debts due said institution, and exercise all powers necessary to preserve the assets of the institution, reorganize the management thereof, and restore its viability. He shall have the power to overrule or revoke the actions of the previous management and board of directors of the bank or non-bank financial intermediary performing quasi-banking functions, any provision of law to the contrary notwithstanding, and such other powers as the Monetary Board shall deem necessary.”</w:t>
      </w:r>
    </w:p>
  </w:footnote>
  <w:footnote w:id="54">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§10 of Art. II of the Constitution reads as follows; “Sec, 10. No law impairing the obligation of contracts shall be passed.”</w:t>
      </w:r>
    </w:p>
  </w:footnote>
  <w:footnote w:id="55">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Memorandum for Petitioners, p. 76; rollo, p. 1043.</w:t>
      </w:r>
    </w:p>
  </w:footnote>
  <w:footnote w:id="56">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In his Memorandum, private respondent alleged (and petitioners have not denied) that (a) the property was sold at foreclosure for only P3,033,264; and (b) in a suit for deficiency judgment against the mortgage debtor and former owner of the property, the petitioner bank maintained that the value of the property was only P3 million.</w:t>
      </w:r>
    </w:p>
  </w:footnote>
  <w:footnote w:id="57">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253 SCRA 30, February 1, 1996. 133</w:t>
      </w:r>
    </w:p>
  </w:footnote>
  <w:footnote w:id="58">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258 SCRA 685, July 12, 1996. » 269 SCRA 316, March 7, 1997.</w:t>
      </w:r>
    </w:p>
  </w:footnote>
  <w:footnote w:id="59">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293SCRA 440, July 31, 1998.</w:t>
      </w:r>
    </w:p>
  </w:footnote>
  <w:footnote w:id="60">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299 SCRA 744, December 9, 1998.</w:t>
      </w:r>
    </w:p>
  </w:footnote>
  <w:footnote w:id="61">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&amp; 240SCRA 376, January 23, 1995.</w:t>
      </w:r>
    </w:p>
  </w:footnote>
  <w:footnote w:id="62">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§204(1), National Internal Revenue Code, as amended, * §204 (2), ibid.</w:t>
      </w:r>
    </w:p>
  </w:footnote>
  <w:footnote w:id="63">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Par. 2, ibid.</w:t>
      </w:r>
    </w:p>
  </w:footnote>
  <w:footnote w:id="64">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295 SCRA 494, September 16, 1998. In this case, the Supreme Court decreed that reviews of NLRC decisions should henceforth be undertaken by the Court of Appeals.</w:t>
      </w:r>
    </w:p>
  </w:footnote>
  <w:footnote w:id="65">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§3, Art. XIII, Constitution provides:</w:t>
      </w:r>
    </w:p>
  </w:footnote>
  <w:footnote w:id="66">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"SEC. 3. The State shall afford full protection to labor, local and overseas, Organized and unorganized, and promote full employment and equality of employment opportunities for all.</w:t>
      </w:r>
    </w:p>
  </w:footnote>
  <w:footnote w:id="67">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"It shall guarantee the rights of all workers to self-organization, collective bargaining and negotiations, and peaceful concerted activities, including the right, lo strike in accordance with law. They shall be entitled to security of tenure, inane conditions of work, and a living wage. They shall also participate in policy and decision-making processes affecting their rights and benefits as may Ww provided by law. 167</w:t>
      </w:r>
    </w:p>
  </w:footnote>
  <w:footnote w:id="68">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269 SCRA 564, March 13, 1997. *</w:t>
      </w:r>
    </w:p>
  </w:footnote>
  <w:footnote w:id="69">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SCRA 401, February 24, 1998.</w:t>
      </w:r>
    </w:p>
  </w:footnote>
  <w:footnote w:id="70">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“Art, 280. Regular and Casual Employment. — The provisions of written agreement to the contrary notwithstanding and regardless of the oral agreement of the parties, an employment shall be deemed to be regular where the employee has been engaged to perform activities which are usually necessary or desirable in the usual business or trade of the employer, except where the employment has been fixed for a specific project or undertaking the completion or termination of which has been determined at the time of the engagement of the employee or where the work or services to be performed is seasonal in nature and the employment is for the duration of the season.</w:t>
      </w:r>
    </w:p>
  </w:footnote>
  <w:footnote w:id="71">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XXX: XXX Kem! " Mafinco Trading Corporation v. Ople, 70 SCRA 139, 159, March 25, 1976.</w:t>
      </w:r>
    </w:p>
  </w:footnote>
  <w:footnote w:id="72">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See Heirs of Crisanta Y. Gabriel-Almoradie v. Court of Appents, 229 SCRA 15, 29, January 4, 1994; Escudero v. Dulay, 158 SCRA 69, February 23, 1988; Roman Catholic Archbishop of Manila v. Court of Appeals, 198 SCRA 300, June 19, 1991,</w:t>
      </w:r>
    </w:p>
  </w:footnote>
  <w:footnote w:id="73">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To reiterate, petitioner filed a Petition for certification election on July 9, 1992 and an illegal dismissal case on November 16, 1992.</w:t>
      </w:r>
    </w:p>
  </w:footnote>
  <w:footnote w:id="74">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Aspi v. Court of Appeals, 236 SCRA 94, September 1, 1994; Hydro Resources Constructors Corp. v. Court of Appeals, 204 SCRA 309, November 29, 1991; De Leoit tt Court of Appeals, 205 SCRA 612, January 30, 1992. % Raycor Aircontrol Systems, Inc, v. NLRC, 261 SCRA 589, September 9, 1996, citing Golden Donuts, Inc. v. NLRC, 230 SCRA 153, February 21, 1994, and Mapalo 0 NLRC, 233 SCRA 266, June 17, 1994,</w:t>
      </w:r>
    </w:p>
  </w:footnote>
  <w:footnote w:id="75">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Uy v. National Labor Relations Commission, 261 SCRA 505, September 6, 1990,</w:t>
      </w:r>
    </w:p>
  </w:footnote>
  <w:footnote w:id="76">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SCRA 420, March 11, 1998, " Rollo, pp. 76-83.</w:t>
      </w:r>
    </w:p>
  </w:footnote>
  <w:footnote w:id="77">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Petitioner’s memorandum, p. 12; rollo, p. 240.</w:t>
      </w:r>
    </w:p>
  </w:footnote>
  <w:footnote w:id="78">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See Philippine School of Business Administration (PSBA Manila) v. National Labor Relations Commission, 223 SCRA 305, June 8, 1993.</w:t>
      </w:r>
    </w:p>
  </w:footnote>
  <w:footnote w:id="79">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Supra, p. 165.</w:t>
      </w:r>
    </w:p>
  </w:footnote>
  <w:footnote w:id="80">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Supra, pp. 723-724.</w:t>
      </w:r>
    </w:p>
  </w:footnote>
  <w:footnote w:id="81">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Moore, Carl L. and Jaedicke, Robert K., Managerial Accounting, p. 169 (1967).</w:t>
      </w:r>
    </w:p>
  </w:footnote>
  <w:footnote w:id="82">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287 SCRA 554, March 13, 1998.</w:t>
      </w:r>
    </w:p>
  </w:footnote>
  <w:footnote w:id="83">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36 of the Family Code provides:</w:t>
      </w:r>
    </w:p>
  </w:footnote>
  <w:footnote w:id="84">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 marriage contracted by any party who, at the time of the celebration, was psychologically incapacitated to comply with the essential marital obligations of marriage, shall likewise be void even if such incapacity becomes manifest only after its solemnization.”</w:t>
      </w:r>
    </w:p>
  </w:footnote>
  <w:footnote w:id="85">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268 SCRA 198, February 13, 1997. 188</w:t>
      </w:r>
    </w:p>
  </w:footnote>
  <w:footnote w:id="86">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266 SCRA 281, January 16, 1997, a Third Division Decision I penned, which was unanimously concurred in by CJ Andres R. Narvasa (chairman) and |] Hilario G. Davide Jr, Jose A. R. Melo and Ricardo J, Francisco (members).</w:t>
      </w:r>
    </w:p>
  </w:footnote>
  <w:footnote w:id="87">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130 Phil 33, 35 (1968).</w:t>
      </w:r>
    </w:p>
  </w:footnote>
  <w:footnote w:id="88">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Y §8, Rule 8, Rules of Court.</w:t>
      </w:r>
    </w:p>
  </w:footnote>
  <w:footnote w:id="89">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SCRA 386, November 14, 1988, per Padilla, J. “(12) The right to become a member of associations or societies for Purposes not contrary to law; “(13) The right to take part in a peaceable assembly to petition the Government for redress of grievances; “(14) The right to be free from involuntary servitude in any form; “(15) The right of the accused against excessive bail; “(16) The right of the accused to be heard by himself and counsel, to be informed of the nature and cause of the accusation against him, to have a speedy and public trial, to meet the witnesses face to face, and to have compulsory process to secure the attendance of witness in his behalf; “(17) Freedom from being compelled to be a witness against one’s self, or from being forced to confess guilt, or from being induced by a promise of immunity or reward to make such confession, except when the person confessing becomes a State witness; “(18) Freedom from excessive fines, or cruel and unusual punishment, unless the same is imposed or inflicted in accordance with a statute which has not been judicially declared unconstitutional; and “(19) Freedom of access to the courts.</w:t>
      </w:r>
    </w:p>
  </w:footnote>
  <w:footnote w:id="90">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The Revised Rules on Criminal Procedure will take effect on December 1, 2000,</w:t>
      </w:r>
    </w:p>
  </w:footnote>
  <w:footnote w:id="91">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See also § 6(b), Rule 112 of the Rules of Court.</w:t>
      </w:r>
    </w:p>
  </w:footnote>
  <w:footnote w:id="92">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Supra; penned by J. Davide with the concurrence of CJ Narvasa; and J] Padilla, Bellosillo, Vitug and Hermosisima; J. Kapunan joined in the result; J] Regalado, Romero, Melo, Puno and Mendoza dissented. J. Francisco and I took no part. "2 300 SCRA 367, December 21, 1998.</w:t>
      </w:r>
    </w:p>
  </w:footnote>
  <w:footnote w:id="93">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Justice Quisumbing was joined by CJ Davide Jr. and J. Vitug. J. Melo took no part, while I filed a Dissent. “For an extended discussion, see Panganiban, Leadership by Example, 1999 ed., pp. 155-163.</w:t>
      </w:r>
    </w:p>
  </w:footnote>
  <w:footnote w:id="94">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On October 8, 2000, the broadsheets (Philippine Star, p. 2, and Manila Times, p. 2A) quoted a report of Sen. Loren Legarda that since 1994, the trial courts had handed down 1,547 death sentences, of which 845 were for rape, 350 for murder, 152 for robbery with homicide, 135 for kidnapping, and 51 for drug trafficking,</w:t>
      </w:r>
    </w:p>
  </w:footnote>
  <w:footnote w:id="95">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All provisions imposing the death penalty were deemed inoperative upon the effectivity of the 1987 Constitution, which prohibited the imposition of the death penalty.</w:t>
      </w:r>
    </w:p>
  </w:footnote>
  <w:footnote w:id="96">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Entitled “An Act Expanding the Definition of the Crime of Ra pe, Reclassifying the Same as a Crime Against Persons, Amend ing for the Purpose Act No. 3815, as Amended, Otherwise Knownas the Revised Penal Code, and for Other Purposes,”</w:t>
      </w:r>
    </w:p>
  </w:footnote>
  <w:footnote w:id="97">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This date marks also my fifth anniversary in the Supreme Court. " GR No. 121906, April 5, 2000, per curiam.</w:t>
      </w:r>
    </w:p>
  </w:footnote>
  <w:footnote w:id="98">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GR No. 124129, January 28, 2000.</w:t>
      </w:r>
    </w:p>
  </w:footnote>
  <w:footnote w:id="99">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People v. Balgos, GR No, 126115, January 26, 2000; People v. Llame, GR No. 132138, January 28, 2000; People v. Alama, GR Nos. 134122-27, February 7, 2000;: People v. Amban, GR No. 134286, March 1, 2000; People v. Gajo, GR No. 127749, March 9, 2000; People v. Magat, GR No. 130026, May 31, 2000; People v. Lasola, GR No. 123152, November 17, 1999; People v. Diasanta, GR No. 128108, July 6, 2000.</w:t>
      </w:r>
    </w:p>
  </w:footnote>
  <w:footnote w:id="100">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GR No. 134286, March 1, 2000 " GR No, 130504, June 29, 2000, pp. 29-30, per Panganiban, /.</w:t>
      </w:r>
    </w:p>
  </w:footnote>
  <w:footnote w:id="101">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GR No. 128056, March 31, 2000, per Kapunan, J. See also People v, Ubaldo, GR No. 128110-11, October 9, 2000, per Quisumbing, |.</w:t>
      </w:r>
    </w:p>
  </w:footnote>
  <w:footnote w:id="102">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‘7 GR No. 130210, December 8, 1999, per Bellosillo, ].</w:t>
      </w:r>
    </w:p>
  </w:footnote>
  <w:footnote w:id="103">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#8 GR No. 125550, July 11, 2000, per curiam. % 930 SCRA 486, March 1, 1994, per Bidin, J. ¥” GR No. 132745, March 9, 2000, per De Leon rf.</w:t>
      </w:r>
    </w:p>
  </w:footnote>
  <w:footnote w:id="104">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See Lacanilao v. Court of Appeals, 162 SCRA 563, June 27, 1988. WI GR No. 130985, December 3, 1999, per Kapunan, J. 1292 SCRA 742, July 22, 1998.</w:t>
      </w:r>
    </w:p>
  </w:footnote>
  <w:footnote w:id="105">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 GR No. 135981, September 29, 2000, per Panganiban, |.</w:t>
      </w:r>
    </w:p>
  </w:footnote>
  <w:footnote w:id="106">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1998 edi, p. 155.</w:t>
      </w:r>
    </w:p>
  </w:footnote>
  <w:footnote w:id="107">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Villarosa v. Comelec, GR No. 133927, November 29, 1999. " § 18, Art. II, 1987 Constitution. “§ 3, Art. XIU, ibid.</w:t>
      </w:r>
    </w:p>
  </w:footnote>
  <w:footnote w:id="108">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termination and shall afford the latter ample opportunity to be heard and to defend himself with the assistance of his representative if he so desires in accordance with company rules and regulations promulgated pursuant to guidelines set by the Department of Labor and Employment. Any decision taken by the employer shall be without prejudice to the right of the worker to contest the validity or legality of his dismissal by filing a complaint with the regional branch of the National Labor Relations Commission. The burden of proving that the termination was for a valid or authorized cause shall rest on the employer. The Secretary of the Department of Labor and Employment tay suspend the effects of the termination pending resolution of the dispute in the event of a prima facie finding by the appropriate official of the Department of Labor and Employment before whom such dispute is pending that the termination may cause a serious labor dispute or is in implementation of a mass lay-off.”</w:t>
      </w:r>
    </w:p>
  </w:footnote>
  <w:footnote w:id="109">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GR No. 139465, January 18, 2000.</w:t>
      </w:r>
    </w:p>
  </w:footnote>
  <w:footnote w:id="110">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IIL, Sec. 7 of the Constitution, provides:</w:t>
      </w:r>
    </w:p>
  </w:footnote>
  <w:footnote w:id="111">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“Sec. 7. The right of the people to information on matters of public concern shall be recognized. Access to official records, and to documents and papers pertaining to official acts, transactions, or decisions, as well as to government research data used as basis for policy development, shall be afforded the citizen, subject to such limitations as may be provided by law.”</w:t>
      </w:r>
    </w:p>
  </w:footnote>
  <w:footnote w:id="112">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§1, Art, II] of the Constitution, provides:</w:t>
      </w:r>
    </w:p>
  </w:footnote>
  <w:footnote w:id="113">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“No person shall be deprived of life, liberty or property without due process of law.”</w:t>
      </w:r>
    </w:p>
  </w:footnote>
  <w:footnote w:id="114">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See ponencia, pp. 11-12.</w:t>
      </w:r>
    </w:p>
  </w:footnote>
  <w:footnote w:id="115">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§9, PD No. 1069. “Ibid. ‘5 § 2, Rule 133, Revised Rules of Court. \« §10, PD No. 1069.</w:t>
      </w:r>
    </w:p>
  </w:footnote>
  <w:footnote w:id="116">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Referring to the regional trial courts and the Court of Appeals whose decisions are deemed final and executory. See §12, PD No. 1069.</w:t>
      </w:r>
    </w:p>
  </w:footnote>
  <w:footnote w:id="117">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Note “Executive Discretion in Extradition,” 62 Col. Law Rev., pp. 1314-1329.</w:t>
      </w:r>
    </w:p>
  </w:footnote>
  <w:footnote w:id="118">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Art. 8, Civil Code, 340</w:t>
      </w:r>
    </w:p>
  </w:footnote>
  <w:footnote w:id="119">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GR No. 136781, 136786 and 136795, October 6, 2000. These are really three consolidated cases which, for convenience, will be referred to by the short title of the first case — Veterans Federation Party et al. v. Comelec et al.</w:t>
      </w:r>
    </w:p>
  </w:footnote>
  <w:footnote w:id="120">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In its en banc Resolution No. 2847 dated June 25, 1996, Comelec adopted this simple formula, but discarded it in the assailed Resolutions.</w:t>
      </w:r>
    </w:p>
  </w:footnote>
  <w:footnote w:id="121">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In fairness, the Group of 38 explains these differences in the context of its concluding plea to dilute the two percent threshold. See Memorandum for private respondents, pp. 44-46,</w:t>
      </w:r>
    </w:p>
  </w:footnote>
  <w:footnote w:id="122">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The rule is allegedly based on Resolution No. 2847 of the COMELEC. The resolution does not, however, contain the alleged rule. To the contrary, it reiterates 1) §12 that “The parties, organizations, and coalitions receiving at least two percent (2%) of the total votes cast for the party-list system shall be entitled to one seat each; Provided, That those garnering more than two percent (2%) of the votes shall be entitled to additional seats in proportion to their total number of votes; Provided finally, That each party, organization, or coalition shall be entitled to not sore than three (3) seats each.” It is only in the illustration attached as Annex Ato ihe resolution where it is stated that the computation under Column D of the Table of Allocation of Seats is made at the rate of “1 seat for every 2%; maximum of 3 seats.” How this was arrived at was not explained.</w:t>
      </w:r>
    </w:p>
  </w:footnote>
  <w:footnote w:id="123">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See Thyiada’v. Angara, 272 SCRA 18, May 2, 1997; Santiago v. Guingona, 298 SCRA 756, November 18, 1998.</w:t>
      </w:r>
    </w:p>
  </w:footnote>
  <w:footnote w:id="124">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L Ed. 2d 484 (1966); Vanasco v. Schivartz, 401 F Supp. 87, 100 (SDNY 1975), aff'd mem, 423 US 1041, 96 S Ct. 763, 46 L Ed. 2d 630 (1976).</w:t>
      </w:r>
    </w:p>
  </w:footnote>
  <w:footnote w:id="125">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Y Exit Polls and the First Amendment, supra, p. 1935,</w:t>
      </w:r>
    </w:p>
  </w:footnote>
  <w:footnote w:id="126">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Petitioner's Memorandum, p. 15.</w:t>
      </w:r>
    </w:p>
  </w:footnote>
  <w:footnote w:id="127">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Ibid. '"" Thid. \» 170 SCRA 786, 794-795, February 28, 1989, per Sarmiento, J.” Citing §3, Art. X, 1987 Const. " Citing §2, BP 337.</w:t>
      </w:r>
    </w:p>
  </w:footnote>
  <w:footnote w:id="128">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Citing §4, Art. X, 1987 Const.</w:t>
      </w:r>
    </w:p>
  </w:footnote>
  <w:footnote w:id="129">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Citing BP 337; and Hebron v, Reyes, supra.” Citing Hebron v. Reyes, supra.</w:t>
      </w:r>
    </w:p>
  </w:footnote>
  <w:footnote w:id="130">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Citing Bernas, “Brewing storm over autonomy,” The Manila Chronicle, pp. 4-5.</w:t>
      </w:r>
    </w:p>
  </w:footnote>
  <w:footnote w:id="131">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San Juan v. Civil Service Conunission, 196 SCRA 69, 79, April 19, 1991, §9, Art. XII of the Constitution.</w:t>
      </w:r>
    </w:p>
  </w:footnote>
  <w:footnote w:id="132">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§284. See also Art. 379 of the Rules and Regulations Implementing the Local Government Code of 1991.</w:t>
      </w:r>
    </w:p>
  </w:footnote>
  <w:footnote w:id="133">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§6 of Art. X of the Constitution reads:</w:t>
      </w:r>
    </w:p>
  </w:footnote>
  <w:footnote w:id="134">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“Local government units shall have a just share, as determined by law, in the national taxes which shall be automatically released to them.” * §286 (a) provides: “Automatic Release of Shares. — (a) The share of each local government unit shall be released, without need of any further action, directly to the provincial, city, municipal or barangay treasurer, as the case may be, on a quarterly basis within (5) days after the end of each quarter, and which shall not be subject to any lien or holdback that may be imposed by the national government for whatever purpose.”</w:t>
      </w:r>
    </w:p>
  </w:footnote>
  <w:footnote w:id="135">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3. Ruben E. Agpalo, Statutory Construction, 1990 ed., p, 239.</w:t>
      </w:r>
    </w:p>
  </w:footnote>
  <w:footnote w:id="136">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Webster's Third New International Dictionary, 1993 ed.</w:t>
      </w:r>
    </w:p>
  </w:footnote>
  <w:footnote w:id="137">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281 SCRA 330, 347-48, November 5, 1997, per Puno, J.</w:t>
      </w:r>
    </w:p>
  </w:footnote>
  <w:footnote w:id="138">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Maritime Co., Inc. 0. NLRC, 284 SCRA 656, January 23, 1998.</w:t>
      </w:r>
    </w:p>
  </w:footnote>
  <w:footnote w:id="139">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Footnotes omitted.</w:t>
      </w:r>
    </w:p>
  </w:footnote>
  <w:footnote w:id="140">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“Sec, 287, Local Development Projects. — Each local government unit shall Appropriate in its annual budget no less than twenty percent (20%) of its annual</w:t>
      </w:r>
    </w:p>
  </w:footnote>
  <w:footnote w:id="141">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internal revenue allotment for development projects. Copies of the development plans of local government units shall be furnished the Department of Interior and Local Government.”</w:t>
      </w:r>
    </w:p>
  </w:footnote>
  <w:footnote w:id="142">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At present they are J/ Josue N. Bellosillo and Jose A.R. Melo. 413</w:t>
      </w:r>
    </w:p>
  </w:footnote>
  <w:footnote w:id="143">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GR No. 127022 and its companion case, GR No. 127245, June 28, 2000.</w:t>
      </w:r>
    </w:p>
  </w:footnote>
  <w:footnote w:id="144">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Composed of the chairman, J. Jose AR. Melo; and the members: JJ Jose C. Vitug, Artemio V. Panganiban, Fidel P. Purisima, and Minerva P. Gonzaga-Reyes.</w:t>
      </w:r>
    </w:p>
  </w:footnote>
  <w:footnote w:id="145">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GR No. 139028, April 12, 2000. 423</w:t>
      </w:r>
    </w:p>
  </w:footnote>
  <w:footnote w:id="146">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Resolution, pp. 4-5; rollo, pp. 16-17. &gt; Annex “K,” Petition; rollo, p. 38.</w:t>
      </w:r>
    </w:p>
  </w:footnote>
  <w:footnote w:id="147">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‘Petition to Declare a Failure of Election, pp. 2-3; rollo, pp. 23-24.</w:t>
      </w:r>
    </w:p>
  </w:footnote>
  <w:footnote w:id="148">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Those who sided with me were CJ Davide; J] Melo, Puno, Kapunan, Mendoza, Quisumbing, Pardo, Buena, Reyes and Santiago. J. De Leon, joined by J. Purisima, dissented, J. Bellosillo took no part, while J. Vitug was abroad on official business,</w:t>
      </w:r>
    </w:p>
  </w:footnote>
  <w:footnote w:id="149">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Rollo, p. 34.” See assailed Comelec Resolution, p. 4.</w:t>
      </w:r>
    </w:p>
  </w:footnote>
  <w:footnote w:id="150">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§190, Omnibus Election Code (OEC), as amended. " Webster's New World Dictionary, 2"* College Ed. (1974). (emphasis supplied)</w:t>
      </w:r>
    </w:p>
  </w:footnote>
  <w:footnote w:id="151">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Otherwise known as the Barangay Election Law, which amended parts of the OEC.</w:t>
      </w:r>
    </w:p>
  </w:footnote>
  <w:footnote w:id="152">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Narrative Report dated August 31, 1997, given by Election Officer Diana T. Datu-Imam, p. 2; rollo, pp. 57-58.</w:t>
      </w:r>
    </w:p>
  </w:footnote>
  <w:footnote w:id="153">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Narrative Report, supra.</w:t>
      </w:r>
    </w:p>
  </w:footnote>
  <w:footnote w:id="154">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264 SCRA 125, November 13, 1996, per Kapunan, /.</w:t>
      </w:r>
    </w:p>
  </w:footnote>
  <w:footnote w:id="155">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Citing Furste v, Gray, 240 Ky 604, 42 SW 2d 889; and State ex rel Stipp v. Colliver, (MO) 243 SW 2d 344.</w:t>
      </w:r>
    </w:p>
  </w:footnote>
  <w:footnote w:id="156">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Hassan, supra, p. 134.</w:t>
      </w:r>
    </w:p>
  </w:footnote>
  <w:footnote w:id="157">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GR No. 137110, August 1, 2000. 434</w:t>
      </w:r>
    </w:p>
  </w:footnote>
  <w:footnote w:id="158">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Art. 36 of the Family Code provides: “A marriage contracted by any party who, at the time of the celebration, was psychologically incapacitated to comply with the essential marital obligations of marriage, shall likewise be void even if such incapacity becomes manifest only after its solemnization.”</w:t>
      </w:r>
    </w:p>
  </w:footnote>
  <w:footnote w:id="159">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Domingo v. CA, 226 SCRA 572, September 17, 1993, per Romero, J.</w:t>
      </w:r>
    </w:p>
  </w:footnote>
  <w:footnote w:id="160">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95 Phil. 845, September 28, 1954.</w:t>
      </w:r>
    </w:p>
  </w:footnote>
  <w:footnote w:id="161">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&gt; 100 Phil. 1033, February 28, 1957.</w:t>
      </w:r>
    </w:p>
  </w:footnote>
  <w:footnote w:id="162">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37 SCRA 315, 326, January 30, 1971, per Zaldivar,. (emphasis supplied), See also Gomez v, Lipana, 33 SCRA 615, June 30, 1970.</w:t>
      </w:r>
    </w:p>
  </w:footnote>
  <w:footnote w:id="163">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supplied).</w:t>
      </w:r>
    </w:p>
  </w:footnote>
  <w:footnote w:id="164">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143 SCRA 499, August 19, 1986, per Paras, J. (emphasis supplied).</w:t>
      </w:r>
    </w:p>
  </w:footnote>
  <w:footnote w:id="165">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145 SCRA 229, October 28, 1986.</w:t>
      </w:r>
    </w:p>
  </w:footnote>
  <w:footnote w:id="166">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Supra, p. 579.</w:t>
      </w:r>
    </w:p>
  </w:footnote>
  <w:footnote w:id="167">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100 Phil. 1003 (1957).</w:t>
      </w:r>
    </w:p>
  </w:footnote>
  <w:footnote w:id="168">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Those who voted with me were |] Jose A.R. Melo, Minerva P. Gonzaga-Reyes and Fidel P. Purisima.</w:t>
      </w:r>
    </w:p>
  </w:footnote>
  <w:footnote w:id="169">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concurred in unanimously by C] Hilario G. Davide Jr.; J] Reynato S. Puno, Santiago M. Kapunan and Bernardo P. Pardo.</w:t>
      </w:r>
    </w:p>
  </w:footnote>
  <w:footnote w:id="170">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Civil Code, Article 220. »” Landicho v. Relova, February 23, 1968.</w:t>
      </w:r>
    </w:p>
  </w:footnote>
  <w:footnote w:id="171">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People v. Dungao, 56 Phil. 805 (1931).</w:t>
      </w:r>
    </w:p>
  </w:footnote>
  <w:footnote w:id="172">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 ~ Introduction of Chief Justice Hilario G. Davide Jr. by Justice Artemio V. Panganiban during the inaugural ceremonies of Bantay Katarungan on February 8, 2000.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line="246.99999999999994" w:lineRule="auto"/>
        <w:ind w:firstLine="31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ind w:firstLine="317"/>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s7BauWtQHHR0WJwsWVc2yB+wQ==">CgMxLjAaGwoBMBIWChQIB0IQCgdHZW9yZ2lhEgVDYXJkbxobCgExEhYKFAgHQhAKB0dlb3JnaWESBUNhcmRvGhsKATISFgoUCAdCEAoHR2VvcmdpYRIFQ2FyZG8aGwoBMxIWChQIB0IQCgdHZW9yZ2lhEgVDYXJkbzINaC4yZTlkbHA0bjlxdzgAciExUWl3Vko5S2ZMd1NlT3ZvY3d6VWdITlNFWnp2eUMySGI=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