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95539"/>
          <w:sz w:val="72"/>
        </w:rPr>
        <w:t>SmartBracket™</w:t>
      </w:r>
    </w:p>
    <w:p>
      <w:pPr>
        <w:jc w:val="center"/>
      </w:pPr>
      <w:r>
        <w:rPr>
          <w:sz w:val="56"/>
        </w:rPr>
        <w:t>March Madness 2026</w:t>
      </w:r>
    </w:p>
    <w:p>
      <w:pPr>
        <w:jc w:val="center"/>
      </w:pPr>
      <w:r>
        <w:rPr>
          <w:i/>
          <w:sz w:val="48"/>
        </w:rPr>
        <w:t>Strategic Execution Plan</w:t>
      </w:r>
    </w:p>
    <w:p/>
    <w:p/>
    <w:p/>
    <w:p/>
    <w:p>
      <w:pPr>
        <w:jc w:val="center"/>
      </w:pPr>
      <w:r>
        <w:rPr>
          <w:b/>
          <w:sz w:val="28"/>
        </w:rPr>
        <w:t>Dan Lipsy</w:t>
      </w:r>
    </w:p>
    <w:p>
      <w:pPr>
        <w:jc w:val="center"/>
      </w:pPr>
      <w:r>
        <w:rPr>
          <w:sz w:val="24"/>
        </w:rPr>
        <w:t>President &amp; COO</w:t>
      </w:r>
    </w:p>
    <w:p>
      <w:pPr>
        <w:jc w:val="center"/>
      </w:pPr>
      <w:r>
        <w:rPr>
          <w:sz w:val="24"/>
        </w:rPr>
        <w:t>Supported Intelligence LLC</w:t>
      </w:r>
    </w:p>
    <w:p>
      <w:pPr>
        <w:jc w:val="center"/>
      </w:pPr>
      <w:r>
        <w:rPr>
          <w:sz w:val="24"/>
        </w:rPr>
        <w:t>January 2026</w:t>
      </w:r>
    </w:p>
    <w:p/>
    <w:p/>
    <w:p/>
    <w:p/>
    <w:p>
      <w:pPr>
        <w:jc w:val="center"/>
      </w:pPr>
      <w:r>
        <w:rPr>
          <w:i/>
          <w:sz w:val="20"/>
        </w:rPr>
        <w:t>SI Strategic Document 2026-2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Based on comprehensive analysis of SmartBracket's codebase, 9-year performance history, and market dynamics, this plan recommends a fundamental repositioning for 2026:</w:t>
      </w:r>
    </w:p>
    <w:p>
      <w:r>
        <w:rPr>
          <w:b/>
          <w:i/>
        </w:rPr>
        <w:t>Stop treating SmartBracket as a revenue business. Start treating it as your most compelling sales asset.</w:t>
      </w:r>
    </w:p>
    <w:p>
      <w:r>
        <w:t>SmartBracket's 9-year track record of ~90th percentile performance is worth more as a credibility engine for Supported Intelligence's enterprise RRToolbox offerings than as a $2,107/5-year consumer product.</w:t>
      </w:r>
    </w:p>
    <w:p>
      <w:pPr>
        <w:pStyle w:val="Heading2"/>
      </w:pPr>
      <w:r>
        <w:t>Strategic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Investment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MDP vs. LLM Bake-Off 2.0 (Credibility Campaign)</w:t>
            </w:r>
          </w:p>
        </w:tc>
        <w:tc>
          <w:tcPr>
            <w:tcW w:type="dxa" w:w="2880"/>
          </w:tcPr>
          <w:p>
            <w:r>
              <w:t>$2,000-5,000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Supported Intelligence Website Integration</w:t>
            </w:r>
          </w:p>
        </w:tc>
        <w:tc>
          <w:tcPr>
            <w:tcW w:type="dxa" w:w="2880"/>
          </w:tcPr>
          <w:p>
            <w:r>
              <w:t>$0 (student labor)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Controlled Marketing Experiment</w:t>
            </w:r>
          </w:p>
        </w:tc>
        <w:tc>
          <w:tcPr>
            <w:tcW w:type="dxa" w:w="2880"/>
          </w:tcPr>
          <w:p>
            <w:r>
              <w:t>$1,000-2,000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Enterprise Lead Generation</w:t>
            </w:r>
          </w:p>
        </w:tc>
        <w:tc>
          <w:tcPr>
            <w:tcW w:type="dxa" w:w="2880"/>
          </w:tcPr>
          <w:p>
            <w:r>
              <w:t>$0-1,000</w:t>
            </w:r>
          </w:p>
        </w:tc>
      </w:tr>
    </w:tbl>
    <w:p/>
    <w:p>
      <w:r>
        <w:rPr>
          <w:b/>
        </w:rPr>
        <w:t>Total Recommended 2026 Budget: $3,000-8,000</w:t>
      </w:r>
      <w:r>
        <w:t xml:space="preserve"> (vs. $9,461 spent on failed paid media 2022-2024)</w:t>
      </w:r>
    </w:p>
    <w:p>
      <w:r>
        <w:br w:type="page"/>
      </w:r>
    </w:p>
    <w:p>
      <w:pPr>
        <w:pStyle w:val="Heading1"/>
      </w:pPr>
      <w:r>
        <w:t>1. Strategic Repositioning</w:t>
      </w:r>
    </w:p>
    <w:p>
      <w:pPr>
        <w:pStyle w:val="Heading2"/>
      </w:pPr>
      <w:r>
        <w:t>1.1 The Problem with Current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Historical (2020-2024)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$2,107</w:t>
            </w:r>
          </w:p>
        </w:tc>
        <w:tc>
          <w:tcPr>
            <w:tcW w:type="dxa" w:w="2880"/>
          </w:tcPr>
          <w:p>
            <w:r>
              <w:t>Product not viable at scale</w:t>
            </w:r>
          </w:p>
        </w:tc>
      </w:tr>
      <w:tr>
        <w:tc>
          <w:tcPr>
            <w:tcW w:type="dxa" w:w="2880"/>
          </w:tcPr>
          <w:p>
            <w:r>
              <w:t>Total Marketing Spend</w:t>
            </w:r>
          </w:p>
        </w:tc>
        <w:tc>
          <w:tcPr>
            <w:tcW w:type="dxa" w:w="2880"/>
          </w:tcPr>
          <w:p>
            <w:r>
              <w:t>$16,897</w:t>
            </w:r>
          </w:p>
        </w:tc>
        <w:tc>
          <w:tcPr>
            <w:tcW w:type="dxa" w:w="2880"/>
          </w:tcPr>
          <w:p>
            <w:r>
              <w:t>8x revenue spent on acquisition</w:t>
            </w:r>
          </w:p>
        </w:tc>
      </w:tr>
      <w:tr>
        <w:tc>
          <w:tcPr>
            <w:tcW w:type="dxa" w:w="2880"/>
          </w:tcPr>
          <w:p>
            <w:r>
              <w:t>Customer Acquisition Cost</w:t>
            </w:r>
          </w:p>
        </w:tc>
        <w:tc>
          <w:tcPr>
            <w:tcW w:type="dxa" w:w="2880"/>
          </w:tcPr>
          <w:p>
            <w:r>
              <w:t>$37.98-$94.08</w:t>
            </w:r>
          </w:p>
        </w:tc>
        <w:tc>
          <w:tcPr>
            <w:tcW w:type="dxa" w:w="2880"/>
          </w:tcPr>
          <w:p>
            <w:r>
              <w:t>Losing $33-89 per customer</w:t>
            </w:r>
          </w:p>
        </w:tc>
      </w:tr>
      <w:tr>
        <w:tc>
          <w:tcPr>
            <w:tcW w:type="dxa" w:w="2880"/>
          </w:tcPr>
          <w:p>
            <w:r>
              <w:t>Consumer Market Trend</w:t>
            </w:r>
          </w:p>
        </w:tc>
        <w:tc>
          <w:tcPr>
            <w:tcW w:type="dxa" w:w="2880"/>
          </w:tcPr>
          <w:p>
            <w:r>
              <w:t>Commoditizing (free AI)</w:t>
            </w:r>
          </w:p>
        </w:tc>
        <w:tc>
          <w:tcPr>
            <w:tcW w:type="dxa" w:w="2880"/>
          </w:tcPr>
          <w:p>
            <w:r>
              <w:t>Getting worse, not better</w:t>
            </w:r>
          </w:p>
        </w:tc>
      </w:tr>
    </w:tbl>
    <w:p/>
    <w:p>
      <w:r>
        <w:rPr>
          <w:b/>
        </w:rPr>
        <w:t>Continuing the current approach will lose more money.</w:t>
      </w:r>
    </w:p>
    <w:p>
      <w:pPr>
        <w:pStyle w:val="Heading2"/>
      </w:pPr>
      <w:r>
        <w:t>1.2 The New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Positioning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Positioning</w:t>
            </w:r>
          </w:p>
        </w:tc>
      </w:tr>
      <w:tr>
        <w:tc>
          <w:tcPr>
            <w:tcW w:type="dxa" w:w="4320"/>
          </w:tcPr>
          <w:p>
            <w:r>
              <w:t>SmartBracket is a consumer product</w:t>
            </w:r>
          </w:p>
        </w:tc>
        <w:tc>
          <w:tcPr>
            <w:tcW w:type="dxa" w:w="4320"/>
          </w:tcPr>
          <w:p>
            <w:r>
              <w:t>SmartBracket is a demonstration</w:t>
            </w:r>
          </w:p>
        </w:tc>
      </w:tr>
      <w:tr>
        <w:tc>
          <w:tcPr>
            <w:tcW w:type="dxa" w:w="4320"/>
          </w:tcPr>
          <w:p>
            <w:r>
              <w:t>Goal: Acquire paying users</w:t>
            </w:r>
          </w:p>
        </w:tc>
        <w:tc>
          <w:tcPr>
            <w:tcW w:type="dxa" w:w="4320"/>
          </w:tcPr>
          <w:p>
            <w:r>
              <w:t>Goal: Generate enterprise leads</w:t>
            </w:r>
          </w:p>
        </w:tc>
      </w:tr>
      <w:tr>
        <w:tc>
          <w:tcPr>
            <w:tcW w:type="dxa" w:w="4320"/>
          </w:tcPr>
          <w:p>
            <w:r>
              <w:t>Success metric: Revenue</w:t>
            </w:r>
          </w:p>
        </w:tc>
        <w:tc>
          <w:tcPr>
            <w:tcW w:type="dxa" w:w="4320"/>
          </w:tcPr>
          <w:p>
            <w:r>
              <w:t>Success metric: Qualified leads for RRToolbox</w:t>
            </w:r>
          </w:p>
        </w:tc>
      </w:tr>
      <w:tr>
        <w:tc>
          <w:tcPr>
            <w:tcW w:type="dxa" w:w="4320"/>
          </w:tcPr>
          <w:p>
            <w:r>
              <w:t>Marketing: Paid acquisition</w:t>
            </w:r>
          </w:p>
        </w:tc>
        <w:tc>
          <w:tcPr>
            <w:tcW w:type="dxa" w:w="4320"/>
          </w:tcPr>
          <w:p>
            <w:r>
              <w:t>Marketing: Content + credibility</w:t>
            </w:r>
          </w:p>
        </w:tc>
      </w:tr>
    </w:tbl>
    <w:p/>
    <w:p>
      <w:pPr>
        <w:pStyle w:val="Heading2"/>
      </w:pPr>
      <w:r>
        <w:t>1.3 Why This Works</w:t>
      </w:r>
    </w:p>
    <w:p>
      <w:pPr>
        <w:pStyle w:val="ListBullet"/>
      </w:pPr>
      <w:r>
        <w:t>The 9-year track record cannot be bought – It's your most defensible asset</w:t>
      </w:r>
    </w:p>
    <w:p>
      <w:pPr>
        <w:pStyle w:val="ListBullet"/>
      </w:pPr>
      <w:r>
        <w:t>Free AI makes consumer market unprofitable – But increases interest in "beating AI"</w:t>
      </w:r>
    </w:p>
    <w:p>
      <w:pPr>
        <w:pStyle w:val="ListBullet"/>
      </w:pPr>
      <w:r>
        <w:t>Enterprise customers want proof – SmartBracket IS the proof</w:t>
      </w:r>
    </w:p>
    <w:p>
      <w:pPr>
        <w:pStyle w:val="ListBullet"/>
      </w:pPr>
      <w:r>
        <w:t>March Madness gets attention – Use that attention for Supported Intelligence</w:t>
      </w:r>
    </w:p>
    <w:p>
      <w:r>
        <w:br w:type="page"/>
      </w:r>
    </w:p>
    <w:p>
      <w:pPr>
        <w:pStyle w:val="Heading1"/>
      </w:pPr>
      <w:r>
        <w:t>2. MDP vs. LLM Bake-Off Campaign 2026</w:t>
      </w:r>
    </w:p>
    <w:p>
      <w:pPr>
        <w:pStyle w:val="Heading2"/>
      </w:pPr>
      <w:r>
        <w:t>2.1 Campaign Concept</w:t>
      </w:r>
    </w:p>
    <w:p>
      <w:r>
        <w:rPr>
          <w:b/>
          <w:i/>
        </w:rPr>
        <w:t>"MDP vs. LLM Showdown 2026"</w:t>
      </w:r>
    </w:p>
    <w:p>
      <w:r>
        <w:t>Build on the 2025 bake-off with an expanded, more visible competition that positions Supported Intelligence as the authority on optimization vs. AI.</w:t>
      </w:r>
    </w:p>
    <w:p>
      <w:pPr>
        <w:pStyle w:val="Heading2"/>
      </w:pPr>
      <w:r>
        <w:t>2.2 Bracket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SmartBracket MDP</w:t>
            </w:r>
          </w:p>
        </w:tc>
        <w:tc>
          <w:tcPr>
            <w:tcW w:type="dxa" w:w="2880"/>
          </w:tcPr>
          <w:p>
            <w:r>
              <w:t>Pure RRToolbox optimization</w:t>
            </w:r>
          </w:p>
        </w:tc>
        <w:tc>
          <w:tcPr>
            <w:tcW w:type="dxa" w:w="2880"/>
          </w:tcPr>
          <w:p>
            <w:r>
              <w:t>Showcase core technology</w:t>
            </w:r>
          </w:p>
        </w:tc>
      </w:tr>
      <w:tr>
        <w:tc>
          <w:tcPr>
            <w:tcW w:type="dxa" w:w="2880"/>
          </w:tcPr>
          <w:p>
            <w:r>
              <w:t>SmartBracket + User Input</w:t>
            </w:r>
          </w:p>
        </w:tc>
        <w:tc>
          <w:tcPr>
            <w:tcW w:type="dxa" w:w="2880"/>
          </w:tcPr>
          <w:p>
            <w:r>
              <w:t>MDP with 3-question adjustments</w:t>
            </w:r>
          </w:p>
        </w:tc>
        <w:tc>
          <w:tcPr>
            <w:tcW w:type="dxa" w:w="2880"/>
          </w:tcPr>
          <w:p>
            <w:r>
              <w:t>Show personalization value</w:t>
            </w:r>
          </w:p>
        </w:tc>
      </w:tr>
      <w:tr>
        <w:tc>
          <w:tcPr>
            <w:tcW w:type="dxa" w:w="2880"/>
          </w:tcPr>
          <w:p>
            <w:r>
              <w:t>Claude/GPT/Gemini</w:t>
            </w:r>
          </w:p>
        </w:tc>
        <w:tc>
          <w:tcPr>
            <w:tcW w:type="dxa" w:w="2880"/>
          </w:tcPr>
          <w:p>
            <w:r>
              <w:t>Top 3 LLMs, identical prompt</w:t>
            </w:r>
          </w:p>
        </w:tc>
        <w:tc>
          <w:tcPr>
            <w:tcW w:type="dxa" w:w="2880"/>
          </w:tcPr>
          <w:p>
            <w:r>
              <w:t>Benchmark against AI hype</w:t>
            </w:r>
          </w:p>
        </w:tc>
      </w:tr>
      <w:tr>
        <w:tc>
          <w:tcPr>
            <w:tcW w:type="dxa" w:w="2880"/>
          </w:tcPr>
          <w:p>
            <w:r>
              <w:t>Hybrid: LLM → MDP</w:t>
            </w:r>
          </w:p>
        </w:tc>
        <w:tc>
          <w:tcPr>
            <w:tcW w:type="dxa" w:w="2880"/>
          </w:tcPr>
          <w:p>
            <w:r>
              <w:t>LLM picks fed into MDP as locked picks</w:t>
            </w:r>
          </w:p>
        </w:tc>
        <w:tc>
          <w:tcPr>
            <w:tcW w:type="dxa" w:w="2880"/>
          </w:tcPr>
          <w:p>
            <w:r>
              <w:t>Novel approach, good story</w:t>
            </w:r>
          </w:p>
        </w:tc>
      </w:tr>
      <w:tr>
        <w:tc>
          <w:tcPr>
            <w:tcW w:type="dxa" w:w="2880"/>
          </w:tcPr>
          <w:p>
            <w:r>
              <w:t>Hybrid: MDP → LLM</w:t>
            </w:r>
          </w:p>
        </w:tc>
        <w:tc>
          <w:tcPr>
            <w:tcW w:type="dxa" w:w="2880"/>
          </w:tcPr>
          <w:p>
            <w:r>
              <w:t>MDP recommendations given to LLM</w:t>
            </w:r>
          </w:p>
        </w:tc>
        <w:tc>
          <w:tcPr>
            <w:tcW w:type="dxa" w:w="2880"/>
          </w:tcPr>
          <w:p>
            <w:r>
              <w:t>Alternative hybrid</w:t>
            </w:r>
          </w:p>
        </w:tc>
      </w:tr>
      <w:tr>
        <w:tc>
          <w:tcPr>
            <w:tcW w:type="dxa" w:w="2880"/>
          </w:tcPr>
          <w:p>
            <w:r>
              <w:t>ESPN Smart Bracket</w:t>
            </w:r>
          </w:p>
        </w:tc>
        <w:tc>
          <w:tcPr>
            <w:tcW w:type="dxa" w:w="2880"/>
          </w:tcPr>
          <w:p>
            <w:r>
              <w:t>ESPN's tool</w:t>
            </w:r>
          </w:p>
        </w:tc>
        <w:tc>
          <w:tcPr>
            <w:tcW w:type="dxa" w:w="2880"/>
          </w:tcPr>
          <w:p>
            <w:r>
              <w:t>Free baseline comparison</w:t>
            </w:r>
          </w:p>
        </w:tc>
      </w:tr>
      <w:tr>
        <w:tc>
          <w:tcPr>
            <w:tcW w:type="dxa" w:w="2880"/>
          </w:tcPr>
          <w:p>
            <w:r>
              <w:t>Chalk Bracket</w:t>
            </w:r>
          </w:p>
        </w:tc>
        <w:tc>
          <w:tcPr>
            <w:tcW w:type="dxa" w:w="2880"/>
          </w:tcPr>
          <w:p>
            <w:r>
              <w:t>All favorites</w:t>
            </w:r>
          </w:p>
        </w:tc>
        <w:tc>
          <w:tcPr>
            <w:tcW w:type="dxa" w:w="2880"/>
          </w:tcPr>
          <w:p>
            <w:r>
              <w:t>Naive baseline</w:t>
            </w:r>
          </w:p>
        </w:tc>
      </w:tr>
      <w:tr>
        <w:tc>
          <w:tcPr>
            <w:tcW w:type="dxa" w:w="2880"/>
          </w:tcPr>
          <w:p>
            <w:r>
              <w:t>Random Student Picks</w:t>
            </w:r>
          </w:p>
        </w:tc>
        <w:tc>
          <w:tcPr>
            <w:tcW w:type="dxa" w:w="2880"/>
          </w:tcPr>
          <w:p>
            <w:r>
              <w:t>GVSU/Turkey student brackets</w:t>
            </w:r>
          </w:p>
        </w:tc>
        <w:tc>
          <w:tcPr>
            <w:tcW w:type="dxa" w:w="2880"/>
          </w:tcPr>
          <w:p>
            <w:r>
              <w:t>Human baseline</w:t>
            </w:r>
          </w:p>
        </w:tc>
      </w:tr>
    </w:tbl>
    <w:p/>
    <w:p>
      <w:pPr>
        <w:pStyle w:val="Heading2"/>
      </w:pPr>
      <w:r>
        <w:t>2.3 Campaign Timeline</w:t>
      </w:r>
    </w:p>
    <w:p>
      <w:pPr>
        <w:pStyle w:val="Heading3"/>
      </w:pPr>
      <w:r>
        <w:t>Pre-Tournament (February 15 - Selection Sunday)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Publish "2025 Bake-Off Results" blog post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Create 2026 methodology page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Set up tracking infrastructure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Recruit LLMs for competition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Generate all brackets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Selection Sunday</w:t>
            </w:r>
          </w:p>
        </w:tc>
        <w:tc>
          <w:tcPr>
            <w:tcW w:type="dxa" w:w="2160"/>
          </w:tcPr>
          <w:p>
            <w:r>
              <w:t>Publish all brackets publicly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</w:tbl>
    <w:p/>
    <w:p>
      <w:pPr>
        <w:pStyle w:val="Heading3"/>
      </w:pPr>
      <w:r>
        <w:t>Tournament Phase (March)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Daily leaderboard updates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Weekly analysis posts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Social media updates</w:t>
            </w:r>
          </w:p>
        </w:tc>
        <w:tc>
          <w:tcPr>
            <w:tcW w:type="dxa" w:w="2160"/>
          </w:tcPr>
          <w:p>
            <w:r>
              <w:t>Daily during games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Final results &amp; analysis</w:t>
            </w:r>
          </w:p>
        </w:tc>
        <w:tc>
          <w:tcPr>
            <w:tcW w:type="dxa" w:w="2160"/>
          </w:tcPr>
          <w:p>
            <w:r>
              <w:t>Post-tournament</w:t>
            </w:r>
          </w:p>
        </w:tc>
        <w:tc>
          <w:tcPr>
            <w:tcW w:type="dxa" w:w="2160"/>
          </w:tcPr>
          <w:p>
            <w:r>
              <w:t>COO + Student Team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</w:tbl>
    <w:p>
      <w:r>
        <w:br w:type="page"/>
      </w:r>
    </w:p>
    <w:p>
      <w:pPr>
        <w:pStyle w:val="Heading1"/>
      </w:pPr>
      <w:r>
        <w:t>3. Student Resource Plan</w:t>
      </w:r>
    </w:p>
    <w:p>
      <w:pPr>
        <w:pStyle w:val="Heading2"/>
      </w:pPr>
      <w:r>
        <w:t>3.1 Available Resources</w:t>
      </w:r>
    </w:p>
    <w:p>
      <w:r>
        <w:t>Two student resource pools are available for 2026 execution: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2160"/>
          </w:tcPr>
          <w:p>
            <w:r>
              <w:t>Grand Valley State University</w:t>
            </w:r>
          </w:p>
        </w:tc>
        <w:tc>
          <w:tcPr>
            <w:tcW w:type="dxa" w:w="2160"/>
          </w:tcPr>
          <w:p>
            <w:r>
              <w:t>Michigan, USA</w:t>
            </w:r>
          </w:p>
        </w:tc>
        <w:tc>
          <w:tcPr>
            <w:tcW w:type="dxa" w:w="2160"/>
          </w:tcPr>
          <w:p>
            <w:r>
              <w:t>Local, same timezone, campus resources</w:t>
            </w:r>
          </w:p>
        </w:tc>
        <w:tc>
          <w:tcPr>
            <w:tcW w:type="dxa" w:w="2160"/>
          </w:tcPr>
          <w:p>
            <w:r>
              <w:t>Higher hourly rate ($15-20/hr)</w:t>
            </w:r>
          </w:p>
        </w:tc>
      </w:tr>
      <w:tr>
        <w:tc>
          <w:tcPr>
            <w:tcW w:type="dxa" w:w="2160"/>
          </w:tcPr>
          <w:p>
            <w:r>
              <w:t>International Students</w:t>
            </w:r>
          </w:p>
        </w:tc>
        <w:tc>
          <w:tcPr>
            <w:tcW w:type="dxa" w:w="2160"/>
          </w:tcPr>
          <w:p>
            <w:r>
              <w:t>Turkey</w:t>
            </w:r>
          </w:p>
        </w:tc>
        <w:tc>
          <w:tcPr>
            <w:tcW w:type="dxa" w:w="2160"/>
          </w:tcPr>
          <w:p>
            <w:r>
              <w:t>Lower cost, strong technical skills</w:t>
            </w:r>
          </w:p>
        </w:tc>
        <w:tc>
          <w:tcPr>
            <w:tcW w:type="dxa" w:w="2160"/>
          </w:tcPr>
          <w:p>
            <w:r>
              <w:t>Timezone difference (8 hrs), remote only</w:t>
            </w:r>
          </w:p>
        </w:tc>
      </w:tr>
    </w:tbl>
    <w:p/>
    <w:p>
      <w:pPr>
        <w:pStyle w:val="Heading2"/>
      </w:pPr>
      <w:r>
        <w:t>3.2 Recommended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Hours/Week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Cost</w:t>
            </w:r>
          </w:p>
        </w:tc>
      </w:tr>
      <w:tr>
        <w:tc>
          <w:tcPr>
            <w:tcW w:type="dxa" w:w="1728"/>
          </w:tcPr>
          <w:p>
            <w:r>
              <w:t>Content Lead</w:t>
            </w:r>
          </w:p>
        </w:tc>
        <w:tc>
          <w:tcPr>
            <w:tcW w:type="dxa" w:w="1728"/>
          </w:tcPr>
          <w:p>
            <w:r>
              <w:t>GVSU</w:t>
            </w:r>
          </w:p>
        </w:tc>
        <w:tc>
          <w:tcPr>
            <w:tcW w:type="dxa" w:w="1728"/>
          </w:tcPr>
          <w:p>
            <w:r>
              <w:t>8-10</w:t>
            </w:r>
          </w:p>
        </w:tc>
        <w:tc>
          <w:tcPr>
            <w:tcW w:type="dxa" w:w="1728"/>
          </w:tcPr>
          <w:p>
            <w:r>
              <w:t>Feb-Apr (12 wks)</w:t>
            </w:r>
          </w:p>
        </w:tc>
        <w:tc>
          <w:tcPr>
            <w:tcW w:type="dxa" w:w="1728"/>
          </w:tcPr>
          <w:p>
            <w:r>
              <w:t>$1,440-2,400</w:t>
            </w:r>
          </w:p>
        </w:tc>
      </w:tr>
      <w:tr>
        <w:tc>
          <w:tcPr>
            <w:tcW w:type="dxa" w:w="1728"/>
          </w:tcPr>
          <w:p>
            <w:r>
              <w:t>Social Media Coordinator</w:t>
            </w:r>
          </w:p>
        </w:tc>
        <w:tc>
          <w:tcPr>
            <w:tcW w:type="dxa" w:w="1728"/>
          </w:tcPr>
          <w:p>
            <w:r>
              <w:t>Turkey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Feb-Apr (12 wks)</w:t>
            </w:r>
          </w:p>
        </w:tc>
        <w:tc>
          <w:tcPr>
            <w:tcW w:type="dxa" w:w="1728"/>
          </w:tcPr>
          <w:p>
            <w:r>
              <w:t>$300-600</w:t>
            </w:r>
          </w:p>
        </w:tc>
      </w:tr>
      <w:tr>
        <w:tc>
          <w:tcPr>
            <w:tcW w:type="dxa" w:w="1728"/>
          </w:tcPr>
          <w:p>
            <w:r>
              <w:t>Data Analyst</w:t>
            </w:r>
          </w:p>
        </w:tc>
        <w:tc>
          <w:tcPr>
            <w:tcW w:type="dxa" w:w="1728"/>
          </w:tcPr>
          <w:p>
            <w:r>
              <w:t>Turkey or GVSU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Mar-Apr (6 wks)</w:t>
            </w:r>
          </w:p>
        </w:tc>
        <w:tc>
          <w:tcPr>
            <w:tcW w:type="dxa" w:w="1728"/>
          </w:tcPr>
          <w:p>
            <w:r>
              <w:t>$300-960</w:t>
            </w:r>
          </w:p>
        </w:tc>
      </w:tr>
    </w:tbl>
    <w:p/>
    <w:p>
      <w:r>
        <w:rPr>
          <w:b/>
        </w:rPr>
        <w:t>Total Student Labor Budget: $2,040-3,960</w:t>
      </w:r>
    </w:p>
    <w:p>
      <w:pPr>
        <w:pStyle w:val="Heading2"/>
      </w:pPr>
      <w:r>
        <w:t>3.3 Task Allocation</w:t>
      </w:r>
    </w:p>
    <w:p>
      <w:pPr>
        <w:pStyle w:val="Heading3"/>
      </w:pPr>
      <w:r>
        <w:t>GVSU Student (Content Lead)</w:t>
      </w:r>
    </w:p>
    <w:p>
      <w:pPr>
        <w:pStyle w:val="ListBullet"/>
      </w:pPr>
      <w:r>
        <w:t>Write all blog posts and long-form content</w:t>
      </w:r>
    </w:p>
    <w:p>
      <w:pPr>
        <w:pStyle w:val="ListBullet"/>
      </w:pPr>
      <w:r>
        <w:t>Create methodology documentation</w:t>
      </w:r>
    </w:p>
    <w:p>
      <w:pPr>
        <w:pStyle w:val="ListBullet"/>
      </w:pPr>
      <w:r>
        <w:t>Coordinate with COO on messaging</w:t>
      </w:r>
    </w:p>
    <w:p>
      <w:pPr>
        <w:pStyle w:val="ListBullet"/>
      </w:pPr>
      <w:r>
        <w:t>Quality control on all public materials</w:t>
      </w:r>
    </w:p>
    <w:p>
      <w:pPr>
        <w:pStyle w:val="ListBullet"/>
      </w:pPr>
      <w:r>
        <w:t>Lead LinkedIn content strategy</w:t>
      </w:r>
    </w:p>
    <w:p>
      <w:pPr>
        <w:pStyle w:val="ListBullet"/>
      </w:pPr>
      <w:r>
        <w:t>Handle any in-person campus promotion</w:t>
      </w:r>
    </w:p>
    <w:p>
      <w:pPr>
        <w:pStyle w:val="Heading3"/>
      </w:pPr>
      <w:r>
        <w:t>Turkey Student(s) (Execution Support)</w:t>
      </w:r>
    </w:p>
    <w:p>
      <w:pPr>
        <w:pStyle w:val="ListBullet"/>
      </w:pPr>
      <w:r>
        <w:t>Daily social media posting (Twitter/X during games)</w:t>
      </w:r>
    </w:p>
    <w:p>
      <w:pPr>
        <w:pStyle w:val="ListBullet"/>
      </w:pPr>
      <w:r>
        <w:t>Create graphics and infographics</w:t>
      </w:r>
    </w:p>
    <w:p>
      <w:pPr>
        <w:pStyle w:val="ListBullet"/>
      </w:pPr>
      <w:r>
        <w:t>Update tracking spreadsheets</w:t>
      </w:r>
    </w:p>
    <w:p>
      <w:pPr>
        <w:pStyle w:val="ListBullet"/>
      </w:pPr>
      <w:r>
        <w:t>Monitor and respond to social engagement</w:t>
      </w:r>
    </w:p>
    <w:p>
      <w:pPr>
        <w:pStyle w:val="ListBullet"/>
      </w:pPr>
      <w:r>
        <w:t>Research competitor brackets</w:t>
      </w:r>
    </w:p>
    <w:p>
      <w:pPr>
        <w:pStyle w:val="ListBullet"/>
      </w:pPr>
      <w:r>
        <w:t>Compile data for analysis</w:t>
      </w:r>
    </w:p>
    <w:p>
      <w:r>
        <w:br w:type="page"/>
      </w:r>
    </w:p>
    <w:p>
      <w:pPr>
        <w:pStyle w:val="Heading1"/>
      </w:pPr>
      <w:r>
        <w:t>4. Budget Summary</w:t>
      </w:r>
    </w:p>
    <w:p>
      <w:pPr>
        <w:pStyle w:val="Heading2"/>
      </w:pPr>
      <w:r>
        <w:t>4.1 2026 Investment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Low 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t>GVSU Student Labor</w:t>
            </w:r>
          </w:p>
        </w:tc>
        <w:tc>
          <w:tcPr>
            <w:tcW w:type="dxa" w:w="2880"/>
          </w:tcPr>
          <w:p>
            <w:r>
              <w:t>$1,440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</w:tr>
      <w:tr>
        <w:tc>
          <w:tcPr>
            <w:tcW w:type="dxa" w:w="2880"/>
          </w:tcPr>
          <w:p>
            <w:r>
              <w:t>Turkey Student Labor</w:t>
            </w:r>
          </w:p>
        </w:tc>
        <w:tc>
          <w:tcPr>
            <w:tcW w:type="dxa" w:w="2880"/>
          </w:tcPr>
          <w:p>
            <w:r>
              <w:t>$600</w:t>
            </w:r>
          </w:p>
        </w:tc>
        <w:tc>
          <w:tcPr>
            <w:tcW w:type="dxa" w:w="2880"/>
          </w:tcPr>
          <w:p>
            <w:r>
              <w:t>$1,560</w:t>
            </w:r>
          </w:p>
        </w:tc>
      </w:tr>
      <w:tr>
        <w:tc>
          <w:tcPr>
            <w:tcW w:type="dxa" w:w="2880"/>
          </w:tcPr>
          <w:p>
            <w:r>
              <w:t>LinkedIn Promoted Posts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Content/Design Tools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Miscellaneous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$2,740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$5,360</w:t>
            </w:r>
          </w:p>
        </w:tc>
      </w:tr>
    </w:tbl>
    <w:p/>
    <w:p>
      <w:pPr>
        <w:pStyle w:val="Heading2"/>
      </w:pPr>
      <w:r>
        <w:t>4.2 Comparison to Historical Spend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$5,750</w:t>
            </w:r>
          </w:p>
        </w:tc>
        <w:tc>
          <w:tcPr>
            <w:tcW w:type="dxa" w:w="2880"/>
          </w:tcPr>
          <w:p>
            <w:r>
              <w:t>49 users, $117 CAC</w:t>
            </w:r>
          </w:p>
        </w:tc>
      </w:tr>
      <w:tr>
        <w:tc>
          <w:tcPr>
            <w:tcW w:type="dxa" w:w="2880"/>
          </w:tcPr>
          <w:p>
            <w:r>
              <w:t>2023-24</w:t>
            </w:r>
          </w:p>
        </w:tc>
        <w:tc>
          <w:tcPr>
            <w:tcW w:type="dxa" w:w="2880"/>
          </w:tcPr>
          <w:p>
            <w:r>
              <w:t>$9,461+</w:t>
            </w:r>
          </w:p>
        </w:tc>
        <w:tc>
          <w:tcPr>
            <w:tcW w:type="dxa" w:w="2880"/>
          </w:tcPr>
          <w:p>
            <w:r>
              <w:t>Negative ROI</w:t>
            </w:r>
          </w:p>
        </w:tc>
      </w:tr>
      <w:tr>
        <w:tc>
          <w:tcPr>
            <w:tcW w:type="dxa" w:w="2880"/>
          </w:tcPr>
          <w:p>
            <w:r>
              <w:t>2026 (recommended)</w:t>
            </w:r>
          </w:p>
        </w:tc>
        <w:tc>
          <w:tcPr>
            <w:tcW w:type="dxa" w:w="2880"/>
          </w:tcPr>
          <w:p>
            <w:r>
              <w:t>$2,740-5,360</w:t>
            </w:r>
          </w:p>
        </w:tc>
        <w:tc>
          <w:tcPr>
            <w:tcW w:type="dxa" w:w="2880"/>
          </w:tcPr>
          <w:p>
            <w:r>
              <w:t>Enterprise leads + credibility</w:t>
            </w:r>
          </w:p>
        </w:tc>
      </w:tr>
    </w:tbl>
    <w:p/>
    <w:p>
      <w:pPr>
        <w:pStyle w:val="Heading2"/>
      </w:pPr>
      <w:r>
        <w:t>4.3 ROI Scenario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Enterprise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t>1 enterprise deal closes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$50,000-500,000</w:t>
            </w:r>
          </w:p>
        </w:tc>
        <w:tc>
          <w:tcPr>
            <w:tcW w:type="dxa" w:w="2160"/>
          </w:tcPr>
          <w:p>
            <w:r>
              <w:t>10x-100x</w:t>
            </w:r>
          </w:p>
        </w:tc>
      </w:tr>
      <w:tr>
        <w:tc>
          <w:tcPr>
            <w:tcW w:type="dxa" w:w="2160"/>
          </w:tcPr>
          <w:p>
            <w:r>
              <w:t>2-3 qualified leads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$10,000-50,000 pipeline</w:t>
            </w:r>
          </w:p>
        </w:tc>
        <w:tc>
          <w:tcPr>
            <w:tcW w:type="dxa" w:w="2160"/>
          </w:tcPr>
          <w:p>
            <w:r>
              <w:t>2x-10x</w:t>
            </w:r>
          </w:p>
        </w:tc>
      </w:tr>
      <w:tr>
        <w:tc>
          <w:tcPr>
            <w:tcW w:type="dxa" w:w="2160"/>
          </w:tcPr>
          <w:p>
            <w:r>
              <w:t>Credibility only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Hard to quantify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Complete failure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-100%</w:t>
            </w:r>
          </w:p>
        </w:tc>
      </w:tr>
    </w:tbl>
    <w:p/>
    <w:p>
      <w:r>
        <w:rPr>
          <w:b/>
        </w:rPr>
        <w:t xml:space="preserve">Expected Value: </w:t>
      </w:r>
      <w:r>
        <w:t>Even with 30% probability of closing one enterprise deal ($50K-500K), the expected value far exceeds the investment.</w:t>
      </w:r>
    </w:p>
    <w:p>
      <w:r>
        <w:br w:type="page"/>
      </w:r>
    </w:p>
    <w:p>
      <w:pPr>
        <w:pStyle w:val="Heading1"/>
      </w:pPr>
      <w:r>
        <w:t>5. Execution Timeline</w:t>
      </w:r>
    </w:p>
    <w:p>
      <w:pPr>
        <w:pStyle w:val="Heading2"/>
      </w:pPr>
      <w:r>
        <w:t>5.1 January 2026 (Preparation)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Jan 20-26</w:t>
            </w:r>
          </w:p>
        </w:tc>
        <w:tc>
          <w:tcPr>
            <w:tcW w:type="dxa" w:w="2160"/>
          </w:tcPr>
          <w:p>
            <w:r>
              <w:t>Security fixes</w:t>
            </w:r>
          </w:p>
        </w:tc>
        <w:tc>
          <w:tcPr>
            <w:tcW w:type="dxa" w:w="2160"/>
          </w:tcPr>
          <w:p>
            <w:r>
              <w:t>MD5 replaced, secrets removed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Jan 20-26</w:t>
            </w:r>
          </w:p>
        </w:tc>
        <w:tc>
          <w:tcPr>
            <w:tcW w:type="dxa" w:w="2160"/>
          </w:tcPr>
          <w:p>
            <w:r>
              <w:t>Student recruitment</w:t>
            </w:r>
          </w:p>
        </w:tc>
        <w:tc>
          <w:tcPr>
            <w:tcW w:type="dxa" w:w="2160"/>
          </w:tcPr>
          <w:p>
            <w:r>
              <w:t>Offers extended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  <w:tr>
        <w:tc>
          <w:tcPr>
            <w:tcW w:type="dxa" w:w="2160"/>
          </w:tcPr>
          <w:p>
            <w:r>
              <w:t>Jan 27-Feb 2</w:t>
            </w:r>
          </w:p>
        </w:tc>
        <w:tc>
          <w:tcPr>
            <w:tcW w:type="dxa" w:w="2160"/>
          </w:tcPr>
          <w:p>
            <w:r>
              <w:t>Student onboarding</w:t>
            </w:r>
          </w:p>
        </w:tc>
        <w:tc>
          <w:tcPr>
            <w:tcW w:type="dxa" w:w="2160"/>
          </w:tcPr>
          <w:p>
            <w:r>
              <w:t>Access granted, training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  <w:tr>
        <w:tc>
          <w:tcPr>
            <w:tcW w:type="dxa" w:w="2160"/>
          </w:tcPr>
          <w:p>
            <w:r>
              <w:t>Jan 27-Feb 2</w:t>
            </w:r>
          </w:p>
        </w:tc>
        <w:tc>
          <w:tcPr>
            <w:tcW w:type="dxa" w:w="2160"/>
          </w:tcPr>
          <w:p>
            <w:r>
              <w:t>Tool setup</w:t>
            </w:r>
          </w:p>
        </w:tc>
        <w:tc>
          <w:tcPr>
            <w:tcW w:type="dxa" w:w="2160"/>
          </w:tcPr>
          <w:p>
            <w:r>
              <w:t>Social accounts, analytics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</w:tr>
    </w:tbl>
    <w:p/>
    <w:p>
      <w:pPr>
        <w:pStyle w:val="Heading2"/>
      </w:pPr>
      <w:r>
        <w:t>5.2 February 2026 (Pre-Tournament)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Feb 3-9</w:t>
            </w:r>
          </w:p>
        </w:tc>
        <w:tc>
          <w:tcPr>
            <w:tcW w:type="dxa" w:w="2160"/>
          </w:tcPr>
          <w:p>
            <w:r>
              <w:t>2025 results published</w:t>
            </w:r>
          </w:p>
        </w:tc>
        <w:tc>
          <w:tcPr>
            <w:tcW w:type="dxa" w:w="2160"/>
          </w:tcPr>
          <w:p>
            <w:r>
              <w:t>Blog post live</w:t>
            </w:r>
          </w:p>
        </w:tc>
        <w:tc>
          <w:tcPr>
            <w:tcW w:type="dxa" w:w="2160"/>
          </w:tcPr>
          <w:p>
            <w:r>
              <w:t>Content Lead</w:t>
            </w:r>
          </w:p>
        </w:tc>
      </w:tr>
      <w:tr>
        <w:tc>
          <w:tcPr>
            <w:tcW w:type="dxa" w:w="2160"/>
          </w:tcPr>
          <w:p>
            <w:r>
              <w:t>Feb 10-16</w:t>
            </w:r>
          </w:p>
        </w:tc>
        <w:tc>
          <w:tcPr>
            <w:tcW w:type="dxa" w:w="2160"/>
          </w:tcPr>
          <w:p>
            <w:r>
              <w:t>2026 methodology finalized</w:t>
            </w:r>
          </w:p>
        </w:tc>
        <w:tc>
          <w:tcPr>
            <w:tcW w:type="dxa" w:w="2160"/>
          </w:tcPr>
          <w:p>
            <w:r>
              <w:t>Methodology page live</w:t>
            </w:r>
          </w:p>
        </w:tc>
        <w:tc>
          <w:tcPr>
            <w:tcW w:type="dxa" w:w="2160"/>
          </w:tcPr>
          <w:p>
            <w:r>
              <w:t>COO + Content</w:t>
            </w:r>
          </w:p>
        </w:tc>
      </w:tr>
      <w:tr>
        <w:tc>
          <w:tcPr>
            <w:tcW w:type="dxa" w:w="2160"/>
          </w:tcPr>
          <w:p>
            <w:r>
              <w:t>Feb 17-23</w:t>
            </w:r>
          </w:p>
        </w:tc>
        <w:tc>
          <w:tcPr>
            <w:tcW w:type="dxa" w:w="2160"/>
          </w:tcPr>
          <w:p>
            <w:r>
              <w:t>Bracket generation</w:t>
            </w:r>
          </w:p>
        </w:tc>
        <w:tc>
          <w:tcPr>
            <w:tcW w:type="dxa" w:w="2160"/>
          </w:tcPr>
          <w:p>
            <w:r>
              <w:t>All brackets ready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</w:tr>
      <w:tr>
        <w:tc>
          <w:tcPr>
            <w:tcW w:type="dxa" w:w="2160"/>
          </w:tcPr>
          <w:p>
            <w:r>
              <w:t>Feb 24-Mar 2</w:t>
            </w:r>
          </w:p>
        </w:tc>
        <w:tc>
          <w:tcPr>
            <w:tcW w:type="dxa" w:w="2160"/>
          </w:tcPr>
          <w:p>
            <w:r>
              <w:t>Selection Sunday prep</w:t>
            </w:r>
          </w:p>
        </w:tc>
        <w:tc>
          <w:tcPr>
            <w:tcW w:type="dxa" w:w="2160"/>
          </w:tcPr>
          <w:p>
            <w:r>
              <w:t>All content staged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</w:tr>
    </w:tbl>
    <w:p/>
    <w:p>
      <w:pPr>
        <w:pStyle w:val="Heading2"/>
      </w:pPr>
      <w:r>
        <w:t>5.3 March 2026 (Tournament Execution)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Selection Sunday</w:t>
            </w:r>
          </w:p>
        </w:tc>
        <w:tc>
          <w:tcPr>
            <w:tcW w:type="dxa" w:w="2160"/>
          </w:tcPr>
          <w:p>
            <w:r>
              <w:t>Brackets published</w:t>
            </w:r>
          </w:p>
        </w:tc>
        <w:tc>
          <w:tcPr>
            <w:tcW w:type="dxa" w:w="2160"/>
          </w:tcPr>
          <w:p>
            <w:r>
              <w:t>All brackets public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</w:tr>
      <w:tr>
        <w:tc>
          <w:tcPr>
            <w:tcW w:type="dxa" w:w="2160"/>
          </w:tcPr>
          <w:p>
            <w:r>
              <w:t>Round 1-2</w:t>
            </w:r>
          </w:p>
        </w:tc>
        <w:tc>
          <w:tcPr>
            <w:tcW w:type="dxa" w:w="2160"/>
          </w:tcPr>
          <w:p>
            <w:r>
              <w:t>Daily tracking begins</w:t>
            </w:r>
          </w:p>
        </w:tc>
        <w:tc>
          <w:tcPr>
            <w:tcW w:type="dxa" w:w="2160"/>
          </w:tcPr>
          <w:p>
            <w:r>
              <w:t>Daily leaderboard updates</w:t>
            </w:r>
          </w:p>
        </w:tc>
        <w:tc>
          <w:tcPr>
            <w:tcW w:type="dxa" w:w="2160"/>
          </w:tcPr>
          <w:p>
            <w:r>
              <w:t>Turkey Student</w:t>
            </w:r>
          </w:p>
        </w:tc>
      </w:tr>
      <w:tr>
        <w:tc>
          <w:tcPr>
            <w:tcW w:type="dxa" w:w="2160"/>
          </w:tcPr>
          <w:p>
            <w:r>
              <w:t>Sweet 16</w:t>
            </w:r>
          </w:p>
        </w:tc>
        <w:tc>
          <w:tcPr>
            <w:tcW w:type="dxa" w:w="2160"/>
          </w:tcPr>
          <w:p>
            <w:r>
              <w:t>Mid-tournament analysis</w:t>
            </w:r>
          </w:p>
        </w:tc>
        <w:tc>
          <w:tcPr>
            <w:tcW w:type="dxa" w:w="2160"/>
          </w:tcPr>
          <w:p>
            <w:r>
              <w:t>Analysis blog post</w:t>
            </w:r>
          </w:p>
        </w:tc>
        <w:tc>
          <w:tcPr>
            <w:tcW w:type="dxa" w:w="2160"/>
          </w:tcPr>
          <w:p>
            <w:r>
              <w:t>Content Lead</w:t>
            </w:r>
          </w:p>
        </w:tc>
      </w:tr>
      <w:tr>
        <w:tc>
          <w:tcPr>
            <w:tcW w:type="dxa" w:w="2160"/>
          </w:tcPr>
          <w:p>
            <w:r>
              <w:t>Final Four/Champ</w:t>
            </w:r>
          </w:p>
        </w:tc>
        <w:tc>
          <w:tcPr>
            <w:tcW w:type="dxa" w:w="2160"/>
          </w:tcPr>
          <w:p>
            <w:r>
              <w:t>Peak engagement</w:t>
            </w:r>
          </w:p>
        </w:tc>
        <w:tc>
          <w:tcPr>
            <w:tcW w:type="dxa" w:w="2160"/>
          </w:tcPr>
          <w:p>
            <w:r>
              <w:t>Real-time updates</w:t>
            </w:r>
          </w:p>
        </w:tc>
        <w:tc>
          <w:tcPr>
            <w:tcW w:type="dxa" w:w="2160"/>
          </w:tcPr>
          <w:p>
            <w:r>
              <w:t>Full Team</w:t>
            </w:r>
          </w:p>
        </w:tc>
      </w:tr>
    </w:tbl>
    <w:p/>
    <w:p>
      <w:pPr>
        <w:pStyle w:val="Heading2"/>
      </w:pPr>
      <w:r>
        <w:t>5.4 April 2026 (Post-Tournament)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Apr 7-13</w:t>
            </w:r>
          </w:p>
        </w:tc>
        <w:tc>
          <w:tcPr>
            <w:tcW w:type="dxa" w:w="2160"/>
          </w:tcPr>
          <w:p>
            <w:r>
              <w:t>Final results analysis</w:t>
            </w:r>
          </w:p>
        </w:tc>
        <w:tc>
          <w:tcPr>
            <w:tcW w:type="dxa" w:w="2160"/>
          </w:tcPr>
          <w:p>
            <w:r>
              <w:t>Comprehensive results report</w:t>
            </w:r>
          </w:p>
        </w:tc>
        <w:tc>
          <w:tcPr>
            <w:tcW w:type="dxa" w:w="2160"/>
          </w:tcPr>
          <w:p>
            <w:r>
              <w:t>COO + Content</w:t>
            </w:r>
          </w:p>
        </w:tc>
      </w:tr>
      <w:tr>
        <w:tc>
          <w:tcPr>
            <w:tcW w:type="dxa" w:w="2160"/>
          </w:tcPr>
          <w:p>
            <w:r>
              <w:t>Apr 14-20</w:t>
            </w:r>
          </w:p>
        </w:tc>
        <w:tc>
          <w:tcPr>
            <w:tcW w:type="dxa" w:w="2160"/>
          </w:tcPr>
          <w:p>
            <w:r>
              <w:t>Case study creation</w:t>
            </w:r>
          </w:p>
        </w:tc>
        <w:tc>
          <w:tcPr>
            <w:tcW w:type="dxa" w:w="2160"/>
          </w:tcPr>
          <w:p>
            <w:r>
              <w:t>SI website updated</w:t>
            </w:r>
          </w:p>
        </w:tc>
        <w:tc>
          <w:tcPr>
            <w:tcW w:type="dxa" w:w="2160"/>
          </w:tcPr>
          <w:p>
            <w:r>
              <w:t>Content Lead</w:t>
            </w:r>
          </w:p>
        </w:tc>
      </w:tr>
      <w:tr>
        <w:tc>
          <w:tcPr>
            <w:tcW w:type="dxa" w:w="2160"/>
          </w:tcPr>
          <w:p>
            <w:r>
              <w:t>Apr 21-30</w:t>
            </w:r>
          </w:p>
        </w:tc>
        <w:tc>
          <w:tcPr>
            <w:tcW w:type="dxa" w:w="2160"/>
          </w:tcPr>
          <w:p>
            <w:r>
              <w:t>Lead follow-up</w:t>
            </w:r>
          </w:p>
        </w:tc>
        <w:tc>
          <w:tcPr>
            <w:tcW w:type="dxa" w:w="2160"/>
          </w:tcPr>
          <w:p>
            <w:r>
              <w:t>Outreach to inquiries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</w:tbl>
    <w:p>
      <w:r>
        <w:br w:type="page"/>
      </w:r>
    </w:p>
    <w:p>
      <w:pPr>
        <w:pStyle w:val="Heading1"/>
      </w:pPr>
      <w:r>
        <w:t>6. Success Metrics</w:t>
      </w:r>
    </w:p>
    <w:p>
      <w:pPr>
        <w:pStyle w:val="Heading2"/>
      </w:pPr>
      <w:r>
        <w:t>6.1 Primary KPIs (Enterprise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Enterprise inquiries from bake-off</w:t>
            </w:r>
          </w:p>
        </w:tc>
        <w:tc>
          <w:tcPr>
            <w:tcW w:type="dxa" w:w="2880"/>
          </w:tcPr>
          <w:p>
            <w:r>
              <w:t>5-10</w:t>
            </w:r>
          </w:p>
        </w:tc>
        <w:tc>
          <w:tcPr>
            <w:tcW w:type="dxa" w:w="2880"/>
          </w:tcPr>
          <w:p>
            <w:r>
              <w:t>Contact form submissions</w:t>
            </w:r>
          </w:p>
        </w:tc>
      </w:tr>
      <w:tr>
        <w:tc>
          <w:tcPr>
            <w:tcW w:type="dxa" w:w="2880"/>
          </w:tcPr>
          <w:p>
            <w:r>
              <w:t>Qualified enterprise opportunities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Passed qualification questions</w:t>
            </w:r>
          </w:p>
        </w:tc>
      </w:tr>
      <w:tr>
        <w:tc>
          <w:tcPr>
            <w:tcW w:type="dxa" w:w="2880"/>
          </w:tcPr>
          <w:p>
            <w:r>
              <w:t>SI website traffic increase</w:t>
            </w:r>
          </w:p>
        </w:tc>
        <w:tc>
          <w:tcPr>
            <w:tcW w:type="dxa" w:w="2880"/>
          </w:tcPr>
          <w:p>
            <w:r>
              <w:t>+50% during Mar-Apr</w:t>
            </w:r>
          </w:p>
        </w:tc>
        <w:tc>
          <w:tcPr>
            <w:tcW w:type="dxa" w:w="2880"/>
          </w:tcPr>
          <w:p>
            <w:r>
              <w:t>Google Analytics</w:t>
            </w:r>
          </w:p>
        </w:tc>
      </w:tr>
      <w:tr>
        <w:tc>
          <w:tcPr>
            <w:tcW w:type="dxa" w:w="2880"/>
          </w:tcPr>
          <w:p>
            <w:r>
              <w:t>LinkedIn engagement</w:t>
            </w:r>
          </w:p>
        </w:tc>
        <w:tc>
          <w:tcPr>
            <w:tcW w:type="dxa" w:w="2880"/>
          </w:tcPr>
          <w:p>
            <w:r>
              <w:t>1,000+ impressions</w:t>
            </w:r>
          </w:p>
        </w:tc>
        <w:tc>
          <w:tcPr>
            <w:tcW w:type="dxa" w:w="2880"/>
          </w:tcPr>
          <w:p>
            <w:r>
              <w:t>LinkedIn analytics</w:t>
            </w:r>
          </w:p>
        </w:tc>
      </w:tr>
    </w:tbl>
    <w:p/>
    <w:p>
      <w:pPr>
        <w:pStyle w:val="Heading2"/>
      </w:pPr>
      <w:r>
        <w:t>6.2 Secondary KPIs (Demonstration Success)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SmartBracket vs. LLM performance</w:t>
            </w:r>
          </w:p>
        </w:tc>
        <w:tc>
          <w:tcPr>
            <w:tcW w:type="dxa" w:w="2880"/>
          </w:tcPr>
          <w:p>
            <w:r>
              <w:t>Top 3 in bake-off</w:t>
            </w:r>
          </w:p>
        </w:tc>
        <w:tc>
          <w:tcPr>
            <w:tcW w:type="dxa" w:w="2880"/>
          </w:tcPr>
          <w:p>
            <w:r>
              <w:t>Tournament results</w:t>
            </w:r>
          </w:p>
        </w:tc>
      </w:tr>
      <w:tr>
        <w:tc>
          <w:tcPr>
            <w:tcW w:type="dxa" w:w="2880"/>
          </w:tcPr>
          <w:p>
            <w:r>
              <w:t>Bake-off content views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  <w:tc>
          <w:tcPr>
            <w:tcW w:type="dxa" w:w="2880"/>
          </w:tcPr>
          <w:p>
            <w:r>
              <w:t>Blog analytics</w:t>
            </w:r>
          </w:p>
        </w:tc>
      </w:tr>
      <w:tr>
        <w:tc>
          <w:tcPr>
            <w:tcW w:type="dxa" w:w="2880"/>
          </w:tcPr>
          <w:p>
            <w:r>
              <w:t>Email list growth</w:t>
            </w:r>
          </w:p>
        </w:tc>
        <w:tc>
          <w:tcPr>
            <w:tcW w:type="dxa" w:w="2880"/>
          </w:tcPr>
          <w:p>
            <w:r>
              <w:t>+100 subscribers</w:t>
            </w:r>
          </w:p>
        </w:tc>
        <w:tc>
          <w:tcPr>
            <w:tcW w:type="dxa" w:w="2880"/>
          </w:tcPr>
          <w:p>
            <w:r>
              <w:t>MailChimp</w:t>
            </w:r>
          </w:p>
        </w:tc>
      </w:tr>
      <w:tr>
        <w:tc>
          <w:tcPr>
            <w:tcW w:type="dxa" w:w="2880"/>
          </w:tcPr>
          <w:p>
            <w:r>
              <w:t>Media mentions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Google Alerts</w:t>
            </w:r>
          </w:p>
        </w:tc>
      </w:tr>
    </w:tbl>
    <w:p>
      <w:r>
        <w:br w:type="page"/>
      </w:r>
    </w:p>
    <w:p>
      <w:pPr>
        <w:pStyle w:val="Heading1"/>
      </w:pPr>
      <w:r>
        <w:t>7. Risk Assessment</w:t>
      </w:r>
    </w:p>
    <w:p>
      <w:pPr>
        <w:pStyle w:val="Heading2"/>
      </w:pPr>
      <w:r>
        <w:t>7.1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SmartBracket underperforms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Frame as "one year" vs. 9-year track record</w:t>
            </w:r>
          </w:p>
        </w:tc>
      </w:tr>
      <w:tr>
        <w:tc>
          <w:tcPr>
            <w:tcW w:type="dxa" w:w="2160"/>
          </w:tcPr>
          <w:p>
            <w:r>
              <w:t>No enterprise leads generated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Content still has SEO/credibility value</w:t>
            </w:r>
          </w:p>
        </w:tc>
      </w:tr>
      <w:tr>
        <w:tc>
          <w:tcPr>
            <w:tcW w:type="dxa" w:w="2160"/>
          </w:tcPr>
          <w:p>
            <w:r>
              <w:t>Student unavailability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Have backup students identified</w:t>
            </w:r>
          </w:p>
        </w:tc>
      </w:tr>
      <w:tr>
        <w:tc>
          <w:tcPr>
            <w:tcW w:type="dxa" w:w="2160"/>
          </w:tcPr>
          <w:p>
            <w:r>
              <w:t>Security breach (MD5)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Fix before tournament (P0 priority)</w:t>
            </w:r>
          </w:p>
        </w:tc>
      </w:tr>
      <w:tr>
        <w:tc>
          <w:tcPr>
            <w:tcW w:type="dxa" w:w="2160"/>
          </w:tcPr>
          <w:p>
            <w:r>
              <w:t>LLMs significantly improve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Emphasize consistency, not single-year</w:t>
            </w:r>
          </w:p>
        </w:tc>
      </w:tr>
    </w:tbl>
    <w:p/>
    <w:p>
      <w:pPr>
        <w:pStyle w:val="Heading2"/>
      </w:pPr>
      <w:r>
        <w:t>7.2 Contingency Plans</w:t>
      </w:r>
    </w:p>
    <w:p/>
    <w:p>
      <w:r>
        <w:rPr>
          <w:b/>
        </w:rPr>
        <w:t>If SmartBracket underperforms:</w:t>
      </w:r>
    </w:p>
    <w:p>
      <w:pPr>
        <w:pStyle w:val="ListBullet"/>
      </w:pPr>
      <w:r>
        <w:t>Emphasize 9-year track record vs. single year</w:t>
      </w:r>
    </w:p>
    <w:p>
      <w:pPr>
        <w:pStyle w:val="ListBullet"/>
      </w:pPr>
      <w:r>
        <w:t>Highlight variance in LLM performance</w:t>
      </w:r>
    </w:p>
    <w:p>
      <w:pPr>
        <w:pStyle w:val="ListBullet"/>
      </w:pPr>
      <w:r>
        <w:t>Focus on "consistency" narrative</w:t>
      </w:r>
    </w:p>
    <w:p>
      <w:r>
        <w:rPr>
          <w:b/>
        </w:rPr>
        <w:t>If no enterprise leads:</w:t>
      </w:r>
    </w:p>
    <w:p>
      <w:pPr>
        <w:pStyle w:val="ListBullet"/>
      </w:pPr>
      <w:r>
        <w:t>Content still builds SEO and credibility</w:t>
      </w:r>
    </w:p>
    <w:p>
      <w:pPr>
        <w:pStyle w:val="ListBullet"/>
      </w:pPr>
      <w:r>
        <w:t>Learnings inform 2027 approach</w:t>
      </w:r>
    </w:p>
    <w:p>
      <w:pPr>
        <w:pStyle w:val="ListBullet"/>
      </w:pPr>
      <w:r>
        <w:t>Consider academic publication route</w:t>
      </w:r>
    </w:p>
    <w:p>
      <w:r>
        <w:br w:type="page"/>
      </w:r>
    </w:p>
    <w:p>
      <w:pPr>
        <w:pStyle w:val="Heading1"/>
      </w:pPr>
      <w:r>
        <w:t>8. Immediate Actions</w:t>
      </w:r>
    </w:p>
    <w:p>
      <w:r>
        <w:t>The following actions should be taken immediately to execute this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Fix MD5 security vulnerability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Remove hardcoded FB secret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Recruit GVSU student (Content Lead)</w:t>
            </w:r>
          </w:p>
        </w:tc>
        <w:tc>
          <w:tcPr>
            <w:tcW w:type="dxa" w:w="2160"/>
          </w:tcPr>
          <w:p>
            <w:r>
              <w:t>Jan 20-27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Identify Turkey student(s)</w:t>
            </w:r>
          </w:p>
        </w:tc>
        <w:tc>
          <w:tcPr>
            <w:tcW w:type="dxa" w:w="2160"/>
          </w:tcPr>
          <w:p>
            <w:r>
              <w:t>Jan 20-27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Update SI website with SmartBracket integration</w:t>
            </w:r>
          </w:p>
        </w:tc>
        <w:tc>
          <w:tcPr>
            <w:tcW w:type="dxa" w:w="2160"/>
          </w:tcPr>
          <w:p>
            <w:r>
              <w:t>Feb 1-15</w:t>
            </w:r>
          </w:p>
        </w:tc>
        <w:tc>
          <w:tcPr>
            <w:tcW w:type="dxa" w:w="2160"/>
          </w:tcPr>
          <w:p>
            <w:r>
              <w:t>Student Team</w:t>
            </w:r>
          </w:p>
        </w:tc>
      </w:tr>
    </w:tbl>
    <w:p/>
    <w:p/>
    <w:p>
      <w:pPr>
        <w:jc w:val="center"/>
      </w:pPr>
      <w:r>
        <w:rPr>
          <w:i/>
        </w:rPr>
        <w:t>— End of Strategic Plan —</w:t>
      </w:r>
    </w:p>
    <w:p/>
    <w:p/>
    <w:p>
      <w:pPr>
        <w:jc w:val="center"/>
      </w:pPr>
      <w:r>
        <w:rPr>
          <w:i/>
          <w:sz w:val="18"/>
        </w:rPr>
        <w:t>Prepared by Claude Code Business Analysis Framework</w:t>
      </w:r>
    </w:p>
    <w:p>
      <w:pPr>
        <w:jc w:val="center"/>
      </w:pPr>
      <w:r>
        <w:rPr>
          <w:i/>
          <w:sz w:val="18"/>
        </w:rPr>
        <w:t>For Supported Intelligence LLC |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