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5A5A5A"/>
          <w:sz w:val="20"/>
          <w:szCs w:val="20"/>
        </w:rPr>
        <w:t xml:space="preserve">FE5209 FINANCIAL ECONOMETRICS · GROUP PROJECT</w:t>
      </w:r>
    </w:p>
    <w:p>
      <w:pPr>
        <w:spacing w:after="120"/>
      </w:pPr>
      <w:r>
        <w:rPr>
          <w:rFonts w:ascii="Calibri" w:cs="Calibri" w:eastAsia="Calibri" w:hAnsi="Calibri"/>
          <w:b/>
          <w:bCs/>
          <w:color w:val="1F3A5F"/>
          <w:sz w:val="60"/>
          <w:szCs w:val="60"/>
        </w:rPr>
        <w:t xml:space="preserve">AlgoGoneCrazy</w:t>
      </w:r>
    </w:p>
    <w:p>
      <w:pPr>
        <w:spacing w:after="360"/>
      </w:pPr>
      <w:r>
        <w:rPr>
          <w:rFonts w:ascii="Calibri" w:cs="Calibri" w:eastAsia="Calibri" w:hAnsi="Calibri"/>
          <w:color w:val="1F1F1F"/>
          <w:sz w:val="32"/>
          <w:szCs w:val="32"/>
        </w:rPr>
        <w:t xml:space="preserve">Three-asset algorithmic portfolio: performance evaluation report</w:t>
      </w:r>
    </w:p>
    <w:p>
      <w:pPr>
        <w:pBdr>
          <w:bottom w:val="single" w:color="1F3A5F" w:sz="12" w:space="4"/>
        </w:pBdr>
        <w:spacing w:after="300"/>
      </w:pPr>
    </w:p>
    <w:p>
      <w:pPr>
        <w:spacing w:after="120" w:line="276"/>
      </w:pPr>
      <w:r>
        <w:rPr>
          <w:rFonts w:ascii="Calibri" w:cs="Calibri" w:eastAsia="Calibri" w:hAnsi="Calibri"/>
          <w:b/>
          <w:bCs/>
          <w:color w:val="1F1F1F"/>
          <w:sz w:val="21"/>
          <w:szCs w:val="21"/>
        </w:rPr>
        <w:t xml:space="preserve">Evaluation period: </w:t>
      </w:r>
      <w:r>
        <w:rPr>
          <w:rFonts w:ascii="Calibri" w:cs="Calibri" w:eastAsia="Calibri" w:hAnsi="Calibri"/>
          <w:color w:val="1F1F1F"/>
          <w:sz w:val="21"/>
          <w:szCs w:val="21"/>
        </w:rPr>
        <w:t xml:space="preserve">1 Oct 2026 00:00 → 20 Oct 2026 23:30 UTC (20 days, 960 thirty-minute marks)</w:t>
      </w:r>
    </w:p>
    <w:p>
      <w:pPr>
        <w:spacing w:after="120" w:line="276"/>
      </w:pPr>
      <w:r>
        <w:rPr>
          <w:rFonts w:ascii="Calibri" w:cs="Calibri" w:eastAsia="Calibri" w:hAnsi="Calibri"/>
          <w:b/>
          <w:bCs/>
          <w:color w:val="1F1F1F"/>
          <w:sz w:val="21"/>
          <w:szCs w:val="21"/>
        </w:rPr>
        <w:t xml:space="preserve">Capital: </w:t>
      </w:r>
      <w:r>
        <w:rPr>
          <w:rFonts w:ascii="Calibri" w:cs="Calibri" w:eastAsia="Calibri" w:hAnsi="Calibri"/>
          <w:color w:val="1F1F1F"/>
          <w:sz w:val="21"/>
          <w:szCs w:val="21"/>
        </w:rPr>
        <w:t xml:space="preserve">USD 500,000 starting equity, no top-ups</w:t>
      </w:r>
    </w:p>
    <w:p>
      <w:pPr>
        <w:spacing w:after="120" w:line="276"/>
      </w:pPr>
      <w:r>
        <w:rPr>
          <w:rFonts w:ascii="Calibri" w:cs="Calibri" w:eastAsia="Calibri" w:hAnsi="Calibri"/>
          <w:b/>
          <w:bCs/>
          <w:color w:val="1F1F1F"/>
          <w:sz w:val="21"/>
          <w:szCs w:val="21"/>
        </w:rPr>
        <w:t xml:space="preserve">Sleeves: </w:t>
      </w:r>
      <w:r>
        <w:rPr>
          <w:rFonts w:ascii="Calibri" w:cs="Calibri" w:eastAsia="Calibri" w:hAnsi="Calibri"/>
          <w:color w:val="1F1F1F"/>
          <w:sz w:val="21"/>
          <w:szCs w:val="21"/>
        </w:rPr>
        <w:t xml:space="preserve">SPY · Momentum  |  ES3 (STI ETF) · Mean reversion  |  BTCUSDT · ML + voting</w:t>
      </w:r>
    </w:p>
    <w:p>
      <w:pPr>
        <w:spacing w:after="120" w:line="276"/>
      </w:pPr>
      <w:r>
        <w:rPr>
          <w:rFonts w:ascii="Calibri" w:cs="Calibri" w:eastAsia="Calibri" w:hAnsi="Calibri"/>
          <w:b/>
          <w:bCs/>
          <w:color w:val="1F1F1F"/>
          <w:sz w:val="21"/>
          <w:szCs w:val="21"/>
        </w:rPr>
        <w:t xml:space="preserve">Team: </w:t>
      </w:r>
      <w:r>
        <w:rPr>
          <w:rFonts w:ascii="Calibri" w:cs="Calibri" w:eastAsia="Calibri" w:hAnsi="Calibri"/>
          <w:color w:val="1F1F1F"/>
          <w:sz w:val="21"/>
          <w:szCs w:val="21"/>
        </w:rPr>
        <w:t xml:space="preserve">Aishee Sengupta · Kshemasanta Pinn · Suppanat Poo-im · Tsai Yi-Kai · Pranav Ananth Hari</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504"/>
        <w:gridCol w:w="1504"/>
        <w:gridCol w:w="1504"/>
        <w:gridCol w:w="1504"/>
        <w:gridCol w:w="1504"/>
      </w:tblGrid>
      <w:tr>
        <w:tc>
          <w:tcPr>
            <w:tcW w:type="dxa" w:w="1506"/>
            <w:tcBorders>
              <w:top w:val="single" w:color="1F3A5F" w:sz="18"/>
              <w:left w:val="single" w:color="FFFFFF" w:sz="8"/>
              <w:bottom w:val="none" w:color="FFFFFF" w:sz="0"/>
              <w:right w:val="single" w:color="FFFFFF" w:sz="8"/>
            </w:tcBorders>
            <w:shd w:fill="F3F1EE" w:val="clear"/>
            <w:tcMar>
              <w:top w:type="dxa" w:w="100"/>
              <w:left w:type="dxa" w:w="120"/>
              <w:bottom w:type="dxa" w:w="100"/>
              <w:right w:type="dxa" w:w="80"/>
            </w:tcMar>
          </w:tcPr>
          <w:p>
            <w:r>
              <w:rPr>
                <w:rFonts w:ascii="Calibri" w:cs="Calibri" w:eastAsia="Calibri" w:hAnsi="Calibri"/>
                <w:color w:val="5A5A5A"/>
                <w:sz w:val="16"/>
                <w:szCs w:val="16"/>
              </w:rPr>
              <w:t xml:space="preserve">Net P&amp;L</w:t>
            </w:r>
          </w:p>
          <w:p>
            <w:pPr>
              <w:spacing w:before="40"/>
            </w:pPr>
            <w:r>
              <w:rPr>
                <w:rFonts w:ascii="Calibri" w:cs="Calibri" w:eastAsia="Calibri" w:hAnsi="Calibri"/>
                <w:b/>
                <w:bCs/>
                <w:color w:val="0E7A4F"/>
                <w:sz w:val="30"/>
                <w:szCs w:val="30"/>
              </w:rPr>
              <w:t xml:space="preserve">+$7,084</w:t>
            </w:r>
          </w:p>
          <w:p>
            <w:r>
              <w:rPr>
                <w:rFonts w:ascii="Calibri" w:cs="Calibri" w:eastAsia="Calibri" w:hAnsi="Calibri"/>
                <w:color w:val="5A5A5A"/>
                <w:sz w:val="15"/>
                <w:szCs w:val="15"/>
              </w:rPr>
              <w:t xml:space="preserve">passive −$3,311</w:t>
            </w:r>
          </w:p>
        </w:tc>
        <w:tc>
          <w:tcPr>
            <w:tcW w:type="dxa" w:w="1504"/>
            <w:tcBorders>
              <w:top w:val="single" w:color="1F3A5F" w:sz="18"/>
              <w:left w:val="single" w:color="FFFFFF" w:sz="8"/>
              <w:bottom w:val="none" w:color="FFFFFF" w:sz="0"/>
              <w:right w:val="single" w:color="FFFFFF" w:sz="8"/>
            </w:tcBorders>
            <w:shd w:fill="F3F1EE" w:val="clear"/>
            <w:tcMar>
              <w:top w:type="dxa" w:w="100"/>
              <w:left w:type="dxa" w:w="120"/>
              <w:bottom w:type="dxa" w:w="100"/>
              <w:right w:type="dxa" w:w="80"/>
            </w:tcMar>
          </w:tcPr>
          <w:p>
            <w:r>
              <w:rPr>
                <w:rFonts w:ascii="Calibri" w:cs="Calibri" w:eastAsia="Calibri" w:hAnsi="Calibri"/>
                <w:color w:val="5A5A5A"/>
                <w:sz w:val="16"/>
                <w:szCs w:val="16"/>
              </w:rPr>
              <w:t xml:space="preserve">Total return</w:t>
            </w:r>
          </w:p>
          <w:p>
            <w:pPr>
              <w:spacing w:before="40"/>
            </w:pPr>
            <w:r>
              <w:rPr>
                <w:rFonts w:ascii="Calibri" w:cs="Calibri" w:eastAsia="Calibri" w:hAnsi="Calibri"/>
                <w:b/>
                <w:bCs/>
                <w:color w:val="0E7A4F"/>
                <w:sz w:val="30"/>
                <w:szCs w:val="30"/>
              </w:rPr>
              <w:t xml:space="preserve">+1.42%</w:t>
            </w:r>
          </w:p>
          <w:p>
            <w:r>
              <w:rPr>
                <w:rFonts w:ascii="Calibri" w:cs="Calibri" w:eastAsia="Calibri" w:hAnsi="Calibri"/>
                <w:color w:val="5A5A5A"/>
                <w:sz w:val="15"/>
                <w:szCs w:val="15"/>
              </w:rPr>
              <w:t xml:space="preserve">passive −0.66%</w:t>
            </w:r>
          </w:p>
        </w:tc>
        <w:tc>
          <w:tcPr>
            <w:tcW w:type="dxa" w:w="1504"/>
            <w:tcBorders>
              <w:top w:val="single" w:color="1F3A5F" w:sz="18"/>
              <w:left w:val="single" w:color="FFFFFF" w:sz="8"/>
              <w:bottom w:val="none" w:color="FFFFFF" w:sz="0"/>
              <w:right w:val="single" w:color="FFFFFF" w:sz="8"/>
            </w:tcBorders>
            <w:shd w:fill="F3F1EE" w:val="clear"/>
            <w:tcMar>
              <w:top w:type="dxa" w:w="100"/>
              <w:left w:type="dxa" w:w="120"/>
              <w:bottom w:type="dxa" w:w="100"/>
              <w:right w:type="dxa" w:w="80"/>
            </w:tcMar>
          </w:tcPr>
          <w:p>
            <w:r>
              <w:rPr>
                <w:rFonts w:ascii="Calibri" w:cs="Calibri" w:eastAsia="Calibri" w:hAnsi="Calibri"/>
                <w:color w:val="5A5A5A"/>
                <w:sz w:val="16"/>
                <w:szCs w:val="16"/>
              </w:rPr>
              <w:t xml:space="preserve">Max drawdown</w:t>
            </w:r>
          </w:p>
          <w:p>
            <w:pPr>
              <w:spacing w:before="40"/>
            </w:pPr>
            <w:r>
              <w:rPr>
                <w:rFonts w:ascii="Calibri" w:cs="Calibri" w:eastAsia="Calibri" w:hAnsi="Calibri"/>
                <w:b/>
                <w:bCs/>
                <w:color w:val="1F1F1F"/>
                <w:sz w:val="30"/>
                <w:szCs w:val="30"/>
              </w:rPr>
              <w:t xml:space="preserve">−0.43%</w:t>
            </w:r>
          </w:p>
          <w:p>
            <w:r>
              <w:rPr>
                <w:rFonts w:ascii="Calibri" w:cs="Calibri" w:eastAsia="Calibri" w:hAnsi="Calibri"/>
                <w:color w:val="5A5A5A"/>
                <w:sz w:val="15"/>
                <w:szCs w:val="15"/>
              </w:rPr>
              <w:t xml:space="preserve">passive −5.04%</w:t>
            </w:r>
          </w:p>
        </w:tc>
        <w:tc>
          <w:tcPr>
            <w:tcW w:type="dxa" w:w="1504"/>
            <w:tcBorders>
              <w:top w:val="single" w:color="1F3A5F" w:sz="18"/>
              <w:left w:val="single" w:color="FFFFFF" w:sz="8"/>
              <w:bottom w:val="none" w:color="FFFFFF" w:sz="0"/>
              <w:right w:val="single" w:color="FFFFFF" w:sz="8"/>
            </w:tcBorders>
            <w:shd w:fill="F3F1EE" w:val="clear"/>
            <w:tcMar>
              <w:top w:type="dxa" w:w="100"/>
              <w:left w:type="dxa" w:w="120"/>
              <w:bottom w:type="dxa" w:w="100"/>
              <w:right w:type="dxa" w:w="80"/>
            </w:tcMar>
          </w:tcPr>
          <w:p>
            <w:r>
              <w:rPr>
                <w:rFonts w:ascii="Calibri" w:cs="Calibri" w:eastAsia="Calibri" w:hAnsi="Calibri"/>
                <w:color w:val="5A5A5A"/>
                <w:sz w:val="16"/>
                <w:szCs w:val="16"/>
              </w:rPr>
              <w:t xml:space="preserve">Sharpe (ann.)</w:t>
            </w:r>
          </w:p>
          <w:p>
            <w:pPr>
              <w:spacing w:before="40"/>
            </w:pPr>
            <w:r>
              <w:rPr>
                <w:rFonts w:ascii="Calibri" w:cs="Calibri" w:eastAsia="Calibri" w:hAnsi="Calibri"/>
                <w:b/>
                <w:bCs/>
                <w:color w:val="1F1F1F"/>
                <w:sz w:val="30"/>
                <w:szCs w:val="30"/>
              </w:rPr>
              <w:t xml:space="preserve">4.62</w:t>
            </w:r>
          </w:p>
          <w:p>
            <w:r>
              <w:rPr>
                <w:rFonts w:ascii="Calibri" w:cs="Calibri" w:eastAsia="Calibri" w:hAnsi="Calibri"/>
                <w:color w:val="5A5A5A"/>
                <w:sz w:val="15"/>
                <w:szCs w:val="15"/>
              </w:rPr>
              <w:t xml:space="preserve">passive −0.99</w:t>
            </w:r>
          </w:p>
        </w:tc>
        <w:tc>
          <w:tcPr>
            <w:tcW w:type="dxa" w:w="1504"/>
            <w:tcBorders>
              <w:top w:val="single" w:color="1F3A5F" w:sz="18"/>
              <w:left w:val="single" w:color="FFFFFF" w:sz="8"/>
              <w:bottom w:val="none" w:color="FFFFFF" w:sz="0"/>
              <w:right w:val="single" w:color="FFFFFF" w:sz="8"/>
            </w:tcBorders>
            <w:shd w:fill="F3F1EE" w:val="clear"/>
            <w:tcMar>
              <w:top w:type="dxa" w:w="100"/>
              <w:left w:type="dxa" w:w="120"/>
              <w:bottom w:type="dxa" w:w="100"/>
              <w:right w:type="dxa" w:w="80"/>
            </w:tcMar>
          </w:tcPr>
          <w:p>
            <w:r>
              <w:rPr>
                <w:rFonts w:ascii="Calibri" w:cs="Calibri" w:eastAsia="Calibri" w:hAnsi="Calibri"/>
                <w:color w:val="5A5A5A"/>
                <w:sz w:val="16"/>
                <w:szCs w:val="16"/>
              </w:rPr>
              <w:t xml:space="preserve">Win rate</w:t>
            </w:r>
          </w:p>
          <w:p>
            <w:pPr>
              <w:spacing w:before="40"/>
            </w:pPr>
            <w:r>
              <w:rPr>
                <w:rFonts w:ascii="Calibri" w:cs="Calibri" w:eastAsia="Calibri" w:hAnsi="Calibri"/>
                <w:b/>
                <w:bCs/>
                <w:color w:val="1F1F1F"/>
                <w:sz w:val="30"/>
                <w:szCs w:val="30"/>
              </w:rPr>
              <w:t xml:space="preserve">42% of 24</w:t>
            </w:r>
          </w:p>
          <w:p>
            <w:r>
              <w:rPr>
                <w:rFonts w:ascii="Calibri" w:cs="Calibri" w:eastAsia="Calibri" w:hAnsi="Calibri"/>
                <w:color w:val="5A5A5A"/>
                <w:sz w:val="15"/>
                <w:szCs w:val="15"/>
              </w:rPr>
              <w:t xml:space="preserve">profit factor 4.29</w:t>
            </w:r>
          </w:p>
        </w:tc>
        <w:tc>
          <w:tcPr>
            <w:tcW w:type="dxa" w:w="1504"/>
            <w:tcBorders>
              <w:top w:val="single" w:color="1F3A5F" w:sz="18"/>
              <w:left w:val="single" w:color="FFFFFF" w:sz="8"/>
              <w:bottom w:val="none" w:color="FFFFFF" w:sz="0"/>
              <w:right w:val="single" w:color="FFFFFF" w:sz="8"/>
            </w:tcBorders>
            <w:shd w:fill="F3F1EE" w:val="clear"/>
            <w:tcMar>
              <w:top w:type="dxa" w:w="100"/>
              <w:left w:type="dxa" w:w="120"/>
              <w:bottom w:type="dxa" w:w="100"/>
              <w:right w:type="dxa" w:w="80"/>
            </w:tcMar>
          </w:tcPr>
          <w:p>
            <w:r>
              <w:rPr>
                <w:rFonts w:ascii="Calibri" w:cs="Calibri" w:eastAsia="Calibri" w:hAnsi="Calibri"/>
                <w:color w:val="5A5A5A"/>
                <w:sz w:val="16"/>
                <w:szCs w:val="16"/>
              </w:rPr>
              <w:t xml:space="preserve">Costs</w:t>
            </w:r>
          </w:p>
          <w:p>
            <w:pPr>
              <w:spacing w:before="40"/>
            </w:pPr>
            <w:r>
              <w:rPr>
                <w:rFonts w:ascii="Calibri" w:cs="Calibri" w:eastAsia="Calibri" w:hAnsi="Calibri"/>
                <w:b/>
                <w:bCs/>
                <w:color w:val="1F1F1F"/>
                <w:sz w:val="30"/>
                <w:szCs w:val="30"/>
              </w:rPr>
              <w:t xml:space="preserve">$2,794</w:t>
            </w:r>
          </w:p>
          <w:p>
            <w:r>
              <w:rPr>
                <w:rFonts w:ascii="Calibri" w:cs="Calibri" w:eastAsia="Calibri" w:hAnsi="Calibri"/>
                <w:color w:val="5A5A5A"/>
                <w:sz w:val="15"/>
                <w:szCs w:val="15"/>
              </w:rPr>
              <w:t xml:space="preserve">28% of gross P&amp;L</w:t>
            </w:r>
          </w:p>
        </w:tc>
      </w:tr>
    </w:tbl>
    <w:p>
      <w:pPr>
        <w:spacing w:after="200" w:before="40"/>
      </w:pPr>
      <w:r>
        <w:rPr>
          <w:rFonts w:ascii="Calibri" w:cs="Calibri" w:eastAsia="Calibri" w:hAnsi="Calibri"/>
          <w:i/>
          <w:iCs/>
          <w:color w:val="5A5A5A"/>
          <w:sz w:val="16"/>
          <w:szCs w:val="16"/>
        </w:rPr>
        <w:t xml:space="preserve">Passive mix = the same 1 Oct sleeve weights (SPY 33.8%, STI 10%, BTC 51.2%, cash 5%) held without trading or costs. Annualised ratios extrapolate a 20-day window and are indicative only.</w:t>
      </w:r>
    </w:p>
    <w:p>
      <w:r>
        <w:br w:type="page"/>
      </w:r>
    </w:p>
    <w:p>
      <w:pPr>
        <w:spacing w:after="200"/>
      </w:pPr>
      <w:r>
        <w:rPr>
          <w:rFonts w:ascii="Calibri" w:cs="Calibri" w:eastAsia="Calibri" w:hAnsi="Calibri"/>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200" w:before="40"/>
      </w:pPr>
      <w:r>
        <w:rPr>
          <w:rFonts w:ascii="Calibri" w:cs="Calibri" w:eastAsia="Calibri" w:hAnsi="Calibri"/>
          <w:i/>
          <w:iCs/>
          <w:color w:val="5A5A5A"/>
          <w:sz w:val="16"/>
          <w:szCs w:val="16"/>
        </w:rPr>
        <w:t xml:space="preserve">Right-click the table of contents and choose "Update Field" after editing to refresh page numbers.</w:t>
      </w:r>
    </w:p>
    <w:p>
      <w:pPr>
        <w:pStyle w:val="Heading1"/>
        <w:pageBreakBefore/>
        <w:spacing w:after="160" w:before="0"/>
      </w:pPr>
      <w:r>
        <w:rPr>
          <w:rFonts w:ascii="Calibri" w:cs="Calibri" w:eastAsia="Calibri" w:hAnsi="Calibri"/>
        </w:rPr>
        <w:t xml:space="preserve">1. Executive summary</w:t>
      </w:r>
    </w:p>
    <w:p>
      <w:pPr>
        <w:spacing w:after="120" w:line="276"/>
      </w:pPr>
      <w:r>
        <w:rPr>
          <w:rFonts w:ascii="Calibri" w:cs="Calibri" w:eastAsia="Calibri" w:hAnsi="Calibri"/>
          <w:color w:val="1F1F1F"/>
          <w:sz w:val="21"/>
          <w:szCs w:val="21"/>
        </w:rPr>
        <w:t xml:space="preserve">Over the 20-day live test the portfolio returned +1.42% (+$7,084 net of $2,794 in transaction costs), while a passive mix of the same assets at the same 1 October weights lost 0.66% (−$3,311). The gap of about 2.1 percentage points is an exact, realised figure, not an estimate. Risk was cut even more sharply than return was improved: the worst peak-to-trough fall was −0.43% against −5.04% for the passive mix, and annualised volatility was 4.7% against 15.4%.</w:t>
      </w:r>
    </w:p>
    <w:p>
      <w:pPr>
        <w:spacing w:after="120" w:line="276"/>
      </w:pPr>
      <w:r>
        <w:rPr>
          <w:rFonts w:ascii="Calibri" w:cs="Calibri" w:eastAsia="Calibri" w:hAnsi="Calibri"/>
          <w:color w:val="1F1F1F"/>
          <w:sz w:val="21"/>
          <w:szCs w:val="21"/>
        </w:rPr>
        <w:t xml:space="preserve">Every sleeve beat buy-and-hold of its own asset on sleeve capital: SPY +1.17% vs +0.61%, STI +0.83% vs −5.03%, and BTC +1.83% vs −0.71%. BTC was the engine, supplying 66% of portfolio P&amp;L for 65% of portfolio risk, which shows the inverse-volatility sizing put risk where the profit came from.</w:t>
      </w:r>
    </w:p>
    <w:p>
      <w:pPr>
        <w:spacing w:after="120" w:line="276"/>
      </w:pPr>
      <w:r>
        <w:rPr>
          <w:rFonts w:ascii="Calibri" w:cs="Calibri" w:eastAsia="Calibri" w:hAnsi="Calibri"/>
          <w:color w:val="1F1F1F"/>
          <w:sz w:val="21"/>
          <w:szCs w:val="21"/>
        </w:rPr>
        <w:t xml:space="preserve">The result is encouraging but not conclusive. Two days (1 and 5 Oct) made $7,318, more than the whole window; the other 18 days netted −$234. The annualised Sharpe of 4.62 has a 95% band of −3.9 to +13.1, and a bootstrap gives about an 87% probability that the true Sharpe is above zero, short of the usual 95% bar.</w:t>
      </w:r>
    </w:p>
    <w:p>
      <w:pPr>
        <w:keepNext/>
        <w:spacing w:after="60" w:before="160"/>
      </w:pPr>
      <w:r>
        <w:rPr>
          <w:rFonts w:ascii="Calibri" w:cs="Calibri" w:eastAsia="Calibri" w:hAnsi="Calibri"/>
          <w:b/>
          <w:bCs/>
          <w:color w:val="5A5A5A"/>
          <w:sz w:val="18"/>
          <w:szCs w:val="18"/>
        </w:rPr>
        <w:t xml:space="preserve">Table 1. </w:t>
      </w:r>
      <w:r>
        <w:rPr>
          <w:rFonts w:ascii="Calibri" w:cs="Calibri" w:eastAsia="Calibri" w:hAnsi="Calibri"/>
          <w:i/>
          <w:iCs/>
          <w:color w:val="5A5A5A"/>
          <w:sz w:val="18"/>
          <w:szCs w:val="18"/>
        </w:rPr>
        <w:t xml:space="preserve">Headline results versus the passive benchmark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0"/>
        <w:gridCol w:w="1805"/>
        <w:gridCol w:w="2346"/>
        <w:gridCol w:w="1805"/>
      </w:tblGrid>
      <w:tr>
        <w:trPr>
          <w:cantSplit/>
          <w:tblHeader/>
        </w:trPr>
        <w:tc>
          <w:tcPr>
            <w:tcW w:type="dxa" w:w="3070"/>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Metric</w:t>
            </w:r>
          </w:p>
        </w:tc>
        <w:tc>
          <w:tcPr>
            <w:tcW w:type="dxa" w:w="1805"/>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Portfolio</w:t>
            </w:r>
          </w:p>
        </w:tc>
        <w:tc>
          <w:tcPr>
            <w:tcW w:type="dxa" w:w="2346"/>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Passive mix (same weights)</w:t>
            </w:r>
          </w:p>
        </w:tc>
        <w:tc>
          <w:tcPr>
            <w:tcW w:type="dxa" w:w="1805"/>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Difference</w:t>
            </w:r>
          </w:p>
        </w:tc>
      </w:tr>
      <w:tr>
        <w:trPr>
          <w:cantSplit/>
          <w:tblHeader w:val="off"/>
        </w:trPr>
        <w:tc>
          <w:tcPr>
            <w:tcW w:type="dxa" w:w="3070"/>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Initial equity</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$500,000</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$500,000</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w:t>
            </w:r>
          </w:p>
        </w:tc>
      </w:tr>
      <w:tr>
        <w:trPr>
          <w:cantSplit/>
          <w:tblHeader w:val="off"/>
        </w:trPr>
        <w:tc>
          <w:tcPr>
            <w:tcW w:type="dxa" w:w="3070"/>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Final equity</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$507,084</w:t>
            </w:r>
          </w:p>
        </w:tc>
        <w:tc>
          <w:tcPr>
            <w:tcW w:type="dxa" w:w="234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$496,689</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+$10,396</w:t>
            </w:r>
          </w:p>
        </w:tc>
      </w:tr>
      <w:tr>
        <w:trPr>
          <w:cantSplit/>
          <w:tblHeader w:val="off"/>
        </w:trPr>
        <w:tc>
          <w:tcPr>
            <w:tcW w:type="dxa" w:w="3070"/>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Net P&amp;L</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+$7,084</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−$3,311</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+$10,396</w:t>
            </w:r>
          </w:p>
        </w:tc>
      </w:tr>
      <w:tr>
        <w:trPr>
          <w:cantSplit/>
          <w:tblHeader w:val="off"/>
        </w:trPr>
        <w:tc>
          <w:tcPr>
            <w:tcW w:type="dxa" w:w="3070"/>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Total return</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+1.42%</w:t>
            </w:r>
          </w:p>
        </w:tc>
        <w:tc>
          <w:tcPr>
            <w:tcW w:type="dxa" w:w="234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−0.66%</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+2.08 pp</w:t>
            </w:r>
          </w:p>
        </w:tc>
      </w:tr>
      <w:tr>
        <w:trPr>
          <w:cantSplit/>
          <w:tblHeader w:val="off"/>
        </w:trPr>
        <w:tc>
          <w:tcPr>
            <w:tcW w:type="dxa" w:w="3070"/>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Max drawdown</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−0.43%</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−5.04%</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4.61 pp shallower</w:t>
            </w:r>
          </w:p>
        </w:tc>
      </w:tr>
      <w:tr>
        <w:trPr>
          <w:cantSplit/>
          <w:tblHeader w:val="off"/>
        </w:trPr>
        <w:tc>
          <w:tcPr>
            <w:tcW w:type="dxa" w:w="3070"/>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Annual volatility</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4.68%</w:t>
            </w:r>
          </w:p>
        </w:tc>
        <w:tc>
          <w:tcPr>
            <w:tcW w:type="dxa" w:w="234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15.35%</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 one-third</w:t>
            </w:r>
          </w:p>
        </w:tc>
      </w:tr>
      <w:tr>
        <w:trPr>
          <w:cantSplit/>
          <w:tblHeader w:val="off"/>
        </w:trPr>
        <w:tc>
          <w:tcPr>
            <w:tcW w:type="dxa" w:w="3070"/>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Sharpe ratio*</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4.62</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−0.99</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+5.61</w:t>
            </w:r>
          </w:p>
        </w:tc>
      </w:tr>
      <w:tr>
        <w:trPr>
          <w:cantSplit/>
          <w:tblHeader w:val="off"/>
        </w:trPr>
        <w:tc>
          <w:tcPr>
            <w:tcW w:type="dxa" w:w="3070"/>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Orders / completed trades</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57 / 24</w:t>
            </w:r>
          </w:p>
        </w:tc>
        <w:tc>
          <w:tcPr>
            <w:tcW w:type="dxa" w:w="234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 / –</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
            </w:r>
          </w:p>
        </w:tc>
      </w:tr>
      <w:tr>
        <w:trPr>
          <w:cantSplit/>
          <w:tblHeader w:val="off"/>
        </w:trPr>
        <w:tc>
          <w:tcPr>
            <w:tcW w:type="dxa" w:w="3070"/>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Transaction costs</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$2,794</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$0</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
            </w:r>
          </w:p>
        </w:tc>
      </w:tr>
    </w:tbl>
    <w:p>
      <w:pPr>
        <w:spacing w:after="200" w:before="40"/>
      </w:pPr>
      <w:r>
        <w:rPr>
          <w:rFonts w:ascii="Calibri" w:cs="Calibri" w:eastAsia="Calibri" w:hAnsi="Calibri"/>
          <w:i/>
          <w:iCs/>
          <w:color w:val="5A5A5A"/>
          <w:sz w:val="16"/>
          <w:szCs w:val="16"/>
        </w:rPr>
        <w:t xml:space="preserve">* Annualised from 20 UTC daily returns (partial final day excluded, 365-day basis, U.S. Treasury 3M risk-free rate).</w:t>
      </w:r>
    </w:p>
    <w:p>
      <w:pPr>
        <w:pStyle w:val="Heading2"/>
        <w:keepNext/>
        <w:spacing w:after="120" w:before="240"/>
      </w:pPr>
      <w:r>
        <w:rPr>
          <w:rFonts w:ascii="Calibri" w:cs="Calibri" w:eastAsia="Calibri" w:hAnsi="Calibri"/>
        </w:rPr>
        <w:t xml:space="preserve">Verdict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blHeader/>
        </w:trPr>
        <w:tc>
          <w:tcPr>
            <w:tcW w:type="dxa" w:w="1986"/>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Dimension</w:t>
            </w:r>
          </w:p>
        </w:tc>
        <w:tc>
          <w:tcPr>
            <w:tcW w:type="dxa" w:w="7040"/>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Verdict</w:t>
            </w:r>
          </w:p>
        </w:tc>
      </w:tr>
      <w:tr>
        <w:trPr>
          <w:cantSplit/>
          <w:tblHeader w:val="off"/>
        </w:trPr>
        <w:tc>
          <w:tcPr>
            <w:tcW w:type="dxa" w:w="198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Value added</w:t>
            </w:r>
          </w:p>
        </w:tc>
        <w:tc>
          <w:tcPr>
            <w:tcW w:type="dxa" w:w="7040"/>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8"/>
                <w:szCs w:val="18"/>
              </w:rPr>
              <w:t xml:space="preserve">Yes: +1.42% vs −0.66% passive, and all three strategies beat their own asset</w:t>
            </w:r>
          </w:p>
        </w:tc>
      </w:tr>
      <w:tr>
        <w:trPr>
          <w:cantSplit/>
          <w:tblHeader w:val="off"/>
        </w:trPr>
        <w:tc>
          <w:tcPr>
            <w:tcW w:type="dxa" w:w="198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Risk control</w:t>
            </w:r>
          </w:p>
        </w:tc>
        <w:tc>
          <w:tcPr>
            <w:tcW w:type="dxa" w:w="7040"/>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8"/>
                <w:szCs w:val="18"/>
              </w:rPr>
              <w:t xml:space="preserve">Strong: about a twelfth of the passive drawdown and a third of the volatility, from light exposure and cash discipline</w:t>
            </w:r>
          </w:p>
        </w:tc>
      </w:tr>
      <w:tr>
        <w:trPr>
          <w:cantSplit/>
          <w:tblHeader w:val="off"/>
        </w:trPr>
        <w:tc>
          <w:tcPr>
            <w:tcW w:type="dxa" w:w="198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Quality of edge</w:t>
            </w:r>
          </w:p>
        </w:tc>
        <w:tc>
          <w:tcPr>
            <w:tcW w:type="dxa" w:w="7040"/>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8"/>
                <w:szCs w:val="18"/>
              </w:rPr>
              <w:t xml:space="preserve">Concentrated: the BTC model signals and two days drove nearly all profit</w:t>
            </w:r>
          </w:p>
        </w:tc>
      </w:tr>
      <w:tr>
        <w:trPr>
          <w:cantSplit/>
          <w:tblHeader w:val="off"/>
        </w:trPr>
        <w:tc>
          <w:tcPr>
            <w:tcW w:type="dxa" w:w="198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What to improve</w:t>
            </w:r>
          </w:p>
        </w:tc>
        <w:tc>
          <w:tcPr>
            <w:tcW w:type="dxa" w:w="7040"/>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8"/>
                <w:szCs w:val="18"/>
              </w:rPr>
              <w:t xml:space="preserve">Remove or shrink the BTC daily fallback rule; cut trading frequency to reduce the 28% cost drag</w:t>
            </w:r>
          </w:p>
        </w:tc>
      </w:tr>
      <w:tr>
        <w:trPr>
          <w:cantSplit/>
          <w:tblHeader w:val="off"/>
        </w:trPr>
        <w:tc>
          <w:tcPr>
            <w:tcW w:type="dxa" w:w="198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Confidence</w:t>
            </w:r>
          </w:p>
        </w:tc>
        <w:tc>
          <w:tcPr>
            <w:tcW w:type="dxa" w:w="7040"/>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8"/>
                <w:szCs w:val="18"/>
              </w:rPr>
              <w:t xml:space="preserve">Encouraging, not conclusive: about 87% probability of a positive Sharpe; a longer test is needed</w:t>
            </w:r>
          </w:p>
        </w:tc>
      </w:tr>
    </w:tbl>
    <w:p>
      <w:pPr>
        <w:pStyle w:val="Heading1"/>
        <w:pageBreakBefore/>
        <w:spacing w:after="160" w:before="0"/>
      </w:pPr>
      <w:r>
        <w:rPr>
          <w:rFonts w:ascii="Calibri" w:cs="Calibri" w:eastAsia="Calibri" w:hAnsi="Calibri"/>
        </w:rPr>
        <w:t xml:space="preserve">2. Portfolio set-up and evaluation conventions</w:t>
      </w:r>
    </w:p>
    <w:p>
      <w:pPr>
        <w:pStyle w:val="Heading2"/>
        <w:keepNext/>
        <w:spacing w:after="120" w:before="240"/>
      </w:pPr>
      <w:r>
        <w:rPr>
          <w:rFonts w:ascii="Calibri" w:cs="Calibri" w:eastAsia="Calibri" w:hAnsi="Calibri"/>
        </w:rPr>
        <w:t xml:space="preserve">2.1 Strategy sleeves</w:t>
      </w:r>
    </w:p>
    <w:p>
      <w:pPr>
        <w:keepNext/>
        <w:spacing w:after="60" w:before="160"/>
      </w:pPr>
      <w:r>
        <w:rPr>
          <w:rFonts w:ascii="Calibri" w:cs="Calibri" w:eastAsia="Calibri" w:hAnsi="Calibri"/>
          <w:b/>
          <w:bCs/>
          <w:color w:val="5A5A5A"/>
          <w:sz w:val="18"/>
          <w:szCs w:val="18"/>
        </w:rPr>
        <w:t xml:space="preserve">Table 2. </w:t>
      </w:r>
      <w:r>
        <w:rPr>
          <w:rFonts w:ascii="Calibri" w:cs="Calibri" w:eastAsia="Calibri" w:hAnsi="Calibri"/>
          <w:i/>
          <w:iCs/>
          <w:color w:val="5A5A5A"/>
          <w:sz w:val="18"/>
          <w:szCs w:val="18"/>
        </w:rPr>
        <w:t xml:space="preserve">Instruments, strategies and decision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3"/>
        <w:gridCol w:w="1805"/>
        <w:gridCol w:w="4242"/>
        <w:gridCol w:w="1083"/>
        <w:gridCol w:w="1083"/>
      </w:tblGrid>
      <w:tr>
        <w:trPr>
          <w:cantSplit/>
          <w:tblHeader/>
        </w:trPr>
        <w:tc>
          <w:tcPr>
            <w:tcW w:type="dxa" w:w="81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Sleeve</w:t>
            </w:r>
          </w:p>
        </w:tc>
        <w:tc>
          <w:tcPr>
            <w:tcW w:type="dxa" w:w="1805"/>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Instrument</w:t>
            </w:r>
          </w:p>
        </w:tc>
        <w:tc>
          <w:tcPr>
            <w:tcW w:type="dxa" w:w="4242"/>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Strategy and rule</w:t>
            </w:r>
          </w:p>
        </w:tc>
        <w:tc>
          <w:tcPr>
            <w:tcW w:type="dxa" w:w="108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Direction</w:t>
            </w:r>
          </w:p>
        </w:tc>
        <w:tc>
          <w:tcPr>
            <w:tcW w:type="dxa" w:w="108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Decision</w:t>
            </w:r>
          </w:p>
        </w:tc>
      </w:tr>
      <w:tr>
        <w:trPr>
          <w:cantSplit/>
          <w:tblHeader w:val="off"/>
        </w:trPr>
        <w:tc>
          <w:tcPr>
            <w:tcW w:type="dxa" w:w="81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SPY</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SPDR S&amp;P 500 ETF (NYSE, USD)</w:t>
            </w:r>
          </w:p>
        </w:tc>
        <w:tc>
          <w:tcPr>
            <w:tcW w:type="dxa" w:w="424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Momentum: EMA(8) &gt; EMA(16) on 2h bars and 8-bar return &gt; +0.25% to enter; exit when the return ≤ 0%</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Long / cash</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Every 2 h</w:t>
            </w:r>
          </w:p>
        </w:tc>
      </w:tr>
      <w:tr>
        <w:trPr>
          <w:cantSplit/>
          <w:tblHeader w:val="off"/>
        </w:trPr>
        <w:tc>
          <w:tcPr>
            <w:tcW w:type="dxa" w:w="81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STI</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SPDR STI ETF, ES3 (SGX, SGD)</w:t>
            </w:r>
          </w:p>
        </w:tc>
        <w:tc>
          <w:tcPr>
            <w:tcW w:type="dxa" w:w="424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Mean reversion: 16-bar z-score ≤ −1.25 to enter, exit at ≥ +0.25 after 4–20 bars, 4-bar cooldown</w:t>
            </w:r>
          </w:p>
        </w:tc>
        <w:tc>
          <w:tcPr>
            <w:tcW w:type="dxa" w:w="108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Long / cash</w:t>
            </w:r>
          </w:p>
        </w:tc>
        <w:tc>
          <w:tcPr>
            <w:tcW w:type="dxa" w:w="108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Every 2 h</w:t>
            </w:r>
          </w:p>
        </w:tc>
      </w:tr>
      <w:tr>
        <w:trPr>
          <w:cantSplit/>
          <w:tblHeader w:val="off"/>
        </w:trPr>
        <w:tc>
          <w:tcPr>
            <w:tcW w:type="dxa" w:w="81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BTC</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BTC/USDT (Binance, 24/7)</w:t>
            </w:r>
          </w:p>
        </w:tc>
        <w:tc>
          <w:tcPr>
            <w:tcW w:type="dxa" w:w="424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Two LightGBM models (p_up + p_down &gt; 0.35 gate) plus a 4-indicator vote (|score| ≥ 2); max hold 12 bars; 10% daily fallback at 20:00 UTC if no entry</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Long / short</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Every 30 min</w:t>
            </w:r>
          </w:p>
        </w:tc>
      </w:tr>
    </w:tbl>
    <w:p>
      <w:pPr>
        <w:pStyle w:val="Heading2"/>
        <w:keepNext/>
        <w:spacing w:after="120" w:before="240"/>
      </w:pPr>
      <w:r>
        <w:rPr>
          <w:rFonts w:ascii="Calibri" w:cs="Calibri" w:eastAsia="Calibri" w:hAnsi="Calibri"/>
        </w:rPr>
        <w:t xml:space="preserve">2.2 Position sizing</w:t>
      </w:r>
    </w:p>
    <w:p>
      <w:pPr>
        <w:spacing w:after="120" w:line="276"/>
      </w:pPr>
      <w:r>
        <w:rPr>
          <w:rFonts w:ascii="Calibri" w:cs="Calibri" w:eastAsia="Calibri" w:hAnsi="Calibri"/>
          <w:color w:val="1F1F1F"/>
          <w:sz w:val="21"/>
          <w:szCs w:val="21"/>
        </w:rPr>
        <w:t xml:space="preserve">Sleeve budgets were fixed on 1 October by capped inverse volatility of each strategy's after-cost returns over the prior 60 days (5% volatility floor), scaled to a 95% gross target with 5% strategic cash. STI is capped at 10% because its validation evidence rests on only 6 rolling windows; SPY and BTC are capped at 75%. When at least two sleeves are active, idle capital may scale active targets up to 2× within the caps, which is why SPY orders (8) exceed its round trips (2).</w:t>
      </w:r>
    </w:p>
    <w:p>
      <w:pPr>
        <w:keepNext/>
        <w:spacing w:after="60" w:before="120"/>
        <w:jc w:val="center"/>
      </w:pPr>
      <w:r>
        <w:drawing>
          <wp:inline distT="0" distB="0" distL="0" distR="0">
            <wp:extent cx="5734050" cy="2066925"/>
            <wp:effectExtent t="0" r="0" b="0" l="0"/>
            <wp:docPr id="1" name="05a_sizing.png" descr="Pre-run 60-day strategy volatility (left) and the resulting 1 Oct risk budgets: SPY 33.8%, STI 10.0% (at cap), BTC 51.2%, cash 5.0%." title="Pre-run 60-day strategy volatility (left) and the resulting 1 Oct risk budgets: SPY 33.8%, STI 10.0% (at cap), BTC 51.2%, cas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066925"/>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1. </w:t>
      </w:r>
      <w:r>
        <w:rPr>
          <w:rFonts w:ascii="Calibri" w:cs="Calibri" w:eastAsia="Calibri" w:hAnsi="Calibri"/>
          <w:i/>
          <w:iCs/>
          <w:color w:val="5A5A5A"/>
          <w:sz w:val="18"/>
          <w:szCs w:val="18"/>
        </w:rPr>
        <w:t xml:space="preserve">Pre-run 60-day strategy volatility (left) and the resulting 1 Oct risk budgets: SPY 33.8%, STI 10.0% (at cap), BTC 51.2%, cash 5.0%.</w:t>
      </w:r>
    </w:p>
    <w:p>
      <w:pPr>
        <w:pStyle w:val="Heading2"/>
        <w:keepNext/>
        <w:spacing w:after="120" w:before="240"/>
      </w:pPr>
      <w:r>
        <w:rPr>
          <w:rFonts w:ascii="Calibri" w:cs="Calibri" w:eastAsia="Calibri" w:hAnsi="Calibri"/>
        </w:rPr>
        <w:t xml:space="preserve">2.3 Evaluation conventions</w:t>
      </w:r>
    </w:p>
    <w:p>
      <w:pPr>
        <w:pStyle w:val="ListParagraph"/>
        <w:numPr>
          <w:ilvl w:val="0"/>
          <w:numId w:val="2"/>
        </w:numPr>
        <w:spacing w:after="80" w:line="276"/>
      </w:pPr>
      <w:r>
        <w:rPr>
          <w:rFonts w:ascii="Calibri" w:cs="Calibri" w:eastAsia="Calibri" w:hAnsi="Calibri"/>
          <w:color w:val="1F1F1F"/>
          <w:sz w:val="21"/>
          <w:szCs w:val="21"/>
        </w:rPr>
        <w:t xml:space="preserve">Execution at the next eligible bar open; valuation at raw closes, converted point-in-time to USD (SGD→USD with a 1-day lag).</w:t>
      </w:r>
    </w:p>
    <w:p>
      <w:pPr>
        <w:pStyle w:val="ListParagraph"/>
        <w:numPr>
          <w:ilvl w:val="0"/>
          <w:numId w:val="2"/>
        </w:numPr>
        <w:spacing w:after="80" w:line="276"/>
      </w:pPr>
      <w:r>
        <w:rPr>
          <w:rFonts w:ascii="Calibri" w:cs="Calibri" w:eastAsia="Calibri" w:hAnsi="Calibri"/>
          <w:color w:val="1F1F1F"/>
          <w:sz w:val="21"/>
          <w:szCs w:val="21"/>
        </w:rPr>
        <w:t xml:space="preserve">Commissions: SPY USD 0.0035/share (IBKR Pro Tiered), ES3 0.08% with SGD 2.50 minimum (IBKR), BTC 0.10% taker fee (Binance). Slippage, funding and cash interest assumed zero.</w:t>
      </w:r>
    </w:p>
    <w:p>
      <w:pPr>
        <w:pStyle w:val="ListParagraph"/>
        <w:numPr>
          <w:ilvl w:val="0"/>
          <w:numId w:val="2"/>
        </w:numPr>
        <w:spacing w:after="80" w:line="276"/>
      </w:pPr>
      <w:r>
        <w:rPr>
          <w:rFonts w:ascii="Calibri" w:cs="Calibri" w:eastAsia="Calibri" w:hAnsi="Calibri"/>
          <w:color w:val="1F1F1F"/>
          <w:sz w:val="21"/>
          <w:szCs w:val="21"/>
        </w:rPr>
        <w:t xml:space="preserve">Risk metrics use UTC daily returns with the partial final day excluded, 365-day annualisation, CAGR on elapsed calendar time, and the U.S. Treasury 3-month yield (average 4.23%) as the risk-free rate. Drawdowns use the intraday equity curve.</w:t>
      </w:r>
    </w:p>
    <w:p>
      <w:pPr>
        <w:pStyle w:val="ListParagraph"/>
        <w:numPr>
          <w:ilvl w:val="0"/>
          <w:numId w:val="2"/>
        </w:numPr>
        <w:spacing w:after="80" w:line="276"/>
      </w:pPr>
      <w:r>
        <w:rPr>
          <w:rFonts w:ascii="Calibri" w:cs="Calibri" w:eastAsia="Calibri" w:hAnsi="Calibri"/>
          <w:color w:val="1F1F1F"/>
          <w:sz w:val="21"/>
          <w:szCs w:val="21"/>
        </w:rPr>
        <w:t xml:space="preserve">Sleeve returns are measured on sleeve capital (1 Oct risk weight × $500,000). Buy-and-hold benchmarks are frictionless positions entered at each asset's first open in the window.</w:t>
      </w:r>
    </w:p>
    <w:p>
      <w:pPr>
        <w:pStyle w:val="Heading1"/>
        <w:pageBreakBefore/>
        <w:spacing w:after="160" w:before="0"/>
      </w:pPr>
      <w:r>
        <w:rPr>
          <w:rFonts w:ascii="Calibri" w:cs="Calibri" w:eastAsia="Calibri" w:hAnsi="Calibri"/>
        </w:rPr>
        <w:t xml:space="preserve">3. Market context during the test window</w:t>
      </w:r>
    </w:p>
    <w:p>
      <w:pPr>
        <w:spacing w:after="120" w:line="276"/>
      </w:pPr>
      <w:r>
        <w:rPr>
          <w:rFonts w:ascii="Calibri" w:cs="Calibri" w:eastAsia="Calibri" w:hAnsi="Calibri"/>
          <w:color w:val="1F1F1F"/>
          <w:sz w:val="21"/>
          <w:szCs w:val="21"/>
        </w:rPr>
        <w:t xml:space="preserve">October was a difficult month to simply hold these assets. The STI ETF fell about 5%, BTC drifted down 0.7% with sharp intraday swings, and SPY gained only 0.6%. Realised daily volatility ranged from 10.5% (SPY) to 25.6% (BTC). SPY and BTC moved together (daily correlation 0.56), while STI was almost independent of SPY (0.01), which is consistent with running each sleeve on its own signal.</w:t>
      </w:r>
    </w:p>
    <w:p>
      <w:pPr>
        <w:keepNext/>
        <w:spacing w:after="60" w:before="120"/>
        <w:jc w:val="center"/>
      </w:pPr>
      <w:r>
        <w:drawing>
          <wp:inline distT="0" distB="0" distL="0" distR="0">
            <wp:extent cx="5734050" cy="2076450"/>
            <wp:effectExtent t="0" r="0" b="0" l="0"/>
            <wp:docPr id="2" name="03d_asset_vol_corr.png" descr="Annualised volatility of daily asset returns in October (left) and the daily-return correlation matrix (right)." title="Annualised volatility of daily asset returns in October (left) and the daily-return correlation matrix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07645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2. </w:t>
      </w:r>
      <w:r>
        <w:rPr>
          <w:rFonts w:ascii="Calibri" w:cs="Calibri" w:eastAsia="Calibri" w:hAnsi="Calibri"/>
          <w:i/>
          <w:iCs/>
          <w:color w:val="5A5A5A"/>
          <w:sz w:val="18"/>
          <w:szCs w:val="18"/>
        </w:rPr>
        <w:t xml:space="preserve">Annualised volatility of daily asset returns in October (left) and the daily-return correlation matrix (right).</w:t>
      </w:r>
    </w:p>
    <w:p>
      <w:pPr>
        <w:pStyle w:val="Heading1"/>
        <w:pageBreakBefore/>
        <w:spacing w:after="160" w:before="0"/>
      </w:pPr>
      <w:r>
        <w:rPr>
          <w:rFonts w:ascii="Calibri" w:cs="Calibri" w:eastAsia="Calibri" w:hAnsi="Calibri"/>
        </w:rPr>
        <w:t xml:space="preserve">4. Portfolio-level performance</w:t>
      </w:r>
    </w:p>
    <w:p>
      <w:pPr>
        <w:pStyle w:val="Heading2"/>
        <w:keepNext/>
        <w:spacing w:after="120" w:before="240"/>
      </w:pPr>
      <w:r>
        <w:rPr>
          <w:rFonts w:ascii="Calibri" w:cs="Calibri" w:eastAsia="Calibri" w:hAnsi="Calibri"/>
        </w:rPr>
        <w:t xml:space="preserve">4.1 Scorecard</w:t>
      </w:r>
    </w:p>
    <w:p>
      <w:pPr>
        <w:spacing w:after="120" w:line="276"/>
      </w:pPr>
      <w:r>
        <w:rPr>
          <w:rFonts w:ascii="Calibri" w:cs="Calibri" w:eastAsia="Calibri" w:hAnsi="Calibri"/>
          <w:color w:val="1F1F1F"/>
          <w:sz w:val="21"/>
          <w:szCs w:val="21"/>
        </w:rPr>
        <w:t xml:space="preserve">Table 4 is the master scorecard used in the presentation. Sleeve columns are measured on sleeve capital; the passive mix holds the 1 October weights without costs.</w:t>
      </w:r>
    </w:p>
    <w:p>
      <w:pPr>
        <w:keepNext/>
        <w:spacing w:after="60" w:before="160"/>
      </w:pPr>
      <w:r>
        <w:rPr>
          <w:rFonts w:ascii="Calibri" w:cs="Calibri" w:eastAsia="Calibri" w:hAnsi="Calibri"/>
          <w:b/>
          <w:bCs/>
          <w:color w:val="5A5A5A"/>
          <w:sz w:val="18"/>
          <w:szCs w:val="18"/>
        </w:rPr>
        <w:t xml:space="preserve">Table 3. </w:t>
      </w:r>
      <w:r>
        <w:rPr>
          <w:rFonts w:ascii="Calibri" w:cs="Calibri" w:eastAsia="Calibri" w:hAnsi="Calibri"/>
          <w:i/>
          <w:iCs/>
          <w:color w:val="5A5A5A"/>
          <w:sz w:val="18"/>
          <w:szCs w:val="18"/>
        </w:rPr>
        <w:t xml:space="preserve">Scorecard: portfolio, sleeves and passive mix (1–20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1"/>
        <w:gridCol w:w="1353"/>
        <w:gridCol w:w="1353"/>
        <w:gridCol w:w="1353"/>
        <w:gridCol w:w="1353"/>
        <w:gridCol w:w="1353"/>
      </w:tblGrid>
      <w:tr>
        <w:trPr>
          <w:cantSplit/>
          <w:tblHeader/>
        </w:trPr>
        <w:tc>
          <w:tcPr>
            <w:tcW w:type="dxa" w:w="2261"/>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Metric</w:t>
            </w:r>
          </w:p>
        </w:tc>
        <w:tc>
          <w:tcPr>
            <w:tcW w:type="dxa" w:w="135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Portfolio</w:t>
            </w:r>
          </w:p>
        </w:tc>
        <w:tc>
          <w:tcPr>
            <w:tcW w:type="dxa" w:w="135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SPY</w:t>
            </w:r>
          </w:p>
        </w:tc>
        <w:tc>
          <w:tcPr>
            <w:tcW w:type="dxa" w:w="135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STI</w:t>
            </w:r>
          </w:p>
        </w:tc>
        <w:tc>
          <w:tcPr>
            <w:tcW w:type="dxa" w:w="135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BTC</w:t>
            </w:r>
          </w:p>
        </w:tc>
        <w:tc>
          <w:tcPr>
            <w:tcW w:type="dxa" w:w="135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Passive mix</w:t>
            </w:r>
          </w:p>
        </w:tc>
      </w:tr>
      <w:tr>
        <w:tc>
          <w:tcPr>
            <w:tcW w:type="dxa" w:w="9026"/>
            <w:gridSpan w:val="6"/>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RETURN</w:t>
            </w:r>
          </w:p>
        </w:tc>
      </w:tr>
      <w:tr>
        <w:trPr>
          <w:cantSplit/>
          <w:tblHeader w:val="off"/>
        </w:trPr>
        <w:tc>
          <w:tcPr>
            <w:tcW w:type="dxa" w:w="226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Net P&amp;L</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+$7,084</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+$1,972</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+$414</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+$4,699</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−$3,311</w:t>
            </w:r>
          </w:p>
        </w:tc>
      </w:tr>
      <w:tr>
        <w:trPr>
          <w:cantSplit/>
          <w:tblHeader w:val="off"/>
        </w:trPr>
        <w:tc>
          <w:tcPr>
            <w:tcW w:type="dxa" w:w="226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Total return</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+1.42%</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+1.17%</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+0.83%</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+1.83%</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−0.66%</w:t>
            </w:r>
          </w:p>
        </w:tc>
      </w:tr>
      <w:tr>
        <w:trPr>
          <w:cantSplit/>
          <w:tblHeader w:val="off"/>
        </w:trPr>
        <w:tc>
          <w:tcPr>
            <w:tcW w:type="dxa" w:w="226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Annual return*</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+29.3%</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+23.6%</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+16.2%</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+39.3%</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−11.4%</w:t>
            </w:r>
          </w:p>
        </w:tc>
      </w:tr>
      <w:tr>
        <w:tc>
          <w:tcPr>
            <w:tcW w:type="dxa" w:w="9026"/>
            <w:gridSpan w:val="6"/>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RISK</w:t>
            </w:r>
          </w:p>
        </w:tc>
      </w:tr>
      <w:tr>
        <w:trPr>
          <w:cantSplit/>
          <w:tblHeader w:val="off"/>
        </w:trPr>
        <w:tc>
          <w:tcPr>
            <w:tcW w:type="dxa" w:w="226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Annual volatility</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4.7%</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6.9%</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8.4%</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6.4%</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15.4%</w:t>
            </w:r>
          </w:p>
        </w:tc>
      </w:tr>
      <w:tr>
        <w:trPr>
          <w:cantSplit/>
          <w:tblHeader w:val="off"/>
        </w:trPr>
        <w:tc>
          <w:tcPr>
            <w:tcW w:type="dxa" w:w="226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Max drawdown</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−0.43%</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−1.11%</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−2.10%</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−0.87%</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−5.04%</w:t>
            </w:r>
          </w:p>
        </w:tc>
      </w:tr>
      <w:tr>
        <w:tc>
          <w:tcPr>
            <w:tcW w:type="dxa" w:w="9026"/>
            <w:gridSpan w:val="6"/>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RISK-ADJUSTED</w:t>
            </w:r>
          </w:p>
        </w:tc>
      </w:tr>
      <w:tr>
        <w:trPr>
          <w:cantSplit/>
          <w:tblHeader w:val="off"/>
        </w:trPr>
        <w:tc>
          <w:tcPr>
            <w:tcW w:type="dxa" w:w="226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Sharpe ratio*</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4.62</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2.50</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1.33</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4.54</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−0.99</w:t>
            </w:r>
          </w:p>
        </w:tc>
      </w:tr>
      <w:tr>
        <w:trPr>
          <w:cantSplit/>
          <w:tblHeader w:val="off"/>
        </w:trPr>
        <w:tc>
          <w:tcPr>
            <w:tcW w:type="dxa" w:w="226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Sortino ratio*</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15.6</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5.94</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2.20</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28.0</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−1.23</w:t>
            </w:r>
          </w:p>
        </w:tc>
      </w:tr>
      <w:tr>
        <w:trPr>
          <w:cantSplit/>
          <w:tblHeader w:val="off"/>
        </w:trPr>
        <w:tc>
          <w:tcPr>
            <w:tcW w:type="dxa" w:w="226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Calmar ratio*</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67.5</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21.2</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7.73</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45.1</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−2.27</w:t>
            </w:r>
          </w:p>
        </w:tc>
      </w:tr>
      <w:tr>
        <w:tc>
          <w:tcPr>
            <w:tcW w:type="dxa" w:w="9026"/>
            <w:gridSpan w:val="6"/>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TRADING</w:t>
            </w:r>
          </w:p>
        </w:tc>
      </w:tr>
      <w:tr>
        <w:trPr>
          <w:cantSplit/>
          <w:tblHeader w:val="off"/>
        </w:trPr>
        <w:tc>
          <w:tcPr>
            <w:tcW w:type="dxa" w:w="226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Completed trades</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24</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3</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19</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w:t>
            </w:r>
          </w:p>
        </w:tc>
      </w:tr>
      <w:tr>
        <w:trPr>
          <w:cantSplit/>
          <w:tblHeader w:val="off"/>
        </w:trPr>
        <w:tc>
          <w:tcPr>
            <w:tcW w:type="dxa" w:w="226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Win rate</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42%</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50%</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33%</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42%</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w:t>
            </w:r>
          </w:p>
        </w:tc>
      </w:tr>
      <w:tr>
        <w:trPr>
          <w:cantSplit/>
          <w:tblHeader w:val="off"/>
        </w:trPr>
        <w:tc>
          <w:tcPr>
            <w:tcW w:type="dxa" w:w="226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Profit factor</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4.29</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5.90</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2.41</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4.22</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w:t>
            </w:r>
          </w:p>
        </w:tc>
      </w:tr>
      <w:tr>
        <w:trPr>
          <w:cantSplit/>
          <w:tblHeader w:val="off"/>
        </w:trPr>
        <w:tc>
          <w:tcPr>
            <w:tcW w:type="dxa" w:w="226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Avg holding (hours)</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26.8</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118</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97.3</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6.0</w:t>
            </w:r>
          </w:p>
        </w:tc>
        <w:tc>
          <w:tcPr>
            <w:tcW w:type="dxa" w:w="135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w:t>
            </w:r>
          </w:p>
        </w:tc>
      </w:tr>
      <w:tr>
        <w:trPr>
          <w:cantSplit/>
          <w:tblHeader w:val="off"/>
        </w:trPr>
        <w:tc>
          <w:tcPr>
            <w:tcW w:type="dxa" w:w="226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Transaction costs</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$2,794</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$8</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$243</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$2,543</w:t>
            </w:r>
          </w:p>
        </w:tc>
        <w:tc>
          <w:tcPr>
            <w:tcW w:type="dxa" w:w="135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$0</w:t>
            </w:r>
          </w:p>
        </w:tc>
      </w:tr>
    </w:tbl>
    <w:p>
      <w:pPr>
        <w:spacing w:after="200" w:before="40"/>
      </w:pPr>
      <w:r>
        <w:rPr>
          <w:rFonts w:ascii="Calibri" w:cs="Calibri" w:eastAsia="Calibri" w:hAnsi="Calibri"/>
          <w:i/>
          <w:iCs/>
          <w:color w:val="5A5A5A"/>
          <w:sz w:val="16"/>
          <w:szCs w:val="16"/>
        </w:rPr>
        <w:t xml:space="preserve">* Annualised from 20 days, so indicative only. Sleeves measured on sleeve capital: SPY $168,887, STI $50,000, BTC $256,113.</w:t>
      </w:r>
    </w:p>
    <w:p>
      <w:pPr>
        <w:pStyle w:val="Heading2"/>
        <w:keepNext/>
        <w:spacing w:after="120" w:before="240"/>
      </w:pPr>
      <w:r>
        <w:rPr>
          <w:rFonts w:ascii="Calibri" w:cs="Calibri" w:eastAsia="Calibri" w:hAnsi="Calibri"/>
        </w:rPr>
        <w:t xml:space="preserve">4.2 Equity curve against benchmarks</w:t>
      </w:r>
    </w:p>
    <w:p>
      <w:pPr>
        <w:spacing w:after="120" w:line="276"/>
      </w:pPr>
      <w:r>
        <w:rPr>
          <w:rFonts w:ascii="Calibri" w:cs="Calibri" w:eastAsia="Calibri" w:hAnsi="Calibri"/>
          <w:color w:val="1F1F1F"/>
          <w:sz w:val="21"/>
          <w:szCs w:val="21"/>
        </w:rPr>
        <w:t xml:space="preserve">The portfolio built most of its gain in the first week and then held it, finishing at +1.42%. The passive mix peaked early, then slid with STI's 8 Oct gap-down and BTC's mid-month weakness to finish at −0.66%; an equal-weight buy-and-hold did worse still at −1.71%. The dotted line shows the portfolio before costs (+1.98%), so costs consumed about 0.56 pp of return.</w:t>
      </w:r>
    </w:p>
    <w:p>
      <w:pPr>
        <w:keepNext/>
        <w:spacing w:after="60" w:before="120"/>
        <w:jc w:val="center"/>
      </w:pPr>
      <w:r>
        <w:drawing>
          <wp:inline distT="0" distB="0" distL="0" distR="0">
            <wp:extent cx="5734050" cy="3829050"/>
            <wp:effectExtent t="0" r="0" b="0" l="0"/>
            <wp:docPr id="3" name="06b_equity_vs_benchmarks.png" descr="Portfolio (net and before costs) against buy-and-hold benchmarks, indexed to 100, with orders marked (top); drawdown from running peak, portfolio −0.43% vs same-weights benchmark −5.04% (bottom)." title="Portfolio (net and before costs) against buy-and-hold benchmarks, indexed to 100, with orders marked (top); drawdown from running peak, portfolio −0.43% vs same-weights benchmark −5.04%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82905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3. </w:t>
      </w:r>
      <w:r>
        <w:rPr>
          <w:rFonts w:ascii="Calibri" w:cs="Calibri" w:eastAsia="Calibri" w:hAnsi="Calibri"/>
          <w:i/>
          <w:iCs/>
          <w:color w:val="5A5A5A"/>
          <w:sz w:val="18"/>
          <w:szCs w:val="18"/>
        </w:rPr>
        <w:t xml:space="preserve">Portfolio (net and before costs) against buy-and-hold benchmarks, indexed to 100, with orders marked (top); drawdown from running peak, portfolio −0.43% vs same-weights benchmark −5.04% (bottom).</w:t>
      </w:r>
    </w:p>
    <w:p>
      <w:pPr>
        <w:pStyle w:val="Heading2"/>
        <w:keepNext/>
        <w:spacing w:after="120" w:before="240"/>
      </w:pPr>
      <w:r>
        <w:rPr>
          <w:rFonts w:ascii="Calibri" w:cs="Calibri" w:eastAsia="Calibri" w:hAnsi="Calibri"/>
        </w:rPr>
        <w:t xml:space="preserve">4.3 Strategy versus buy-and-hold</w:t>
      </w:r>
    </w:p>
    <w:p>
      <w:pPr>
        <w:spacing w:after="120" w:line="276"/>
      </w:pPr>
      <w:r>
        <w:rPr>
          <w:rFonts w:ascii="Calibri" w:cs="Calibri" w:eastAsia="Calibri" w:hAnsi="Calibri"/>
          <w:color w:val="1F1F1F"/>
          <w:sz w:val="21"/>
          <w:szCs w:val="21"/>
        </w:rPr>
        <w:t xml:space="preserve">On all three dimensions the strategy layer beats holding: higher return, lower volatility and shallower drawdowns, at both portfolio and sleeve level. The largest risk reductions are in STI (drawdown −2.10% vs −6.59%) and BTC (−0.87% vs −7.75%).</w:t>
      </w:r>
    </w:p>
    <w:p>
      <w:pPr>
        <w:keepNext/>
        <w:spacing w:after="60" w:before="120"/>
        <w:jc w:val="center"/>
      </w:pPr>
      <w:r>
        <w:drawing>
          <wp:inline distT="0" distB="0" distL="0" distR="0">
            <wp:extent cx="5734050" cy="2019300"/>
            <wp:effectExtent t="0" r="0" b="0" l="0"/>
            <wp:docPr id="4" name="09a_comparative_summary.png" descr="Total return, annualised volatility and maximum drawdown: strategy (solid) vs buy-and-hold (light) for the portfolio and each sleeve." title="Total return, annualised volatility and maximum drawdown: strategy (solid) vs buy-and-hold (light) for the portfolio and each sle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01930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4. </w:t>
      </w:r>
      <w:r>
        <w:rPr>
          <w:rFonts w:ascii="Calibri" w:cs="Calibri" w:eastAsia="Calibri" w:hAnsi="Calibri"/>
          <w:i/>
          <w:iCs/>
          <w:color w:val="5A5A5A"/>
          <w:sz w:val="18"/>
          <w:szCs w:val="18"/>
        </w:rPr>
        <w:t xml:space="preserve">Total return, annualised volatility and maximum drawdown: strategy (solid) vs buy-and-hold (light) for the portfolio and each sleeve.</w:t>
      </w:r>
    </w:p>
    <w:p>
      <w:pPr>
        <w:pStyle w:val="Heading2"/>
        <w:keepNext/>
        <w:spacing w:after="120" w:before="240"/>
      </w:pPr>
      <w:r>
        <w:rPr>
          <w:rFonts w:ascii="Calibri" w:cs="Calibri" w:eastAsia="Calibri" w:hAnsi="Calibri"/>
        </w:rPr>
        <w:t xml:space="preserve">4.4 Return distribution</w:t>
      </w:r>
    </w:p>
    <w:p>
      <w:pPr>
        <w:spacing w:after="120" w:line="276"/>
      </w:pPr>
      <w:r>
        <w:rPr>
          <w:rFonts w:ascii="Calibri" w:cs="Calibri" w:eastAsia="Calibri" w:hAnsi="Calibri"/>
          <w:color w:val="1F1F1F"/>
          <w:sz w:val="21"/>
          <w:szCs w:val="21"/>
        </w:rPr>
        <w:t xml:space="preserve">The window had 10 up days and 10 down days, but the up days were much larger. Non-zero 30-minute returns are strongly right-skewed (skew 4.87, excess kurtosis 40.2): the strategy spends most bars flat or near zero and earns in a few large moves, the typical profile of signal-driven trading that cuts losers and lets winners run.</w:t>
      </w:r>
    </w:p>
    <w:p>
      <w:pPr>
        <w:keepNext/>
        <w:spacing w:after="60" w:before="120"/>
        <w:jc w:val="center"/>
      </w:pPr>
      <w:r>
        <w:drawing>
          <wp:inline distT="0" distB="0" distL="0" distR="0">
            <wp:extent cx="5734050" cy="1914525"/>
            <wp:effectExtent t="0" r="0" b="0" l="0"/>
            <wp:docPr id="5" name="06c_daily_returns_distribution.png" descr="Daily portfolio returns with cumulative return (left) and histogram of non-zero 30-minute returns against a normal curve (right)." title="Daily portfolio returns with cumulative return (left) and histogram of non-zero 30-minute returns against a normal curv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1914525"/>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5. </w:t>
      </w:r>
      <w:r>
        <w:rPr>
          <w:rFonts w:ascii="Calibri" w:cs="Calibri" w:eastAsia="Calibri" w:hAnsi="Calibri"/>
          <w:i/>
          <w:iCs/>
          <w:color w:val="5A5A5A"/>
          <w:sz w:val="18"/>
          <w:szCs w:val="18"/>
        </w:rPr>
        <w:t xml:space="preserve">Daily portfolio returns with cumulative return (left) and histogram of non-zero 30-minute returns against a normal curve (right).</w:t>
      </w:r>
    </w:p>
    <w:p>
      <w:pPr>
        <w:pStyle w:val="Heading2"/>
        <w:keepNext/>
        <w:spacing w:after="120" w:before="240"/>
      </w:pPr>
      <w:r>
        <w:rPr>
          <w:rFonts w:ascii="Calibri" w:cs="Calibri" w:eastAsia="Calibri" w:hAnsi="Calibri"/>
        </w:rPr>
        <w:t xml:space="preserve">4.5 Exposure</w:t>
      </w:r>
    </w:p>
    <w:p>
      <w:pPr>
        <w:spacing w:after="120" w:line="276"/>
      </w:pPr>
      <w:r>
        <w:rPr>
          <w:rFonts w:ascii="Calibri" w:cs="Calibri" w:eastAsia="Calibri" w:hAnsi="Calibri"/>
          <w:color w:val="1F1F1F"/>
          <w:sz w:val="21"/>
          <w:szCs w:val="21"/>
        </w:rPr>
        <w:t xml:space="preserve">Protection came from being lightly invested and stepping aside, not from hedging. Average gross exposure was 38% and average cash 65%; some position was open 77% of the time. Exposure was highest from 3–13 Oct while SPY's momentum signal was on, then fell to near zero for the last week as SPY and STI went to cash and BTC traded only small fallback positions.</w:t>
      </w:r>
    </w:p>
    <w:p>
      <w:pPr>
        <w:keepNext/>
        <w:spacing w:after="60" w:before="120"/>
        <w:jc w:val="center"/>
      </w:pPr>
      <w:r>
        <w:drawing>
          <wp:inline distT="0" distB="0" distL="0" distR="0">
            <wp:extent cx="5734050" cy="3562350"/>
            <wp:effectExtent t="0" r="0" b="0" l="0"/>
            <wp:docPr id="6" name="06e_exposure.png" descr="Portfolio weight by asset, with BTC shorts below zero (top); gross exposure and cash weight (bottom)." title="Portfolio weight by asset, with BTC shorts below zero (top); gross exposure and cash weight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56235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6. </w:t>
      </w:r>
      <w:r>
        <w:rPr>
          <w:rFonts w:ascii="Calibri" w:cs="Calibri" w:eastAsia="Calibri" w:hAnsi="Calibri"/>
          <w:i/>
          <w:iCs/>
          <w:color w:val="5A5A5A"/>
          <w:sz w:val="18"/>
          <w:szCs w:val="18"/>
        </w:rPr>
        <w:t xml:space="preserve">Portfolio weight by asset, with BTC shorts below zero (top); gross exposure and cash weight (bottom).</w:t>
      </w:r>
    </w:p>
    <w:p>
      <w:pPr>
        <w:pStyle w:val="Heading2"/>
        <w:keepNext/>
        <w:spacing w:after="120" w:before="240"/>
      </w:pPr>
      <w:r>
        <w:rPr>
          <w:rFonts w:ascii="Calibri" w:cs="Calibri" w:eastAsia="Calibri" w:hAnsi="Calibri"/>
        </w:rPr>
        <w:t xml:space="preserve">4.6 How far to trust the ratios</w:t>
      </w:r>
    </w:p>
    <w:p>
      <w:pPr>
        <w:spacing w:after="120" w:line="276"/>
      </w:pPr>
      <w:r>
        <w:rPr>
          <w:rFonts w:ascii="Calibri" w:cs="Calibri" w:eastAsia="Calibri" w:hAnsi="Calibri"/>
          <w:color w:val="1F1F1F"/>
          <w:sz w:val="21"/>
          <w:szCs w:val="21"/>
        </w:rPr>
        <w:t xml:space="preserve">The window gives 960 thirty-minute observations for measuring risk, so volatility and drawdown are well measured. It gives only 20 daily returns for estimating mean return, so return-based ratios carry wide sampling error. The Sharpe ratio settled at 4.62 but its 95% band (Lo, 2002) still spans −3.9 to +13.1; a bootstrap of daily excess returns (20,000 resamples) puts the probability of a positive true Sharpe at about 87%.</w:t>
      </w:r>
    </w:p>
    <w:p>
      <w:pPr>
        <w:keepNext/>
        <w:spacing w:after="60" w:before="120"/>
        <w:jc w:val="center"/>
      </w:pPr>
      <w:r>
        <w:drawing>
          <wp:inline distT="0" distB="0" distL="0" distR="0">
            <wp:extent cx="5734050" cy="3562350"/>
            <wp:effectExtent t="0" r="0" b="0" l="0"/>
            <wp:docPr id="7" name="06d2_sharpe_band.png" descr="Annualised Sharpe ratio to date with its 95% confidence band (top); total return and maximum drawdown to date, which are exact rather than estimated (bottom)." title="Annualised Sharpe ratio to date with its 95% confidence band (top); total return and maximum drawdown to date, which are exact rather than estimated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356235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7. </w:t>
      </w:r>
      <w:r>
        <w:rPr>
          <w:rFonts w:ascii="Calibri" w:cs="Calibri" w:eastAsia="Calibri" w:hAnsi="Calibri"/>
          <w:i/>
          <w:iCs/>
          <w:color w:val="5A5A5A"/>
          <w:sz w:val="18"/>
          <w:szCs w:val="18"/>
        </w:rPr>
        <w:t xml:space="preserve">Annualised Sharpe ratio to date with its 95% confidence band (top); total return and maximum drawdown to date, which are exact rather than estimated (bottom).</w:t>
      </w:r>
    </w:p>
    <w:p>
      <w:pPr>
        <w:spacing w:after="120" w:line="276"/>
      </w:pPr>
      <w:r>
        <w:rPr>
          <w:rFonts w:ascii="Calibri" w:cs="Calibri" w:eastAsia="Calibri" w:hAnsi="Calibri"/>
          <w:color w:val="1F1F1F"/>
          <w:sz w:val="21"/>
          <w:szCs w:val="21"/>
        </w:rPr>
        <w:t xml:space="preserve">Return concentration is the main caveat. The best two days, 1 Oct (+0.74%) and 5 Oct (+0.72%), produced $7,318 between them. Removing them turns the window return to −0.05%; removing the best three gives −0.29%.</w:t>
      </w:r>
    </w:p>
    <w:p>
      <w:pPr>
        <w:keepNext/>
        <w:spacing w:after="60" w:before="120"/>
        <w:jc w:val="center"/>
      </w:pPr>
      <w:r>
        <w:drawing>
          <wp:inline distT="0" distB="0" distL="0" distR="0">
            <wp:extent cx="5734050" cy="1905000"/>
            <wp:effectExtent t="0" r="0" b="0" l="0"/>
            <wp:docPr id="8" name="06d3_return_concentration.png" descr="Daily returns sorted best to worst with their running total (left); window return after excluding the best one, two and three days (right)." title="Daily returns sorted best to worst with their running total (left); window return after excluding the best one, two and three day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190500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8. </w:t>
      </w:r>
      <w:r>
        <w:rPr>
          <w:rFonts w:ascii="Calibri" w:cs="Calibri" w:eastAsia="Calibri" w:hAnsi="Calibri"/>
          <w:i/>
          <w:iCs/>
          <w:color w:val="5A5A5A"/>
          <w:sz w:val="18"/>
          <w:szCs w:val="18"/>
        </w:rPr>
        <w:t xml:space="preserve">Daily returns sorted best to worst with their running total (left); window return after excluding the best one, two and three days (right).</w:t>
      </w:r>
    </w:p>
    <w:p>
      <w:pPr>
        <w:pStyle w:val="Heading1"/>
        <w:pageBreakBefore/>
        <w:spacing w:after="160" w:before="0"/>
      </w:pPr>
      <w:r>
        <w:rPr>
          <w:rFonts w:ascii="Calibri" w:cs="Calibri" w:eastAsia="Calibri" w:hAnsi="Calibri"/>
        </w:rPr>
        <w:t xml:space="preserve">5. Per-asset (sleeve) performance</w:t>
      </w:r>
    </w:p>
    <w:p>
      <w:pPr>
        <w:pStyle w:val="Heading2"/>
        <w:keepNext/>
        <w:spacing w:after="120" w:before="240"/>
      </w:pPr>
      <w:r>
        <w:rPr>
          <w:rFonts w:ascii="Calibri" w:cs="Calibri" w:eastAsia="Calibri" w:hAnsi="Calibri"/>
        </w:rPr>
        <w:t xml:space="preserve">5.1 Contribution to P&amp;L</w:t>
      </w:r>
    </w:p>
    <w:p>
      <w:pPr>
        <w:spacing w:after="120" w:line="276"/>
      </w:pPr>
      <w:r>
        <w:rPr>
          <w:rFonts w:ascii="Calibri" w:cs="Calibri" w:eastAsia="Calibri" w:hAnsi="Calibri"/>
          <w:color w:val="1F1F1F"/>
          <w:sz w:val="21"/>
          <w:szCs w:val="21"/>
        </w:rPr>
        <w:t xml:space="preserve">Gross of costs, BTC made $7,242, SPY $1,980 and STI $657. After $2,794 of costs the sleeves contributed $4,699 (BTC), $1,972 (SPY) and $414 (STI), which sum exactly to the $7,084 portfolio result. BTC contributed +0.94% of portfolio return, SPY +0.39% and STI +0.08%.</w:t>
      </w:r>
    </w:p>
    <w:p>
      <w:pPr>
        <w:keepNext/>
        <w:spacing w:after="60" w:before="120"/>
        <w:jc w:val="center"/>
      </w:pPr>
      <w:r>
        <w:drawing>
          <wp:inline distT="0" distB="0" distL="0" distR="0">
            <wp:extent cx="5734050" cy="2162175"/>
            <wp:effectExtent t="0" r="0" b="0" l="0"/>
            <wp:docPr id="9" name="07a_attribution.png" descr="Cumulative mark-to-market P&amp;L by sleeve after costs (left) and P&amp;L waterfall from gross sleeve P&amp;L to net (right)." title="Cumulative mark-to-market P&amp;L by sleeve after costs (left) and P&amp;L waterfall from gross sleeve P&amp;L to ne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2162175"/>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9. </w:t>
      </w:r>
      <w:r>
        <w:rPr>
          <w:rFonts w:ascii="Calibri" w:cs="Calibri" w:eastAsia="Calibri" w:hAnsi="Calibri"/>
          <w:i/>
          <w:iCs/>
          <w:color w:val="5A5A5A"/>
          <w:sz w:val="18"/>
          <w:szCs w:val="18"/>
        </w:rPr>
        <w:t xml:space="preserve">Cumulative mark-to-market P&amp;L by sleeve after costs (left) and P&amp;L waterfall from gross sleeve P&amp;L to net (right).</w:t>
      </w:r>
    </w:p>
    <w:p>
      <w:pPr>
        <w:keepNext/>
        <w:spacing w:after="60" w:before="120"/>
        <w:jc w:val="center"/>
      </w:pPr>
      <w:r>
        <w:drawing>
          <wp:inline distT="0" distB="0" distL="0" distR="0">
            <wp:extent cx="5734050" cy="2266950"/>
            <wp:effectExtent t="0" r="0" b="0" l="0"/>
            <wp:docPr id="10" name="07b_daily_attribution.png" descr="Daily P&amp;L attribution by sleeve (UTC days), with net portfolio P&amp;L marked. BTC drove 1 Oct; SPY and BTC drove 5 Oct; STI's rebound drove 16 Oct." title="Daily P&amp;L attribution by sleeve (UTC days), with net portfolio P&amp;L marked. BTC drove 1 Oct; SPY and BTC drove 5 Oct; STI's rebound drove 16 O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226695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10. </w:t>
      </w:r>
      <w:r>
        <w:rPr>
          <w:rFonts w:ascii="Calibri" w:cs="Calibri" w:eastAsia="Calibri" w:hAnsi="Calibri"/>
          <w:i/>
          <w:iCs/>
          <w:color w:val="5A5A5A"/>
          <w:sz w:val="18"/>
          <w:szCs w:val="18"/>
        </w:rPr>
        <w:t xml:space="preserve">Daily P&amp;L attribution by sleeve (UTC days), with net portfolio P&amp;L marked. BTC drove 1 Oct; SPY and BTC drove 5 Oct; STI's rebound drove 16 Oct.</w:t>
      </w:r>
    </w:p>
    <w:p>
      <w:pPr>
        <w:pStyle w:val="Heading2"/>
        <w:keepNext/>
        <w:spacing w:after="120" w:before="240"/>
      </w:pPr>
      <w:r>
        <w:rPr>
          <w:rFonts w:ascii="Calibri" w:cs="Calibri" w:eastAsia="Calibri" w:hAnsi="Calibri"/>
        </w:rPr>
        <w:t xml:space="preserve">5.2 Per-asset scorecard</w:t>
      </w:r>
    </w:p>
    <w:p>
      <w:pPr>
        <w:keepNext/>
        <w:spacing w:after="60" w:before="160"/>
      </w:pPr>
      <w:r>
        <w:rPr>
          <w:rFonts w:ascii="Calibri" w:cs="Calibri" w:eastAsia="Calibri" w:hAnsi="Calibri"/>
          <w:b/>
          <w:bCs/>
          <w:color w:val="5A5A5A"/>
          <w:sz w:val="18"/>
          <w:szCs w:val="18"/>
        </w:rPr>
        <w:t xml:space="preserve">Table 4. </w:t>
      </w:r>
      <w:r>
        <w:rPr>
          <w:rFonts w:ascii="Calibri" w:cs="Calibri" w:eastAsia="Calibri" w:hAnsi="Calibri"/>
          <w:i/>
          <w:iCs/>
          <w:color w:val="5A5A5A"/>
          <w:sz w:val="18"/>
          <w:szCs w:val="18"/>
        </w:rPr>
        <w:t xml:space="preserve">Per-asset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1"/>
        <w:gridCol w:w="1985"/>
        <w:gridCol w:w="1985"/>
        <w:gridCol w:w="1985"/>
      </w:tblGrid>
      <w:tr>
        <w:trPr>
          <w:cantSplit/>
          <w:tblHeader/>
        </w:trPr>
        <w:tc>
          <w:tcPr>
            <w:tcW w:type="dxa" w:w="3071"/>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Metric</w:t>
            </w:r>
          </w:p>
        </w:tc>
        <w:tc>
          <w:tcPr>
            <w:tcW w:type="dxa" w:w="1985"/>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SPY · Momentum</w:t>
            </w:r>
          </w:p>
        </w:tc>
        <w:tc>
          <w:tcPr>
            <w:tcW w:type="dxa" w:w="1985"/>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STI · Mean reversion</w:t>
            </w:r>
          </w:p>
        </w:tc>
        <w:tc>
          <w:tcPr>
            <w:tcW w:type="dxa" w:w="1985"/>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BTC · ML voting</w:t>
            </w:r>
          </w:p>
        </w:tc>
      </w:tr>
      <w:tr>
        <w:tc>
          <w:tcPr>
            <w:tcW w:type="dxa" w:w="9026"/>
            <w:gridSpan w:val="4"/>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PROFIT AND CAPITAL</w:t>
            </w:r>
          </w:p>
        </w:tc>
      </w:tr>
      <w:tr>
        <w:trPr>
          <w:cantSplit/>
          <w:tblHeader w:val="off"/>
        </w:trPr>
        <w:tc>
          <w:tcPr>
            <w:tcW w:type="dxa" w:w="307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Net P&amp;L (USD)</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+$1,972</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+$414</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+$4,699</w:t>
            </w:r>
          </w:p>
        </w:tc>
      </w:tr>
      <w:tr>
        <w:trPr>
          <w:cantSplit/>
          <w:tblHeader w:val="off"/>
        </w:trPr>
        <w:tc>
          <w:tcPr>
            <w:tcW w:type="dxa" w:w="307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Gross P&amp;L before costs (USD)</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+$1,980</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+$657</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+$7,242</w:t>
            </w:r>
          </w:p>
        </w:tc>
      </w:tr>
      <w:tr>
        <w:trPr>
          <w:cantSplit/>
          <w:tblHeader w:val="off"/>
        </w:trPr>
        <w:tc>
          <w:tcPr>
            <w:tcW w:type="dxa" w:w="307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Transaction costs (USD)</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$8</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$243</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$2,543</w:t>
            </w:r>
          </w:p>
        </w:tc>
      </w:tr>
      <w:tr>
        <w:trPr>
          <w:cantSplit/>
          <w:tblHeader w:val="off"/>
        </w:trPr>
        <w:tc>
          <w:tcPr>
            <w:tcW w:type="dxa" w:w="307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Sleeve capital (USD)</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$168,887</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$50,000</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$256,113</w:t>
            </w:r>
          </w:p>
        </w:tc>
      </w:tr>
      <w:tr>
        <w:trPr>
          <w:cantSplit/>
          <w:tblHeader w:val="off"/>
        </w:trPr>
        <w:tc>
          <w:tcPr>
            <w:tcW w:type="dxa" w:w="307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Contribution to portfolio return</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+0.39%</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+0.08%</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+0.94%</w:t>
            </w:r>
          </w:p>
        </w:tc>
      </w:tr>
      <w:tr>
        <w:trPr>
          <w:cantSplit/>
          <w:tblHeader w:val="off"/>
        </w:trPr>
        <w:tc>
          <w:tcPr>
            <w:tcW w:type="dxa" w:w="307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Share of P&amp;L / share of risk</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28% / 30%</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 / 5%</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66% / 65%</w:t>
            </w:r>
          </w:p>
        </w:tc>
      </w:tr>
      <w:tr>
        <w:tc>
          <w:tcPr>
            <w:tcW w:type="dxa" w:w="9026"/>
            <w:gridSpan w:val="4"/>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STRATEGY VS BUY &amp; HOLD</w:t>
            </w:r>
          </w:p>
        </w:tc>
      </w:tr>
      <w:tr>
        <w:trPr>
          <w:cantSplit/>
          <w:tblHeader w:val="off"/>
        </w:trPr>
        <w:tc>
          <w:tcPr>
            <w:tcW w:type="dxa" w:w="307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Return on sleeve</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+1.17%</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+0.83%</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+1.83%</w:t>
            </w:r>
          </w:p>
        </w:tc>
      </w:tr>
      <w:tr>
        <w:trPr>
          <w:cantSplit/>
          <w:tblHeader w:val="off"/>
        </w:trPr>
        <w:tc>
          <w:tcPr>
            <w:tcW w:type="dxa" w:w="307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Buy &amp; hold return</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+0.61%</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−5.03%</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−0.71%</w:t>
            </w:r>
          </w:p>
        </w:tc>
      </w:tr>
      <w:tr>
        <w:trPr>
          <w:cantSplit/>
          <w:tblHeader w:val="off"/>
        </w:trPr>
        <w:tc>
          <w:tcPr>
            <w:tcW w:type="dxa" w:w="307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Excess vs buy &amp; hold</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+0.56 pp</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+5.86 pp</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8"/>
                <w:szCs w:val="18"/>
              </w:rPr>
              <w:t xml:space="preserve">+2.55 pp</w:t>
            </w:r>
          </w:p>
        </w:tc>
      </w:tr>
      <w:tr>
        <w:tc>
          <w:tcPr>
            <w:tcW w:type="dxa" w:w="9026"/>
            <w:gridSpan w:val="4"/>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RISK</w:t>
            </w:r>
          </w:p>
        </w:tc>
      </w:tr>
      <w:tr>
        <w:trPr>
          <w:cantSplit/>
          <w:tblHeader w:val="off"/>
        </w:trPr>
        <w:tc>
          <w:tcPr>
            <w:tcW w:type="dxa" w:w="307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Annual volatility (sleeve)</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6.89%</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8.43%</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6.45%</w:t>
            </w:r>
          </w:p>
        </w:tc>
      </w:tr>
      <w:tr>
        <w:trPr>
          <w:cantSplit/>
          <w:tblHeader w:val="off"/>
        </w:trPr>
        <w:tc>
          <w:tcPr>
            <w:tcW w:type="dxa" w:w="307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Max drawdown (sleeve)</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−1.11%</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−2.10%</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8"/>
                <w:szCs w:val="18"/>
              </w:rPr>
              <w:t xml:space="preserve">−0.87%</w:t>
            </w:r>
          </w:p>
        </w:tc>
      </w:tr>
      <w:tr>
        <w:trPr>
          <w:cantSplit/>
          <w:tblHeader w:val="off"/>
        </w:trPr>
        <w:tc>
          <w:tcPr>
            <w:tcW w:type="dxa" w:w="307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Sharpe / Sortino*</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2.50 / 5.94</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1.33 / 2.20</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4.54 / 28.0</w:t>
            </w:r>
          </w:p>
        </w:tc>
      </w:tr>
      <w:tr>
        <w:trPr>
          <w:cantSplit/>
          <w:tblHeader w:val="off"/>
        </w:trPr>
        <w:tc>
          <w:tcPr>
            <w:tcW w:type="dxa" w:w="307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Longest drawdown (days)</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14.3</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14.8</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15.3</w:t>
            </w:r>
          </w:p>
        </w:tc>
      </w:tr>
      <w:tr>
        <w:tc>
          <w:tcPr>
            <w:tcW w:type="dxa" w:w="9026"/>
            <w:gridSpan w:val="4"/>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TRADING ACTIVITY</w:t>
            </w:r>
          </w:p>
        </w:tc>
      </w:tr>
      <w:tr>
        <w:trPr>
          <w:cantSplit/>
          <w:tblHeader w:val="off"/>
        </w:trPr>
        <w:tc>
          <w:tcPr>
            <w:tcW w:type="dxa" w:w="307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Time in market</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49%</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61%</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25%</w:t>
            </w:r>
          </w:p>
        </w:tc>
      </w:tr>
      <w:tr>
        <w:trPr>
          <w:cantSplit/>
          <w:tblHeader w:val="off"/>
        </w:trPr>
        <w:tc>
          <w:tcPr>
            <w:tcW w:type="dxa" w:w="307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Orders / round trips</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8 / 2</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 / 3</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43 / 19</w:t>
            </w:r>
          </w:p>
        </w:tc>
      </w:tr>
      <w:tr>
        <w:trPr>
          <w:cantSplit/>
          <w:tblHeader w:val="off"/>
        </w:trPr>
        <w:tc>
          <w:tcPr>
            <w:tcW w:type="dxa" w:w="307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Win rate</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50%</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33%</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42%</w:t>
            </w:r>
          </w:p>
        </w:tc>
      </w:tr>
      <w:tr>
        <w:trPr>
          <w:cantSplit/>
          <w:tblHeader w:val="off"/>
        </w:trPr>
        <w:tc>
          <w:tcPr>
            <w:tcW w:type="dxa" w:w="307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Profit factor</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5.90</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2.41</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4.22</w:t>
            </w:r>
          </w:p>
        </w:tc>
      </w:tr>
      <w:tr>
        <w:trPr>
          <w:cantSplit/>
          <w:tblHeader w:val="off"/>
        </w:trPr>
        <w:tc>
          <w:tcPr>
            <w:tcW w:type="dxa" w:w="307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Avg holding (hours)</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118.0</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97.3</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6.0</w:t>
            </w:r>
          </w:p>
        </w:tc>
      </w:tr>
      <w:tr>
        <w:trPr>
          <w:cantSplit/>
          <w:tblHeader w:val="off"/>
        </w:trPr>
        <w:tc>
          <w:tcPr>
            <w:tcW w:type="dxa" w:w="3071"/>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Profit per trade (USD)</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$986</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$138</w:t>
            </w:r>
          </w:p>
        </w:tc>
        <w:tc>
          <w:tcPr>
            <w:tcW w:type="dxa" w:w="198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$242</w:t>
            </w:r>
          </w:p>
        </w:tc>
      </w:tr>
      <w:tr>
        <w:trPr>
          <w:cantSplit/>
          <w:tblHeader w:val="off"/>
        </w:trPr>
        <w:tc>
          <w:tcPr>
            <w:tcW w:type="dxa" w:w="3071"/>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Cost (bps of traded notional)</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0.05</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8.0</w:t>
            </w:r>
          </w:p>
        </w:tc>
        <w:tc>
          <w:tcPr>
            <w:tcW w:type="dxa" w:w="198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8"/>
                <w:szCs w:val="18"/>
              </w:rPr>
              <w:t xml:space="preserve">10.0</w:t>
            </w:r>
          </w:p>
        </w:tc>
      </w:tr>
    </w:tbl>
    <w:p>
      <w:pPr>
        <w:spacing w:after="200" w:before="40"/>
      </w:pPr>
      <w:r>
        <w:rPr>
          <w:rFonts w:ascii="Calibri" w:cs="Calibri" w:eastAsia="Calibri" w:hAnsi="Calibri"/>
          <w:i/>
          <w:iCs/>
          <w:color w:val="5A5A5A"/>
          <w:sz w:val="16"/>
          <w:szCs w:val="16"/>
        </w:rPr>
        <w:t xml:space="preserve">* Annualised from 20 days. Sleeve capital = 1 Oct risk weight × $500,000. Risk share = covariance contribution of 30-minute sleeve P&amp;L to portfolio variance.</w:t>
      </w:r>
    </w:p>
    <w:p>
      <w:pPr>
        <w:keepNext/>
        <w:spacing w:after="60" w:before="120"/>
        <w:jc w:val="center"/>
      </w:pPr>
      <w:r>
        <w:drawing>
          <wp:inline distT="0" distB="0" distL="0" distR="0">
            <wp:extent cx="5734050" cy="1885950"/>
            <wp:effectExtent t="0" r="0" b="0" l="0"/>
            <wp:docPr id="11" name="07c_sleeve_vs_bh.png" descr="Return on sleeve capital: strategy (solid) vs buy-and-hold of the same capital (dashed), after costs." title="Return on sleeve capital: strategy (solid) vs buy-and-hold of the same capital (dashed), after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34050" cy="188595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11. </w:t>
      </w:r>
      <w:r>
        <w:rPr>
          <w:rFonts w:ascii="Calibri" w:cs="Calibri" w:eastAsia="Calibri" w:hAnsi="Calibri"/>
          <w:i/>
          <w:iCs/>
          <w:color w:val="5A5A5A"/>
          <w:sz w:val="18"/>
          <w:szCs w:val="18"/>
        </w:rPr>
        <w:t xml:space="preserve">Return on sleeve capital: strategy (solid) vs buy-and-hold of the same capital (dashed), after costs.</w:t>
      </w:r>
    </w:p>
    <w:p>
      <w:pPr>
        <w:pStyle w:val="Heading2"/>
        <w:keepNext/>
        <w:spacing w:after="120" w:before="240"/>
      </w:pPr>
      <w:r>
        <w:rPr>
          <w:rFonts w:ascii="Calibri" w:cs="Calibri" w:eastAsia="Calibri" w:hAnsi="Calibri"/>
        </w:rPr>
        <w:t xml:space="preserve">5.3 SPY · Momentum</w:t>
      </w:r>
    </w:p>
    <w:p>
      <w:pPr>
        <w:spacing w:after="120" w:line="276"/>
      </w:pPr>
      <w:r>
        <w:rPr>
          <w:rFonts w:ascii="Calibri" w:cs="Calibri" w:eastAsia="Calibri" w:hAnsi="Calibri"/>
          <w:color w:val="1F1F1F"/>
          <w:sz w:val="21"/>
          <w:szCs w:val="21"/>
        </w:rPr>
        <w:t xml:space="preserve">The momentum filter went long on 2 Oct once the 8-bar return cleared +0.25%, rode the rise to 8 Oct (+$2,374), re-entered on 9 Oct and exited on 13 Oct (−$402) as the trailing return turned negative, before SPY's roughly 2% slide into 16 Oct. It then stayed in cash for the rest of the window. Costs were only $8 on $1.86m traded, so the result is almost entirely timing. Position size was adjusted four times by the portfolio's active-capital scaling.</w:t>
      </w:r>
    </w:p>
    <w:p>
      <w:pPr>
        <w:keepNext/>
        <w:spacing w:after="60" w:before="120"/>
        <w:jc w:val="center"/>
      </w:pPr>
      <w:r>
        <w:drawing>
          <wp:inline distT="0" distB="0" distL="0" distR="0">
            <wp:extent cx="5734050" cy="3562350"/>
            <wp:effectExtent t="0" r="0" b="0" l="0"/>
            <wp:docPr id="12" name="04a_spy_momentum.png" descr="SPY price with fast/slow EMAs, long periods shaded and executions marked (top); 8-bar trailing return at each 2-hour decision against the entry (+0.25%) and exit (0%) thresholds (bottom)." title="SPY price with fast/slow EMAs, long periods shaded and executions marked (top); 8-bar trailing return at each 2-hour decision against the entry (+0.25%) and exit (0%) threshold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356235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12. </w:t>
      </w:r>
      <w:r>
        <w:rPr>
          <w:rFonts w:ascii="Calibri" w:cs="Calibri" w:eastAsia="Calibri" w:hAnsi="Calibri"/>
          <w:i/>
          <w:iCs/>
          <w:color w:val="5A5A5A"/>
          <w:sz w:val="18"/>
          <w:szCs w:val="18"/>
        </w:rPr>
        <w:t xml:space="preserve">SPY price with fast/slow EMAs, long periods shaded and executions marked (top); 8-bar trailing return at each 2-hour decision against the entry (+0.25%) and exit (0%) thresholds (bottom).</w:t>
      </w:r>
    </w:p>
    <w:p>
      <w:pPr>
        <w:keepNext/>
        <w:spacing w:after="60" w:before="160"/>
      </w:pPr>
      <w:r>
        <w:rPr>
          <w:rFonts w:ascii="Calibri" w:cs="Calibri" w:eastAsia="Calibri" w:hAnsi="Calibri"/>
          <w:b/>
          <w:bCs/>
          <w:color w:val="5A5A5A"/>
          <w:sz w:val="18"/>
          <w:szCs w:val="18"/>
        </w:rPr>
        <w:t xml:space="preserve">Table 5. </w:t>
      </w:r>
      <w:r>
        <w:rPr>
          <w:rFonts w:ascii="Calibri" w:cs="Calibri" w:eastAsia="Calibri" w:hAnsi="Calibri"/>
          <w:i/>
          <w:iCs/>
          <w:color w:val="5A5A5A"/>
          <w:sz w:val="18"/>
          <w:szCs w:val="18"/>
        </w:rPr>
        <w:t xml:space="preserve">SPY completed trades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5"/>
        <w:gridCol w:w="3068"/>
        <w:gridCol w:w="1083"/>
        <w:gridCol w:w="1083"/>
        <w:gridCol w:w="1263"/>
        <w:gridCol w:w="1624"/>
      </w:tblGrid>
      <w:tr>
        <w:trPr>
          <w:cantSplit/>
          <w:tblHeader/>
        </w:trPr>
        <w:tc>
          <w:tcPr>
            <w:tcW w:type="dxa" w:w="905"/>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Trade</w:t>
            </w:r>
          </w:p>
        </w:tc>
        <w:tc>
          <w:tcPr>
            <w:tcW w:type="dxa" w:w="3068"/>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Entry → exit (UTC)</w:t>
            </w:r>
          </w:p>
        </w:tc>
        <w:tc>
          <w:tcPr>
            <w:tcW w:type="dxa" w:w="108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Held</w:t>
            </w:r>
          </w:p>
        </w:tc>
        <w:tc>
          <w:tcPr>
            <w:tcW w:type="dxa" w:w="108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Qty</w:t>
            </w:r>
          </w:p>
        </w:tc>
        <w:tc>
          <w:tcPr>
            <w:tcW w:type="dxa" w:w="126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Return</w:t>
            </w:r>
          </w:p>
        </w:tc>
        <w:tc>
          <w:tcPr>
            <w:tcW w:type="dxa" w:w="1624"/>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Net P&amp;L</w:t>
            </w:r>
          </w:p>
        </w:tc>
      </w:tr>
      <w:tr>
        <w:trPr>
          <w:cantSplit/>
          <w:tblHeader w:val="off"/>
        </w:trPr>
        <w:tc>
          <w:tcPr>
            <w:tcW w:type="dxa" w:w="9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Long</w:t>
            </w:r>
          </w:p>
        </w:tc>
        <w:tc>
          <w:tcPr>
            <w:tcW w:type="dxa" w:w="3068"/>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2 Oct 19:30 → 8 Oct 15:30</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5.8 d</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760</w:t>
            </w:r>
          </w:p>
        </w:tc>
        <w:tc>
          <w:tcPr>
            <w:tcW w:type="dxa" w:w="126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+0.40%</w:t>
            </w:r>
          </w:p>
        </w:tc>
        <w:tc>
          <w:tcPr>
            <w:tcW w:type="dxa" w:w="162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+$2,374</w:t>
            </w:r>
          </w:p>
        </w:tc>
      </w:tr>
      <w:tr>
        <w:trPr>
          <w:cantSplit/>
          <w:tblHeader w:val="off"/>
        </w:trPr>
        <w:tc>
          <w:tcPr>
            <w:tcW w:type="dxa" w:w="9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Long</w:t>
            </w:r>
          </w:p>
        </w:tc>
        <w:tc>
          <w:tcPr>
            <w:tcW w:type="dxa" w:w="3068"/>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9 Oct 15:30 → 13 Oct 15:30</w:t>
            </w:r>
          </w:p>
        </w:tc>
        <w:tc>
          <w:tcPr>
            <w:tcW w:type="dxa" w:w="108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4.0 d</w:t>
            </w:r>
          </w:p>
        </w:tc>
        <w:tc>
          <w:tcPr>
            <w:tcW w:type="dxa" w:w="108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440</w:t>
            </w:r>
          </w:p>
        </w:tc>
        <w:tc>
          <w:tcPr>
            <w:tcW w:type="dxa" w:w="126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−0.12%</w:t>
            </w:r>
          </w:p>
        </w:tc>
        <w:tc>
          <w:tcPr>
            <w:tcW w:type="dxa" w:w="162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−$402</w:t>
            </w:r>
          </w:p>
        </w:tc>
      </w:tr>
    </w:tbl>
    <w:p>
      <w:pPr>
        <w:pStyle w:val="Heading2"/>
        <w:keepNext/>
        <w:spacing w:after="120" w:before="240"/>
      </w:pPr>
      <w:r>
        <w:rPr>
          <w:rFonts w:ascii="Calibri" w:cs="Calibri" w:eastAsia="Calibri" w:hAnsi="Calibri"/>
        </w:rPr>
        <w:t xml:space="preserve">5.4 STI (ES3) · Mean reversion</w:t>
      </w:r>
    </w:p>
    <w:p>
      <w:pPr>
        <w:spacing w:after="120" w:line="276"/>
      </w:pPr>
      <w:r>
        <w:rPr>
          <w:rFonts w:ascii="Calibri" w:cs="Calibri" w:eastAsia="Calibri" w:hAnsi="Calibri"/>
          <w:color w:val="1F1F1F"/>
          <w:sz w:val="21"/>
          <w:szCs w:val="21"/>
        </w:rPr>
        <w:t xml:space="preserve">The rule bought three dips. The 1 Oct entry was flat after costs (−$21). The 8 Oct entry bought into STI's sharp gap-down, but the 10% cap kept the loss to $272. The 15 Oct entry caught a 1.6% one-day rebound and made $707, covering both losses. While the ETF fell 5.03%, the sleeve returned +0.83%, the largest excess return of any sleeve (+5.86 pp). Costs of $243 at 0.08% per fill took 37% of gross profit.</w:t>
      </w:r>
    </w:p>
    <w:p>
      <w:pPr>
        <w:keepNext/>
        <w:spacing w:after="60" w:before="120"/>
        <w:jc w:val="center"/>
      </w:pPr>
      <w:r>
        <w:drawing>
          <wp:inline distT="0" distB="0" distL="0" distR="0">
            <wp:extent cx="5734050" cy="3562350"/>
            <wp:effectExtent t="0" r="0" b="0" l="0"/>
            <wp:docPr id="13" name="04b_sti_mean_reversion.png" descr="ES3 price (USD) with the 16-bar mean and ±1.25σ band, long periods shaded and executions marked (top); rolling z-score at each 2-hour decision with entry (−1.25) and exit (+0.25) thresholds (bottom)." title="ES3 price (USD) with the 16-bar mean and ±1.25σ band, long periods shaded and executions marked (top); rolling z-score at each 2-hour decision with entry (−1.25) and exit (+0.25) threshold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356235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13. </w:t>
      </w:r>
      <w:r>
        <w:rPr>
          <w:rFonts w:ascii="Calibri" w:cs="Calibri" w:eastAsia="Calibri" w:hAnsi="Calibri"/>
          <w:i/>
          <w:iCs/>
          <w:color w:val="5A5A5A"/>
          <w:sz w:val="18"/>
          <w:szCs w:val="18"/>
        </w:rPr>
        <w:t xml:space="preserve">ES3 price (USD) with the 16-bar mean and ±1.25σ band, long periods shaded and executions marked (top); rolling z-score at each 2-hour decision with entry (−1.25) and exit (+0.25) thresholds (bottom).</w:t>
      </w:r>
    </w:p>
    <w:p>
      <w:pPr>
        <w:keepNext/>
        <w:spacing w:after="60" w:before="160"/>
      </w:pPr>
      <w:r>
        <w:rPr>
          <w:rFonts w:ascii="Calibri" w:cs="Calibri" w:eastAsia="Calibri" w:hAnsi="Calibri"/>
          <w:b/>
          <w:bCs/>
          <w:color w:val="5A5A5A"/>
          <w:sz w:val="18"/>
          <w:szCs w:val="18"/>
        </w:rPr>
        <w:t xml:space="preserve">Table 6. </w:t>
      </w:r>
      <w:r>
        <w:rPr>
          <w:rFonts w:ascii="Calibri" w:cs="Calibri" w:eastAsia="Calibri" w:hAnsi="Calibri"/>
          <w:i/>
          <w:iCs/>
          <w:color w:val="5A5A5A"/>
          <w:sz w:val="18"/>
          <w:szCs w:val="18"/>
        </w:rPr>
        <w:t xml:space="preserve">STI completed trades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5"/>
        <w:gridCol w:w="3068"/>
        <w:gridCol w:w="1083"/>
        <w:gridCol w:w="1083"/>
        <w:gridCol w:w="1263"/>
        <w:gridCol w:w="1624"/>
      </w:tblGrid>
      <w:tr>
        <w:trPr>
          <w:cantSplit/>
          <w:tblHeader/>
        </w:trPr>
        <w:tc>
          <w:tcPr>
            <w:tcW w:type="dxa" w:w="905"/>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Trade</w:t>
            </w:r>
          </w:p>
        </w:tc>
        <w:tc>
          <w:tcPr>
            <w:tcW w:type="dxa" w:w="3068"/>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Entry → exit (UTC)</w:t>
            </w:r>
          </w:p>
        </w:tc>
        <w:tc>
          <w:tcPr>
            <w:tcW w:type="dxa" w:w="108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Held</w:t>
            </w:r>
          </w:p>
        </w:tc>
        <w:tc>
          <w:tcPr>
            <w:tcW w:type="dxa" w:w="108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Qty</w:t>
            </w:r>
          </w:p>
        </w:tc>
        <w:tc>
          <w:tcPr>
            <w:tcW w:type="dxa" w:w="126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Return</w:t>
            </w:r>
          </w:p>
        </w:tc>
        <w:tc>
          <w:tcPr>
            <w:tcW w:type="dxa" w:w="1624"/>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Net P&amp;L</w:t>
            </w:r>
          </w:p>
        </w:tc>
      </w:tr>
      <w:tr>
        <w:trPr>
          <w:cantSplit/>
          <w:tblHeader w:val="off"/>
        </w:trPr>
        <w:tc>
          <w:tcPr>
            <w:tcW w:type="dxa" w:w="9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Long</w:t>
            </w:r>
          </w:p>
        </w:tc>
        <w:tc>
          <w:tcPr>
            <w:tcW w:type="dxa" w:w="3068"/>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 Oct 01:00 → 6 Oct 07:00</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5.3 d</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11,121</w:t>
            </w:r>
          </w:p>
        </w:tc>
        <w:tc>
          <w:tcPr>
            <w:tcW w:type="dxa" w:w="126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−0.04%</w:t>
            </w:r>
          </w:p>
        </w:tc>
        <w:tc>
          <w:tcPr>
            <w:tcW w:type="dxa" w:w="162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−$21</w:t>
            </w:r>
          </w:p>
        </w:tc>
      </w:tr>
      <w:tr>
        <w:trPr>
          <w:cantSplit/>
          <w:tblHeader w:val="off"/>
        </w:trPr>
        <w:tc>
          <w:tcPr>
            <w:tcW w:type="dxa" w:w="9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Long</w:t>
            </w:r>
          </w:p>
        </w:tc>
        <w:tc>
          <w:tcPr>
            <w:tcW w:type="dxa" w:w="3068"/>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8 Oct 03:00 → 14 Oct 01:00</w:t>
            </w:r>
          </w:p>
        </w:tc>
        <w:tc>
          <w:tcPr>
            <w:tcW w:type="dxa" w:w="108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5.9 d</w:t>
            </w:r>
          </w:p>
        </w:tc>
        <w:tc>
          <w:tcPr>
            <w:tcW w:type="dxa" w:w="108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11,773</w:t>
            </w:r>
          </w:p>
        </w:tc>
        <w:tc>
          <w:tcPr>
            <w:tcW w:type="dxa" w:w="126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−0.53%</w:t>
            </w:r>
          </w:p>
        </w:tc>
        <w:tc>
          <w:tcPr>
            <w:tcW w:type="dxa" w:w="162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−$272</w:t>
            </w:r>
          </w:p>
        </w:tc>
      </w:tr>
      <w:tr>
        <w:trPr>
          <w:cantSplit/>
          <w:tblHeader w:val="off"/>
        </w:trPr>
        <w:tc>
          <w:tcPr>
            <w:tcW w:type="dxa" w:w="9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Long</w:t>
            </w:r>
          </w:p>
        </w:tc>
        <w:tc>
          <w:tcPr>
            <w:tcW w:type="dxa" w:w="3068"/>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15 Oct 03:00 → 16 Oct 03:00</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1.0 d</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11,969</w:t>
            </w:r>
          </w:p>
        </w:tc>
        <w:tc>
          <w:tcPr>
            <w:tcW w:type="dxa" w:w="126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+1.39%</w:t>
            </w:r>
          </w:p>
        </w:tc>
        <w:tc>
          <w:tcPr>
            <w:tcW w:type="dxa" w:w="162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+$707</w:t>
            </w:r>
          </w:p>
        </w:tc>
      </w:tr>
    </w:tbl>
    <w:p>
      <w:pPr>
        <w:pStyle w:val="Heading2"/>
        <w:keepNext/>
        <w:spacing w:after="120" w:before="240"/>
      </w:pPr>
      <w:r>
        <w:rPr>
          <w:rFonts w:ascii="Calibri" w:cs="Calibri" w:eastAsia="Calibri" w:hAnsi="Calibri"/>
        </w:rPr>
        <w:t xml:space="preserve">5.5 BTC · ML voting</w:t>
      </w:r>
    </w:p>
    <w:p>
      <w:pPr>
        <w:spacing w:after="120" w:line="276"/>
      </w:pPr>
      <w:r>
        <w:rPr>
          <w:rFonts w:ascii="Calibri" w:cs="Calibri" w:eastAsia="Calibri" w:hAnsi="Calibri"/>
          <w:color w:val="1F1F1F"/>
          <w:sz w:val="21"/>
          <w:szCs w:val="21"/>
        </w:rPr>
        <w:t xml:space="preserve">BTC is the only sleeve that can short and the most active, with 19 round trips of 6 hours each. The ML volatility gauge (p_up + p_down) crossed 0.35 only a handful of times; when it did and the indicator vote agreed, the sleeve took a full position. Those two model-plus-vote trades, a long on 1 Oct (+$3,644) and a short on 5 Oct (+$1,205), made $4,849 net and both won.</w:t>
      </w:r>
    </w:p>
    <w:p>
      <w:pPr>
        <w:spacing w:after="120" w:line="276"/>
      </w:pPr>
      <w:r>
        <w:rPr>
          <w:rFonts w:ascii="Calibri" w:cs="Calibri" w:eastAsia="Calibri" w:hAnsi="Calibri"/>
          <w:color w:val="1F1F1F"/>
          <w:sz w:val="21"/>
          <w:szCs w:val="21"/>
        </w:rPr>
        <w:t xml:space="preserve">The other 17 trades came from the daily fallback rule, which opens a 10% position at 20:00 UTC in the direction of the vote when no full entry occurred that day. These won 35% of the time and lost $257 net after $1,246 of fees. The model has an edge in this sample; the fallback does not, and it generates nearly half of BTC's costs.</w:t>
      </w:r>
    </w:p>
    <w:p>
      <w:pPr>
        <w:keepNext/>
        <w:spacing w:after="60" w:before="120"/>
        <w:jc w:val="center"/>
      </w:pPr>
      <w:r>
        <w:drawing>
          <wp:inline distT="0" distB="0" distL="0" distR="0">
            <wp:extent cx="5734050" cy="5257800"/>
            <wp:effectExtent t="0" r="0" b="0" l="0"/>
            <wp:docPr id="14" name="04c_btc_ml_voting.png" descr="BTC price with long (green) and short (red) holding periods and executions; LightGBM probabilities and the 0.35 volatility gauge; weighted indicator vote score; and executed target as a fraction of the BTC sleeve." title="BTC price with long (green) and short (red) holding periods and executions; LightGBM probabilities and the 0.35 volatility gauge; weighted indicator vote score; and executed target as a fraction of the BTC sle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34050" cy="525780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14. </w:t>
      </w:r>
      <w:r>
        <w:rPr>
          <w:rFonts w:ascii="Calibri" w:cs="Calibri" w:eastAsia="Calibri" w:hAnsi="Calibri"/>
          <w:i/>
          <w:iCs/>
          <w:color w:val="5A5A5A"/>
          <w:sz w:val="18"/>
          <w:szCs w:val="18"/>
        </w:rPr>
        <w:t xml:space="preserve">BTC price with long (green) and short (red) holding periods and executions; LightGBM probabilities and the 0.35 volatility gauge; weighted indicator vote score; and executed target as a fraction of the BTC sleeve.</w:t>
      </w:r>
    </w:p>
    <w:p>
      <w:pPr>
        <w:keepNext/>
        <w:spacing w:after="60" w:before="120"/>
        <w:jc w:val="center"/>
      </w:pPr>
      <w:r>
        <w:drawing>
          <wp:inline distT="0" distB="0" distL="0" distR="0">
            <wp:extent cx="5734050" cy="2143125"/>
            <wp:effectExtent t="0" r="0" b="0" l="0"/>
            <wp:docPr id="15" name="08b_btc_signal_vs_fallback.png" descr="BTC completed trades by how they were opened: model + vote signal (2 trades, net $4,849, 100% win) vs daily fallback (17 trades, net −$257, 35% win)." title="BTC completed trades by how they were opened: model + vote signal (2 trades, net $4,849, 100% win) vs daily fallback (17 trades, net −$257, 35% 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34050" cy="2143125"/>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15. </w:t>
      </w:r>
      <w:r>
        <w:rPr>
          <w:rFonts w:ascii="Calibri" w:cs="Calibri" w:eastAsia="Calibri" w:hAnsi="Calibri"/>
          <w:i/>
          <w:iCs/>
          <w:color w:val="5A5A5A"/>
          <w:sz w:val="18"/>
          <w:szCs w:val="18"/>
        </w:rPr>
        <w:t xml:space="preserve">BTC completed trades by how they were opened: model + vote signal (2 trades, net $4,849, 100% win) vs daily fallback (17 trades, net −$257, 35% win).</w:t>
      </w:r>
    </w:p>
    <w:p>
      <w:pPr>
        <w:pStyle w:val="Heading2"/>
        <w:keepNext/>
        <w:spacing w:after="120" w:before="240"/>
      </w:pPr>
      <w:r>
        <w:rPr>
          <w:rFonts w:ascii="Calibri" w:cs="Calibri" w:eastAsia="Calibri" w:hAnsi="Calibri"/>
        </w:rPr>
        <w:t xml:space="preserve">5.6 Risk allocation and diversification</w:t>
      </w:r>
    </w:p>
    <w:p>
      <w:pPr>
        <w:spacing w:after="120" w:line="276"/>
      </w:pPr>
      <w:r>
        <w:rPr>
          <w:rFonts w:ascii="Calibri" w:cs="Calibri" w:eastAsia="Calibri" w:hAnsi="Calibri"/>
          <w:color w:val="1F1F1F"/>
          <w:sz w:val="21"/>
          <w:szCs w:val="21"/>
        </w:rPr>
        <w:t xml:space="preserve">SPY used 77% of average deployed capital but only 30% of risk, because its low-volatility exposure was large and long-lived. BTC used 7% of capital but 65% of risk, and earned 66% of the P&amp;L. Each sleeve's P&amp;L share is within two points of its risk share, so the sizing rule allocated risk efficiently.</w:t>
      </w:r>
    </w:p>
    <w:p>
      <w:pPr>
        <w:keepNext/>
        <w:spacing w:after="60" w:before="120"/>
        <w:jc w:val="center"/>
      </w:pPr>
      <w:r>
        <w:drawing>
          <wp:inline distT="0" distB="0" distL="0" distR="0">
            <wp:extent cx="5734050" cy="2362200"/>
            <wp:effectExtent t="0" r="0" b="0" l="0"/>
            <wp:docPr id="16" name="07d_capital_risk_pnl.png" descr="Share of average capital deployed, portfolio risk (variance contribution) and P&amp;L by sleeve." title="Share of average capital deployed, portfolio risk (variance contribution) and P&amp;L by sle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34050" cy="236220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16. </w:t>
      </w:r>
      <w:r>
        <w:rPr>
          <w:rFonts w:ascii="Calibri" w:cs="Calibri" w:eastAsia="Calibri" w:hAnsi="Calibri"/>
          <w:i/>
          <w:iCs/>
          <w:color w:val="5A5A5A"/>
          <w:sz w:val="18"/>
          <w:szCs w:val="18"/>
        </w:rPr>
        <w:t xml:space="preserve">Share of average capital deployed, portfolio risk (variance contribution) and P&amp;L by sleeve.</w:t>
      </w:r>
    </w:p>
    <w:p>
      <w:pPr>
        <w:spacing w:after="120" w:line="276"/>
      </w:pPr>
      <w:r>
        <w:rPr>
          <w:rFonts w:ascii="Calibri" w:cs="Calibri" w:eastAsia="Calibri" w:hAnsi="Calibri"/>
          <w:color w:val="1F1F1F"/>
          <w:sz w:val="21"/>
          <w:szCs w:val="21"/>
        </w:rPr>
        <w:t xml:space="preserve">All three strategy sleeves sit up and to the left of their buy-and-hold counterparts, and the portfolio sits furthest left of all (lowest volatility) with a positive return. Sleeve daily returns are positively but imperfectly correlated (STI–SPY 0.26, STI–BTC 0.28), so combining them lowered portfolio volatility below any single sleeve.</w:t>
      </w:r>
    </w:p>
    <w:p>
      <w:pPr>
        <w:keepNext/>
        <w:spacing w:after="60" w:before="120"/>
        <w:jc w:val="center"/>
      </w:pPr>
      <w:r>
        <w:drawing>
          <wp:inline distT="0" distB="0" distL="0" distR="0">
            <wp:extent cx="5734050" cy="2266950"/>
            <wp:effectExtent t="0" r="0" b="0" l="0"/>
            <wp:docPr id="17" name="07e_risk_return_corr.png" descr="Risk vs return of the portfolio, strategy sleeves (filled) and buy-and-hold (hollow) (left); daily-return correlation of the sleeves (right)." title="Risk vs return of the portfolio, strategy sleeves (filled) and buy-and-hold (hollow) (left); daily-return correlation of the sleev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34050" cy="2266950"/>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17. </w:t>
      </w:r>
      <w:r>
        <w:rPr>
          <w:rFonts w:ascii="Calibri" w:cs="Calibri" w:eastAsia="Calibri" w:hAnsi="Calibri"/>
          <w:i/>
          <w:iCs/>
          <w:color w:val="5A5A5A"/>
          <w:sz w:val="18"/>
          <w:szCs w:val="18"/>
        </w:rPr>
        <w:t xml:space="preserve">Risk vs return of the portfolio, strategy sleeves (filled) and buy-and-hold (hollow) (left); daily-return correlation of the sleeves (right).</w:t>
      </w:r>
    </w:p>
    <w:p>
      <w:pPr>
        <w:pStyle w:val="Heading1"/>
        <w:pageBreakBefore/>
        <w:spacing w:after="160" w:before="0"/>
      </w:pPr>
      <w:r>
        <w:rPr>
          <w:rFonts w:ascii="Calibri" w:cs="Calibri" w:eastAsia="Calibri" w:hAnsi="Calibri"/>
        </w:rPr>
        <w:t xml:space="preserve">6. Trades and transaction costs</w:t>
      </w:r>
    </w:p>
    <w:p>
      <w:pPr>
        <w:pStyle w:val="Heading2"/>
        <w:keepNext/>
        <w:spacing w:after="120" w:before="240"/>
      </w:pPr>
      <w:r>
        <w:rPr>
          <w:rFonts w:ascii="Calibri" w:cs="Calibri" w:eastAsia="Calibri" w:hAnsi="Calibri"/>
        </w:rPr>
        <w:t xml:space="preserve">6.1 Completed trades</w:t>
      </w:r>
    </w:p>
    <w:p>
      <w:pPr>
        <w:spacing w:after="120" w:line="276"/>
      </w:pPr>
      <w:r>
        <w:rPr>
          <w:rFonts w:ascii="Calibri" w:cs="Calibri" w:eastAsia="Calibri" w:hAnsi="Calibri"/>
          <w:color w:val="1F1F1F"/>
          <w:sz w:val="21"/>
          <w:szCs w:val="21"/>
        </w:rPr>
        <w:t xml:space="preserve">The portfolio completed 24 round trips with a 41.7% win rate and a profit factor of 4.29: winning trades made about 4.3 times what losing trades lost. Average profit per trade was $291 and average holding period 26.8 hours, a blend of multi-day SPY and STI holds and 6-hour BTC trades.</w:t>
      </w:r>
    </w:p>
    <w:p>
      <w:pPr>
        <w:keepNext/>
        <w:spacing w:after="60" w:before="160"/>
      </w:pPr>
      <w:r>
        <w:rPr>
          <w:rFonts w:ascii="Calibri" w:cs="Calibri" w:eastAsia="Calibri" w:hAnsi="Calibri"/>
          <w:b/>
          <w:bCs/>
          <w:color w:val="5A5A5A"/>
          <w:sz w:val="18"/>
          <w:szCs w:val="18"/>
        </w:rPr>
        <w:t xml:space="preserve">Table 7. </w:t>
      </w:r>
      <w:r>
        <w:rPr>
          <w:rFonts w:ascii="Calibri" w:cs="Calibri" w:eastAsia="Calibri" w:hAnsi="Calibri"/>
          <w:i/>
          <w:iCs/>
          <w:color w:val="5A5A5A"/>
          <w:sz w:val="18"/>
          <w:szCs w:val="18"/>
        </w:rPr>
        <w:t xml:space="preserve">Largest winning and losing trades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5"/>
        <w:gridCol w:w="902"/>
        <w:gridCol w:w="1805"/>
        <w:gridCol w:w="1083"/>
        <w:gridCol w:w="1444"/>
        <w:gridCol w:w="1263"/>
        <w:gridCol w:w="1624"/>
      </w:tblGrid>
      <w:tr>
        <w:trPr>
          <w:cantSplit/>
          <w:tblHeader/>
        </w:trPr>
        <w:tc>
          <w:tcPr>
            <w:tcW w:type="dxa" w:w="905"/>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Asset</w:t>
            </w:r>
          </w:p>
        </w:tc>
        <w:tc>
          <w:tcPr>
            <w:tcW w:type="dxa" w:w="902"/>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Side</w:t>
            </w:r>
          </w:p>
        </w:tc>
        <w:tc>
          <w:tcPr>
            <w:tcW w:type="dxa" w:w="1805"/>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Entry (UTC)</w:t>
            </w:r>
          </w:p>
        </w:tc>
        <w:tc>
          <w:tcPr>
            <w:tcW w:type="dxa" w:w="108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Held</w:t>
            </w:r>
          </w:p>
        </w:tc>
        <w:tc>
          <w:tcPr>
            <w:tcW w:type="dxa" w:w="1444"/>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Gross P&amp;L</w:t>
            </w:r>
          </w:p>
        </w:tc>
        <w:tc>
          <w:tcPr>
            <w:tcW w:type="dxa" w:w="126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Costs</w:t>
            </w:r>
          </w:p>
        </w:tc>
        <w:tc>
          <w:tcPr>
            <w:tcW w:type="dxa" w:w="1624"/>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Net P&amp;L</w:t>
            </w:r>
          </w:p>
        </w:tc>
      </w:tr>
      <w:tr>
        <w:trPr>
          <w:cantSplit/>
          <w:tblHeader w:val="off"/>
        </w:trPr>
        <w:tc>
          <w:tcPr>
            <w:tcW w:type="dxa" w:w="9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BTC</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Long</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 Oct 13:30</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6 h</w:t>
            </w:r>
          </w:p>
        </w:tc>
        <w:tc>
          <w:tcPr>
            <w:tcW w:type="dxa" w:w="144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+$4,399</w:t>
            </w:r>
          </w:p>
        </w:tc>
        <w:tc>
          <w:tcPr>
            <w:tcW w:type="dxa" w:w="126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$754</w:t>
            </w:r>
          </w:p>
        </w:tc>
        <w:tc>
          <w:tcPr>
            <w:tcW w:type="dxa" w:w="162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+$3,644</w:t>
            </w:r>
          </w:p>
        </w:tc>
      </w:tr>
      <w:tr>
        <w:trPr>
          <w:cantSplit/>
          <w:tblHeader w:val="off"/>
        </w:trPr>
        <w:tc>
          <w:tcPr>
            <w:tcW w:type="dxa" w:w="9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SPY</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Long</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2 Oct 19:30</w:t>
            </w:r>
          </w:p>
        </w:tc>
        <w:tc>
          <w:tcPr>
            <w:tcW w:type="dxa" w:w="108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5.8 d</w:t>
            </w:r>
          </w:p>
        </w:tc>
        <w:tc>
          <w:tcPr>
            <w:tcW w:type="dxa" w:w="144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+$2,379</w:t>
            </w:r>
          </w:p>
        </w:tc>
        <w:tc>
          <w:tcPr>
            <w:tcW w:type="dxa" w:w="126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w:t>
            </w:r>
          </w:p>
        </w:tc>
        <w:tc>
          <w:tcPr>
            <w:tcW w:type="dxa" w:w="162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+$2,374</w:t>
            </w:r>
          </w:p>
        </w:tc>
      </w:tr>
      <w:tr>
        <w:trPr>
          <w:cantSplit/>
          <w:tblHeader w:val="off"/>
        </w:trPr>
        <w:tc>
          <w:tcPr>
            <w:tcW w:type="dxa" w:w="9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BTC</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Short</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 Oct 14:30</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6 h</w:t>
            </w:r>
          </w:p>
        </w:tc>
        <w:tc>
          <w:tcPr>
            <w:tcW w:type="dxa" w:w="144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+$1,721</w:t>
            </w:r>
          </w:p>
        </w:tc>
        <w:tc>
          <w:tcPr>
            <w:tcW w:type="dxa" w:w="126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$516</w:t>
            </w:r>
          </w:p>
        </w:tc>
        <w:tc>
          <w:tcPr>
            <w:tcW w:type="dxa" w:w="162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+$1,205</w:t>
            </w:r>
          </w:p>
        </w:tc>
      </w:tr>
      <w:tr>
        <w:trPr>
          <w:cantSplit/>
          <w:tblHeader w:val="off"/>
        </w:trPr>
        <w:tc>
          <w:tcPr>
            <w:tcW w:type="dxa" w:w="9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STI</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Long</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15 Oct 03:00</w:t>
            </w:r>
          </w:p>
        </w:tc>
        <w:tc>
          <w:tcPr>
            <w:tcW w:type="dxa" w:w="108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1.0 d</w:t>
            </w:r>
          </w:p>
        </w:tc>
        <w:tc>
          <w:tcPr>
            <w:tcW w:type="dxa" w:w="144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+$789</w:t>
            </w:r>
          </w:p>
        </w:tc>
        <w:tc>
          <w:tcPr>
            <w:tcW w:type="dxa" w:w="126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$82</w:t>
            </w:r>
          </w:p>
        </w:tc>
        <w:tc>
          <w:tcPr>
            <w:tcW w:type="dxa" w:w="162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0E7A4F"/>
                <w:sz w:val="18"/>
                <w:szCs w:val="18"/>
              </w:rPr>
              <w:t xml:space="preserve">+$707</w:t>
            </w:r>
          </w:p>
        </w:tc>
      </w:tr>
      <w:tr>
        <w:trPr>
          <w:cantSplit/>
          <w:tblHeader w:val="off"/>
        </w:trPr>
        <w:tc>
          <w:tcPr>
            <w:tcW w:type="dxa" w:w="9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BTC</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Short</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18 Oct 20:00</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6 h</w:t>
            </w:r>
          </w:p>
        </w:tc>
        <w:tc>
          <w:tcPr>
            <w:tcW w:type="dxa" w:w="144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−$503</w:t>
            </w:r>
          </w:p>
        </w:tc>
        <w:tc>
          <w:tcPr>
            <w:tcW w:type="dxa" w:w="126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$52</w:t>
            </w:r>
          </w:p>
        </w:tc>
        <w:tc>
          <w:tcPr>
            <w:tcW w:type="dxa" w:w="162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−$555</w:t>
            </w:r>
          </w:p>
        </w:tc>
      </w:tr>
      <w:tr>
        <w:trPr>
          <w:cantSplit/>
          <w:tblHeader w:val="off"/>
        </w:trPr>
        <w:tc>
          <w:tcPr>
            <w:tcW w:type="dxa" w:w="9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SPY</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Long</w:t>
            </w:r>
          </w:p>
        </w:tc>
        <w:tc>
          <w:tcPr>
            <w:tcW w:type="dxa" w:w="1805"/>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9 Oct 15:30</w:t>
            </w:r>
          </w:p>
        </w:tc>
        <w:tc>
          <w:tcPr>
            <w:tcW w:type="dxa" w:w="108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4.0 d</w:t>
            </w:r>
          </w:p>
        </w:tc>
        <w:tc>
          <w:tcPr>
            <w:tcW w:type="dxa" w:w="144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−$399</w:t>
            </w:r>
          </w:p>
        </w:tc>
        <w:tc>
          <w:tcPr>
            <w:tcW w:type="dxa" w:w="126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$3</w:t>
            </w:r>
          </w:p>
        </w:tc>
        <w:tc>
          <w:tcPr>
            <w:tcW w:type="dxa" w:w="162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−$402</w:t>
            </w:r>
          </w:p>
        </w:tc>
      </w:tr>
      <w:tr>
        <w:trPr>
          <w:cantSplit/>
          <w:tblHeader w:val="off"/>
        </w:trPr>
        <w:tc>
          <w:tcPr>
            <w:tcW w:type="dxa" w:w="9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STI</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Long</w:t>
            </w:r>
          </w:p>
        </w:tc>
        <w:tc>
          <w:tcPr>
            <w:tcW w:type="dxa" w:w="1805"/>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8 Oct 03:00</w:t>
            </w:r>
          </w:p>
        </w:tc>
        <w:tc>
          <w:tcPr>
            <w:tcW w:type="dxa" w:w="108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5.9 d</w:t>
            </w:r>
          </w:p>
        </w:tc>
        <w:tc>
          <w:tcPr>
            <w:tcW w:type="dxa" w:w="144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−$191</w:t>
            </w:r>
          </w:p>
        </w:tc>
        <w:tc>
          <w:tcPr>
            <w:tcW w:type="dxa" w:w="126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$81</w:t>
            </w:r>
          </w:p>
        </w:tc>
        <w:tc>
          <w:tcPr>
            <w:tcW w:type="dxa" w:w="162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B3261E"/>
                <w:sz w:val="18"/>
                <w:szCs w:val="18"/>
              </w:rPr>
              <w:t xml:space="preserve">−$272</w:t>
            </w:r>
          </w:p>
        </w:tc>
      </w:tr>
    </w:tbl>
    <w:p>
      <w:pPr>
        <w:pStyle w:val="Heading2"/>
        <w:keepNext/>
        <w:spacing w:after="120" w:before="240"/>
      </w:pPr>
      <w:r>
        <w:rPr>
          <w:rFonts w:ascii="Calibri" w:cs="Calibri" w:eastAsia="Calibri" w:hAnsi="Calibri"/>
        </w:rPr>
        <w:t xml:space="preserve">6.2 Transaction costs</w:t>
      </w:r>
    </w:p>
    <w:p>
      <w:pPr>
        <w:spacing w:after="120" w:line="276"/>
      </w:pPr>
      <w:r>
        <w:rPr>
          <w:rFonts w:ascii="Calibri" w:cs="Calibri" w:eastAsia="Calibri" w:hAnsi="Calibri"/>
          <w:color w:val="1F1F1F"/>
          <w:sz w:val="21"/>
          <w:szCs w:val="21"/>
        </w:rPr>
        <w:t xml:space="preserve">Costs totalled $2,794, equal to 28% of gross P&amp;L, 0.56% of starting capital and 5.9 bps of the $4.70m traded notional. 91% of costs came from BTC: each trade is cheap at 10 bps, but 43 orders made them material. SPY's per-share commission cost only 0.05 bps on $1.86m traded. Fewer, more selective BTC trades, in particular dropping the fallback rule, would lift the net result most.</w:t>
      </w:r>
    </w:p>
    <w:p>
      <w:pPr>
        <w:keepNext/>
        <w:spacing w:after="60" w:before="120"/>
        <w:jc w:val="center"/>
      </w:pPr>
      <w:r>
        <w:drawing>
          <wp:inline distT="0" distB="0" distL="0" distR="0">
            <wp:extent cx="5734050" cy="1914525"/>
            <wp:effectExtent t="0" r="0" b="0" l="0"/>
            <wp:docPr id="18" name="08c_costs.png" descr="Cumulative transaction costs by sleeve (left) and cost per unit traded in bps of notional (right)." title="Cumulative transaction costs by sleeve (left) and cost per unit traded in bps of notional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34050" cy="1914525"/>
                    </a:xfrm>
                    <a:prstGeom prst="rect">
                      <a:avLst/>
                    </a:prstGeom>
                  </pic:spPr>
                </pic:pic>
              </a:graphicData>
            </a:graphic>
          </wp:inline>
        </w:drawing>
      </w:r>
    </w:p>
    <w:p>
      <w:pPr>
        <w:spacing w:after="200"/>
        <w:jc w:val="left"/>
      </w:pPr>
      <w:r>
        <w:rPr>
          <w:rFonts w:ascii="Calibri" w:cs="Calibri" w:eastAsia="Calibri" w:hAnsi="Calibri"/>
          <w:b/>
          <w:bCs/>
          <w:color w:val="5A5A5A"/>
          <w:sz w:val="18"/>
          <w:szCs w:val="18"/>
        </w:rPr>
        <w:t xml:space="preserve">Figure 18. </w:t>
      </w:r>
      <w:r>
        <w:rPr>
          <w:rFonts w:ascii="Calibri" w:cs="Calibri" w:eastAsia="Calibri" w:hAnsi="Calibri"/>
          <w:i/>
          <w:iCs/>
          <w:color w:val="5A5A5A"/>
          <w:sz w:val="18"/>
          <w:szCs w:val="18"/>
        </w:rPr>
        <w:t xml:space="preserve">Cumulative transaction costs by sleeve (left) and cost per unit traded in bps of notional (right).</w:t>
      </w:r>
    </w:p>
    <w:p>
      <w:pPr>
        <w:pStyle w:val="Heading1"/>
        <w:pageBreakBefore/>
        <w:spacing w:after="160" w:before="0"/>
      </w:pPr>
      <w:r>
        <w:rPr>
          <w:rFonts w:ascii="Calibri" w:cs="Calibri" w:eastAsia="Calibri" w:hAnsi="Calibri"/>
        </w:rPr>
        <w:t xml:space="preserve">7. Key findings and conclusions</w:t>
      </w:r>
    </w:p>
    <w:p>
      <w:pPr>
        <w:keepNext/>
        <w:spacing w:after="60" w:before="160"/>
      </w:pPr>
      <w:r>
        <w:rPr>
          <w:rFonts w:ascii="Calibri" w:cs="Calibri" w:eastAsia="Calibri" w:hAnsi="Calibri"/>
          <w:b/>
          <w:bCs/>
          <w:color w:val="5A5A5A"/>
          <w:sz w:val="18"/>
          <w:szCs w:val="18"/>
        </w:rPr>
        <w:t xml:space="preserve">Table 8. </w:t>
      </w:r>
      <w:r>
        <w:rPr>
          <w:rFonts w:ascii="Calibri" w:cs="Calibri" w:eastAsia="Calibri" w:hAnsi="Calibri"/>
          <w:i/>
          <w:iCs/>
          <w:color w:val="5A5A5A"/>
          <w:sz w:val="18"/>
          <w:szCs w:val="18"/>
        </w:rPr>
        <w:t xml:space="preserve">Key performance metrics and what they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7"/>
        <w:gridCol w:w="2346"/>
        <w:gridCol w:w="4693"/>
      </w:tblGrid>
      <w:tr>
        <w:trPr>
          <w:cantSplit/>
          <w:tblHeader/>
        </w:trPr>
        <w:tc>
          <w:tcPr>
            <w:tcW w:type="dxa" w:w="1987"/>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Metric</w:t>
            </w:r>
          </w:p>
        </w:tc>
        <w:tc>
          <w:tcPr>
            <w:tcW w:type="dxa" w:w="2346"/>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Value</w:t>
            </w:r>
          </w:p>
        </w:tc>
        <w:tc>
          <w:tcPr>
            <w:tcW w:type="dxa" w:w="4693"/>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What the result means</w:t>
            </w:r>
          </w:p>
        </w:tc>
      </w:tr>
      <w:tr>
        <w:tc>
          <w:tcPr>
            <w:tcW w:type="dxa" w:w="9026"/>
            <w:gridSpan w:val="3"/>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HEADLINE</w:t>
            </w:r>
          </w:p>
        </w:tc>
      </w:tr>
      <w:tr>
        <w:trPr>
          <w:cantSplit/>
          <w:tblHeader w:val="off"/>
        </w:trPr>
        <w:tc>
          <w:tcPr>
            <w:tcW w:type="dxa" w:w="1987"/>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Total return</w:t>
            </w:r>
          </w:p>
        </w:tc>
        <w:tc>
          <w:tcPr>
            <w:tcW w:type="dxa" w:w="234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+1.42% (passive −0.66%)</w:t>
            </w:r>
          </w:p>
        </w:tc>
        <w:tc>
          <w:tcPr>
            <w:tcW w:type="dxa" w:w="469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The ~2.1 pp gap is the value the signals added; an exact figure, not an estimate.</w:t>
            </w:r>
          </w:p>
        </w:tc>
      </w:tr>
      <w:tr>
        <w:trPr>
          <w:cantSplit/>
          <w:tblHeader w:val="off"/>
        </w:trPr>
        <w:tc>
          <w:tcPr>
            <w:tcW w:type="dxa" w:w="1987"/>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Max drawdown</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−0.43% (passive −5.04%)</w:t>
            </w:r>
          </w:p>
        </w:tc>
        <w:tc>
          <w:tcPr>
            <w:tcW w:type="dxa" w:w="469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Roughly a twelfth of the passive loss: the strongest result in the project.</w:t>
            </w:r>
          </w:p>
        </w:tc>
      </w:tr>
      <w:tr>
        <w:trPr>
          <w:cantSplit/>
          <w:tblHeader w:val="off"/>
        </w:trPr>
        <w:tc>
          <w:tcPr>
            <w:tcW w:type="dxa" w:w="1987"/>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Annual volatility</w:t>
            </w:r>
          </w:p>
        </w:tc>
        <w:tc>
          <w:tcPr>
            <w:tcW w:type="dxa" w:w="234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4.7% (passive 15.4%)</w:t>
            </w:r>
          </w:p>
        </w:tc>
        <w:tc>
          <w:tcPr>
            <w:tcW w:type="dxa" w:w="469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About one-third of passive volatility, measured on 960 thirty-minute marks, so reliable.</w:t>
            </w:r>
          </w:p>
        </w:tc>
      </w:tr>
      <w:tr>
        <w:trPr>
          <w:cantSplit/>
          <w:tblHeader w:val="off"/>
        </w:trPr>
        <w:tc>
          <w:tcPr>
            <w:tcW w:type="dxa" w:w="1987"/>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Excess vs buy &amp; hold</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+0.56 / +5.86 / +2.55 pp</w:t>
            </w:r>
          </w:p>
        </w:tc>
        <w:tc>
          <w:tcPr>
            <w:tcW w:type="dxa" w:w="469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All three strategies beat their own asset; STI stands out by staying in cash while the ETF fell ~5%.</w:t>
            </w:r>
          </w:p>
        </w:tc>
      </w:tr>
      <w:tr>
        <w:tc>
          <w:tcPr>
            <w:tcW w:type="dxa" w:w="9026"/>
            <w:gridSpan w:val="3"/>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DRIVERS</w:t>
            </w:r>
          </w:p>
        </w:tc>
      </w:tr>
      <w:tr>
        <w:trPr>
          <w:cantSplit/>
          <w:tblHeader w:val="off"/>
        </w:trPr>
        <w:tc>
          <w:tcPr>
            <w:tcW w:type="dxa" w:w="1987"/>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Time in market</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77% (cash 65%, gross 38%)</w:t>
            </w:r>
          </w:p>
        </w:tc>
        <w:tc>
          <w:tcPr>
            <w:tcW w:type="dxa" w:w="469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Usually active but at modest size; protection came from light exposure, not hedging.</w:t>
            </w:r>
          </w:p>
        </w:tc>
      </w:tr>
      <w:tr>
        <w:trPr>
          <w:cantSplit/>
          <w:tblHeader w:val="off"/>
        </w:trPr>
        <w:tc>
          <w:tcPr>
            <w:tcW w:type="dxa" w:w="1987"/>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Profit factor</w:t>
            </w:r>
          </w:p>
        </w:tc>
        <w:tc>
          <w:tcPr>
            <w:tcW w:type="dxa" w:w="234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4.29 (win 42%, 24 trades)</w:t>
            </w:r>
          </w:p>
        </w:tc>
        <w:tc>
          <w:tcPr>
            <w:tcW w:type="dxa" w:w="469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Winners ~4.3× losers: cut losers quickly, let winners run.</w:t>
            </w:r>
          </w:p>
        </w:tc>
      </w:tr>
      <w:tr>
        <w:trPr>
          <w:cantSplit/>
          <w:tblHeader w:val="off"/>
        </w:trPr>
        <w:tc>
          <w:tcPr>
            <w:tcW w:type="dxa" w:w="1987"/>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BTC model vs fallback</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+$4,849 vs −$257</w:t>
            </w:r>
          </w:p>
        </w:tc>
        <w:tc>
          <w:tcPr>
            <w:tcW w:type="dxa" w:w="469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The 2 model+vote trades carried BTC; the 17 fallback trades lost money after fees.</w:t>
            </w:r>
          </w:p>
        </w:tc>
      </w:tr>
      <w:tr>
        <w:trPr>
          <w:cantSplit/>
          <w:tblHeader w:val="off"/>
        </w:trPr>
        <w:tc>
          <w:tcPr>
            <w:tcW w:type="dxa" w:w="1987"/>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Cost drag</w:t>
            </w:r>
          </w:p>
        </w:tc>
        <w:tc>
          <w:tcPr>
            <w:tcW w:type="dxa" w:w="234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$2,794 (28% of gross)</w:t>
            </w:r>
          </w:p>
        </w:tc>
        <w:tc>
          <w:tcPr>
            <w:tcW w:type="dxa" w:w="469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91% from BTC; trade frequency, not per-trade cost, is the issue.</w:t>
            </w:r>
          </w:p>
        </w:tc>
      </w:tr>
      <w:tr>
        <w:tc>
          <w:tcPr>
            <w:tcW w:type="dxa" w:w="9026"/>
            <w:gridSpan w:val="3"/>
            <w:tcBorders>
              <w:top w:val="single" w:color="D0D0D0" w:sz="4"/>
              <w:left w:val="single" w:color="D0D0D0" w:sz="4"/>
              <w:bottom w:val="single" w:color="D0D0D0" w:sz="4"/>
              <w:right w:val="single" w:color="D0D0D0" w:sz="4"/>
            </w:tcBorders>
            <w:shd w:fill="E9EEF4" w:val="clear"/>
            <w:tcMar>
              <w:top w:type="dxa" w:w="50"/>
              <w:left w:type="dxa" w:w="100"/>
              <w:bottom w:type="dxa" w:w="50"/>
              <w:right w:type="dxa" w:w="100"/>
            </w:tcMar>
          </w:tcPr>
          <w:p>
            <w:r>
              <w:rPr>
                <w:rFonts w:ascii="Calibri" w:cs="Calibri" w:eastAsia="Calibri" w:hAnsi="Calibri"/>
                <w:b/>
                <w:bCs/>
                <w:color w:val="1F3A5F"/>
                <w:sz w:val="16"/>
                <w:szCs w:val="16"/>
              </w:rPr>
              <w:t xml:space="preserve">CONFIDENCE</w:t>
            </w:r>
          </w:p>
        </w:tc>
      </w:tr>
      <w:tr>
        <w:trPr>
          <w:cantSplit/>
          <w:tblHeader w:val="off"/>
        </w:trPr>
        <w:tc>
          <w:tcPr>
            <w:tcW w:type="dxa" w:w="1987"/>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Sharpe ratio</w:t>
            </w:r>
          </w:p>
        </w:tc>
        <w:tc>
          <w:tcPr>
            <w:tcW w:type="dxa" w:w="234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4.62 (95% band −3.9 to +13.1)</w:t>
            </w:r>
          </w:p>
        </w:tc>
        <w:tc>
          <w:tcPr>
            <w:tcW w:type="dxa" w:w="469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Based on 20 daily returns; the band includes zero.</w:t>
            </w:r>
          </w:p>
        </w:tc>
      </w:tr>
      <w:tr>
        <w:trPr>
          <w:cantSplit/>
          <w:tblHeader w:val="off"/>
        </w:trPr>
        <w:tc>
          <w:tcPr>
            <w:tcW w:type="dxa" w:w="1987"/>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P(true Sharpe &gt; 0)</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87% (bootstrap)</w:t>
            </w:r>
          </w:p>
        </w:tc>
        <w:tc>
          <w:tcPr>
            <w:tcW w:type="dxa" w:w="469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Encouraging but below the 95% usually needed for significance.</w:t>
            </w:r>
          </w:p>
        </w:tc>
      </w:tr>
      <w:tr>
        <w:trPr>
          <w:cantSplit/>
          <w:tblHeader w:val="off"/>
        </w:trPr>
        <w:tc>
          <w:tcPr>
            <w:tcW w:type="dxa" w:w="1987"/>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Return excl. best 2 days</w:t>
            </w:r>
          </w:p>
        </w:tc>
        <w:tc>
          <w:tcPr>
            <w:tcW w:type="dxa" w:w="2346"/>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−0.05%</w:t>
            </w:r>
          </w:p>
        </w:tc>
        <w:tc>
          <w:tcPr>
            <w:tcW w:type="dxa" w:w="4693"/>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Two days made the whole return; the main caveat.</w:t>
            </w:r>
          </w:p>
        </w:tc>
      </w:tr>
      <w:tr>
        <w:trPr>
          <w:cantSplit/>
          <w:tblHeader w:val="off"/>
        </w:trPr>
        <w:tc>
          <w:tcPr>
            <w:tcW w:type="dxa" w:w="1987"/>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7"/>
                <w:szCs w:val="17"/>
              </w:rPr>
              <w:t xml:space="preserve">BTC risk vs P&amp;L share</w:t>
            </w:r>
          </w:p>
        </w:tc>
        <w:tc>
          <w:tcPr>
            <w:tcW w:type="dxa" w:w="2346"/>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65% / 66%</w:t>
            </w:r>
          </w:p>
        </w:tc>
        <w:tc>
          <w:tcPr>
            <w:tcW w:type="dxa" w:w="4693"/>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val="false"/>
                <w:bCs w:val="false"/>
                <w:color w:val="1F1F1F"/>
                <w:sz w:val="17"/>
                <w:szCs w:val="17"/>
              </w:rPr>
              <w:t xml:space="preserve">Profit share matched risk share: sizing allocated risk efficiently.</w:t>
            </w:r>
          </w:p>
        </w:tc>
      </w:tr>
    </w:tbl>
    <w:p>
      <w:pPr>
        <w:pStyle w:val="Heading2"/>
        <w:keepNext/>
        <w:spacing w:after="120" w:before="240"/>
      </w:pPr>
      <w:r>
        <w:rPr>
          <w:rFonts w:ascii="Calibri" w:cs="Calibri" w:eastAsia="Calibri" w:hAnsi="Calibri"/>
        </w:rPr>
        <w:t xml:space="preserve">Recommendations</w:t>
      </w:r>
    </w:p>
    <w:p>
      <w:pPr>
        <w:pStyle w:val="ListParagraph"/>
        <w:numPr>
          <w:ilvl w:val="0"/>
          <w:numId w:val="2"/>
        </w:numPr>
        <w:spacing w:after="80" w:line="276"/>
      </w:pPr>
      <w:r>
        <w:rPr>
          <w:rFonts w:ascii="Calibri" w:cs="Calibri" w:eastAsia="Calibri" w:hAnsi="Calibri"/>
          <w:b/>
          <w:bCs/>
          <w:color w:val="1F1F1F"/>
          <w:sz w:val="21"/>
          <w:szCs w:val="21"/>
        </w:rPr>
        <w:t xml:space="preserve">Remove or shrink the BTC daily fallback. </w:t>
      </w:r>
      <w:r>
        <w:rPr>
          <w:rFonts w:ascii="Calibri" w:cs="Calibri" w:eastAsia="Calibri" w:hAnsi="Calibri"/>
          <w:color w:val="1F1F1F"/>
          <w:sz w:val="21"/>
          <w:szCs w:val="21"/>
        </w:rPr>
        <w:t xml:space="preserve">It produced 17 of 19 BTC trades, lost $257 net and generated $1,246 of fees.</w:t>
      </w:r>
    </w:p>
    <w:p>
      <w:pPr>
        <w:pStyle w:val="ListParagraph"/>
        <w:numPr>
          <w:ilvl w:val="0"/>
          <w:numId w:val="2"/>
        </w:numPr>
        <w:spacing w:after="80" w:line="276"/>
      </w:pPr>
      <w:r>
        <w:rPr>
          <w:rFonts w:ascii="Calibri" w:cs="Calibri" w:eastAsia="Calibri" w:hAnsi="Calibri"/>
          <w:b/>
          <w:bCs/>
          <w:color w:val="1F1F1F"/>
          <w:sz w:val="21"/>
          <w:szCs w:val="21"/>
        </w:rPr>
        <w:t xml:space="preserve">Reduce trading frequency. </w:t>
      </w:r>
      <w:r>
        <w:rPr>
          <w:rFonts w:ascii="Calibri" w:cs="Calibri" w:eastAsia="Calibri" w:hAnsi="Calibri"/>
          <w:color w:val="1F1F1F"/>
          <w:sz w:val="21"/>
          <w:szCs w:val="21"/>
        </w:rPr>
        <w:t xml:space="preserve">Cutting low-conviction BTC trades is the most direct way to lower the 28% cost drag.</w:t>
      </w:r>
    </w:p>
    <w:p>
      <w:pPr>
        <w:pStyle w:val="ListParagraph"/>
        <w:numPr>
          <w:ilvl w:val="0"/>
          <w:numId w:val="2"/>
        </w:numPr>
        <w:spacing w:after="80" w:line="276"/>
      </w:pPr>
      <w:r>
        <w:rPr>
          <w:rFonts w:ascii="Calibri" w:cs="Calibri" w:eastAsia="Calibri" w:hAnsi="Calibri"/>
          <w:b/>
          <w:bCs/>
          <w:color w:val="1F1F1F"/>
          <w:sz w:val="21"/>
          <w:szCs w:val="21"/>
        </w:rPr>
        <w:t xml:space="preserve">Extend the test. </w:t>
      </w:r>
      <w:r>
        <w:rPr>
          <w:rFonts w:ascii="Calibri" w:cs="Calibri" w:eastAsia="Calibri" w:hAnsi="Calibri"/>
          <w:color w:val="1F1F1F"/>
          <w:sz w:val="21"/>
          <w:szCs w:val="21"/>
        </w:rPr>
        <w:t xml:space="preserve">A longer live window is needed before the risk-adjusted edge can be called statistically significant, particularly for STI, whose rule rests on few signals.</w:t>
      </w:r>
    </w:p>
    <w:p>
      <w:pPr>
        <w:spacing w:after="120" w:line="276"/>
      </w:pPr>
      <w:r>
        <w:rPr>
          <w:rFonts w:ascii="Calibri" w:cs="Calibri" w:eastAsia="Calibri" w:hAnsi="Calibri"/>
          <w:b/>
          <w:bCs/>
          <w:color w:val="1F1F1F"/>
          <w:sz w:val="21"/>
          <w:szCs w:val="21"/>
        </w:rPr>
        <w:t xml:space="preserve">Overall: </w:t>
      </w:r>
      <w:r>
        <w:rPr>
          <w:rFonts w:ascii="Calibri" w:cs="Calibri" w:eastAsia="Calibri" w:hAnsi="Calibri"/>
          <w:color w:val="1F1F1F"/>
          <w:sz w:val="21"/>
          <w:szCs w:val="21"/>
        </w:rPr>
        <w:t xml:space="preserve">the portfolio added about 2 percentage points over a passive mix with roughly a tenth of the drawdown, and every strategy contributed, but the gain came from a few large trades and 20 days is too short to call it proven skill.</w:t>
      </w:r>
    </w:p>
    <w:p>
      <w:pPr>
        <w:pStyle w:val="Heading1"/>
        <w:pageBreakBefore/>
        <w:spacing w:after="160" w:before="0"/>
      </w:pPr>
      <w:r>
        <w:rPr>
          <w:rFonts w:ascii="Calibri" w:cs="Calibri" w:eastAsia="Calibri" w:hAnsi="Calibri"/>
        </w:rPr>
        <w:t xml:space="preserve">Appendix A. Full metric comparison</w:t>
      </w:r>
    </w:p>
    <w:p>
      <w:pPr>
        <w:keepNext/>
        <w:spacing w:after="60" w:before="160"/>
      </w:pPr>
      <w:r>
        <w:rPr>
          <w:rFonts w:ascii="Calibri" w:cs="Calibri" w:eastAsia="Calibri" w:hAnsi="Calibri"/>
          <w:b/>
          <w:bCs/>
          <w:color w:val="5A5A5A"/>
          <w:sz w:val="18"/>
          <w:szCs w:val="18"/>
        </w:rPr>
        <w:t xml:space="preserve">Table 9. </w:t>
      </w:r>
      <w:r>
        <w:rPr>
          <w:rFonts w:ascii="Calibri" w:cs="Calibri" w:eastAsia="Calibri" w:hAnsi="Calibri"/>
          <w:i/>
          <w:iCs/>
          <w:color w:val="5A5A5A"/>
          <w:sz w:val="18"/>
          <w:szCs w:val="18"/>
        </w:rPr>
        <w:t xml:space="preserve">Portfolio, benchmarks and sleeves on a common metric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8"/>
        <w:gridCol w:w="902"/>
        <w:gridCol w:w="902"/>
        <w:gridCol w:w="812"/>
        <w:gridCol w:w="722"/>
        <w:gridCol w:w="812"/>
        <w:gridCol w:w="812"/>
        <w:gridCol w:w="812"/>
        <w:gridCol w:w="1444"/>
      </w:tblGrid>
      <w:tr>
        <w:trPr>
          <w:cantSplit/>
          <w:tblHeader/>
        </w:trPr>
        <w:tc>
          <w:tcPr>
            <w:tcW w:type="dxa" w:w="1808"/>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Series</w:t>
            </w:r>
          </w:p>
        </w:tc>
        <w:tc>
          <w:tcPr>
            <w:tcW w:type="dxa" w:w="902"/>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6"/>
                <w:szCs w:val="16"/>
              </w:rPr>
              <w:t xml:space="preserve">Total return</w:t>
            </w:r>
          </w:p>
        </w:tc>
        <w:tc>
          <w:tcPr>
            <w:tcW w:type="dxa" w:w="902"/>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6"/>
                <w:szCs w:val="16"/>
              </w:rPr>
              <w:t xml:space="preserve">Ann. return</w:t>
            </w:r>
          </w:p>
        </w:tc>
        <w:tc>
          <w:tcPr>
            <w:tcW w:type="dxa" w:w="812"/>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6"/>
                <w:szCs w:val="16"/>
              </w:rPr>
              <w:t xml:space="preserve">Ann. vol</w:t>
            </w:r>
          </w:p>
        </w:tc>
        <w:tc>
          <w:tcPr>
            <w:tcW w:type="dxa" w:w="722"/>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6"/>
                <w:szCs w:val="16"/>
              </w:rPr>
              <w:t xml:space="preserve">Sharpe</w:t>
            </w:r>
          </w:p>
        </w:tc>
        <w:tc>
          <w:tcPr>
            <w:tcW w:type="dxa" w:w="812"/>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6"/>
                <w:szCs w:val="16"/>
              </w:rPr>
              <w:t xml:space="preserve">Sortino</w:t>
            </w:r>
          </w:p>
        </w:tc>
        <w:tc>
          <w:tcPr>
            <w:tcW w:type="dxa" w:w="812"/>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6"/>
                <w:szCs w:val="16"/>
              </w:rPr>
              <w:t xml:space="preserve">Max DD</w:t>
            </w:r>
          </w:p>
        </w:tc>
        <w:tc>
          <w:tcPr>
            <w:tcW w:type="dxa" w:w="812"/>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6"/>
                <w:szCs w:val="16"/>
              </w:rPr>
              <w:t xml:space="preserve">Calmar</w:t>
            </w:r>
          </w:p>
        </w:tc>
        <w:tc>
          <w:tcPr>
            <w:tcW w:type="dxa" w:w="1444"/>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6"/>
                <w:szCs w:val="16"/>
              </w:rPr>
              <w:t xml:space="preserve">Net P&amp;L</w:t>
            </w:r>
          </w:p>
        </w:tc>
      </w:tr>
      <w:tr>
        <w:trPr>
          <w:cantSplit/>
          <w:tblHeader w:val="off"/>
        </w:trPr>
        <w:tc>
          <w:tcPr>
            <w:tcW w:type="dxa" w:w="1808"/>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Portfolio</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+1.42%</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+29.3%</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4.68%</w:t>
            </w:r>
          </w:p>
        </w:tc>
        <w:tc>
          <w:tcPr>
            <w:tcW w:type="dxa" w:w="72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4.62</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15.60</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−0.43%</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67.5</w:t>
            </w:r>
          </w:p>
        </w:tc>
        <w:tc>
          <w:tcPr>
            <w:tcW w:type="dxa" w:w="144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+$7,084</w:t>
            </w:r>
          </w:p>
        </w:tc>
      </w:tr>
      <w:tr>
        <w:trPr>
          <w:cantSplit/>
          <w:tblHeader w:val="off"/>
        </w:trPr>
        <w:tc>
          <w:tcPr>
            <w:tcW w:type="dxa" w:w="1808"/>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Portfolio before costs</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+1.98%</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+42.9%</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5.33%</w:t>
            </w:r>
          </w:p>
        </w:tc>
        <w:tc>
          <w:tcPr>
            <w:tcW w:type="dxa" w:w="72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5.95</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25.26</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−0.38%</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111.7</w:t>
            </w:r>
          </w:p>
        </w:tc>
        <w:tc>
          <w:tcPr>
            <w:tcW w:type="dxa" w:w="144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+$9,878</w:t>
            </w:r>
          </w:p>
        </w:tc>
      </w:tr>
      <w:tr>
        <w:trPr>
          <w:cantSplit/>
          <w:tblHeader w:val="off"/>
        </w:trPr>
        <w:tc>
          <w:tcPr>
            <w:tcW w:type="dxa" w:w="1808"/>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Same weights, B&amp;H</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−0.66%</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−11.4%</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15.35%</w:t>
            </w:r>
          </w:p>
        </w:tc>
        <w:tc>
          <w:tcPr>
            <w:tcW w:type="dxa" w:w="72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−0.99</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−1.23</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−5.04%</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−2.27</w:t>
            </w:r>
          </w:p>
        </w:tc>
        <w:tc>
          <w:tcPr>
            <w:tcW w:type="dxa" w:w="144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−$3,311</w:t>
            </w:r>
          </w:p>
        </w:tc>
      </w:tr>
      <w:tr>
        <w:trPr>
          <w:cantSplit/>
          <w:tblHeader w:val="off"/>
        </w:trPr>
        <w:tc>
          <w:tcPr>
            <w:tcW w:type="dxa" w:w="1808"/>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Equal-weight B&amp;H</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−1.71%</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−27.0%</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13.42%</w:t>
            </w:r>
          </w:p>
        </w:tc>
        <w:tc>
          <w:tcPr>
            <w:tcW w:type="dxa" w:w="72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−2.59</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−2.93</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−5.07%</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−5.33</w:t>
            </w:r>
          </w:p>
        </w:tc>
        <w:tc>
          <w:tcPr>
            <w:tcW w:type="dxa" w:w="144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−$8,562</w:t>
            </w:r>
          </w:p>
        </w:tc>
      </w:tr>
      <w:tr>
        <w:trPr>
          <w:cantSplit/>
          <w:tblHeader w:val="off"/>
        </w:trPr>
        <w:tc>
          <w:tcPr>
            <w:tcW w:type="dxa" w:w="1808"/>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SPY B&amp;H</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+0.61%</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+11.7%</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9.42%</w:t>
            </w:r>
          </w:p>
        </w:tc>
        <w:tc>
          <w:tcPr>
            <w:tcW w:type="dxa" w:w="72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0.78</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1.05</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−2.50%</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4.70</w:t>
            </w:r>
          </w:p>
        </w:tc>
        <w:tc>
          <w:tcPr>
            <w:tcW w:type="dxa" w:w="144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+$3,048</w:t>
            </w:r>
          </w:p>
        </w:tc>
      </w:tr>
      <w:tr>
        <w:trPr>
          <w:cantSplit/>
          <w:tblHeader w:val="off"/>
        </w:trPr>
        <w:tc>
          <w:tcPr>
            <w:tcW w:type="dxa" w:w="1808"/>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STI B&amp;H</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−5.03%</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−61.0%</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18.53%</w:t>
            </w:r>
          </w:p>
        </w:tc>
        <w:tc>
          <w:tcPr>
            <w:tcW w:type="dxa" w:w="72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−5.21</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−5.38</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−6.59%</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−9.27</w:t>
            </w:r>
          </w:p>
        </w:tc>
        <w:tc>
          <w:tcPr>
            <w:tcW w:type="dxa" w:w="144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−$25,174</w:t>
            </w:r>
          </w:p>
        </w:tc>
      </w:tr>
      <w:tr>
        <w:trPr>
          <w:cantSplit/>
          <w:tblHeader w:val="off"/>
        </w:trPr>
        <w:tc>
          <w:tcPr>
            <w:tcW w:type="dxa" w:w="1808"/>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BTC B&amp;H</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−0.71%</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−12.2%</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25.88%</w:t>
            </w:r>
          </w:p>
        </w:tc>
        <w:tc>
          <w:tcPr>
            <w:tcW w:type="dxa" w:w="72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−0.54</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−0.72</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−7.75%</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−1.58</w:t>
            </w:r>
          </w:p>
        </w:tc>
        <w:tc>
          <w:tcPr>
            <w:tcW w:type="dxa" w:w="144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−$3,560</w:t>
            </w:r>
          </w:p>
        </w:tc>
      </w:tr>
      <w:tr>
        <w:trPr>
          <w:cantSplit/>
          <w:tblHeader w:val="off"/>
        </w:trPr>
        <w:tc>
          <w:tcPr>
            <w:tcW w:type="dxa" w:w="1808"/>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SPY sleeve</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+1.17%</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+23.6%</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6.89%</w:t>
            </w:r>
          </w:p>
        </w:tc>
        <w:tc>
          <w:tcPr>
            <w:tcW w:type="dxa" w:w="72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2.50</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5.94</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−1.11%</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21.2</w:t>
            </w:r>
          </w:p>
        </w:tc>
        <w:tc>
          <w:tcPr>
            <w:tcW w:type="dxa" w:w="144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+$1,972</w:t>
            </w:r>
          </w:p>
        </w:tc>
      </w:tr>
      <w:tr>
        <w:trPr>
          <w:cantSplit/>
          <w:tblHeader w:val="off"/>
        </w:trPr>
        <w:tc>
          <w:tcPr>
            <w:tcW w:type="dxa" w:w="1808"/>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STI sleeve</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+0.83%</w:t>
            </w:r>
          </w:p>
        </w:tc>
        <w:tc>
          <w:tcPr>
            <w:tcW w:type="dxa" w:w="90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+16.2%</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8.43%</w:t>
            </w:r>
          </w:p>
        </w:tc>
        <w:tc>
          <w:tcPr>
            <w:tcW w:type="dxa" w:w="72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1.33</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2.20</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−2.10%</w:t>
            </w:r>
          </w:p>
        </w:tc>
        <w:tc>
          <w:tcPr>
            <w:tcW w:type="dxa" w:w="812"/>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7.73</w:t>
            </w:r>
          </w:p>
        </w:tc>
        <w:tc>
          <w:tcPr>
            <w:tcW w:type="dxa" w:w="144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+$414</w:t>
            </w:r>
          </w:p>
        </w:tc>
      </w:tr>
      <w:tr>
        <w:trPr>
          <w:cantSplit/>
          <w:tblHeader w:val="off"/>
        </w:trPr>
        <w:tc>
          <w:tcPr>
            <w:tcW w:type="dxa" w:w="1808"/>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b/>
                <w:bCs/>
                <w:color w:val="1F1F1F"/>
                <w:sz w:val="16"/>
                <w:szCs w:val="16"/>
              </w:rPr>
              <w:t xml:space="preserve">BTC sleeve</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+1.83%</w:t>
            </w:r>
          </w:p>
        </w:tc>
        <w:tc>
          <w:tcPr>
            <w:tcW w:type="dxa" w:w="90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+39.3%</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6.45%</w:t>
            </w:r>
          </w:p>
        </w:tc>
        <w:tc>
          <w:tcPr>
            <w:tcW w:type="dxa" w:w="72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4.54</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27.97</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B3261E"/>
                <w:sz w:val="16"/>
                <w:szCs w:val="16"/>
              </w:rPr>
              <w:t xml:space="preserve">−0.87%</w:t>
            </w:r>
          </w:p>
        </w:tc>
        <w:tc>
          <w:tcPr>
            <w:tcW w:type="dxa" w:w="812"/>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1F1F1F"/>
                <w:sz w:val="16"/>
                <w:szCs w:val="16"/>
              </w:rPr>
              <w:t xml:space="preserve">45.1</w:t>
            </w:r>
          </w:p>
        </w:tc>
        <w:tc>
          <w:tcPr>
            <w:tcW w:type="dxa" w:w="144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b w:val="false"/>
                <w:bCs w:val="false"/>
                <w:color w:val="0E7A4F"/>
                <w:sz w:val="16"/>
                <w:szCs w:val="16"/>
              </w:rPr>
              <w:t xml:space="preserve">+$4,699</w:t>
            </w:r>
          </w:p>
        </w:tc>
      </w:tr>
    </w:tbl>
    <w:p>
      <w:pPr>
        <w:spacing w:after="200" w:before="40"/>
      </w:pPr>
      <w:r>
        <w:rPr>
          <w:rFonts w:ascii="Calibri" w:cs="Calibri" w:eastAsia="Calibri" w:hAnsi="Calibri"/>
          <w:i/>
          <w:iCs/>
          <w:color w:val="5A5A5A"/>
          <w:sz w:val="16"/>
          <w:szCs w:val="16"/>
        </w:rPr>
        <w:t xml:space="preserve">Asset buy-and-hold rows are on $500,000 of capital; sleeve rows on sleeve capital. Ratios annualised from 20 days.</w:t>
      </w:r>
    </w:p>
    <w:p>
      <w:pPr>
        <w:pStyle w:val="Heading2"/>
        <w:keepNext/>
        <w:spacing w:after="120" w:before="240"/>
      </w:pPr>
      <w:r>
        <w:rPr>
          <w:rFonts w:ascii="Calibri" w:cs="Calibri" w:eastAsia="Calibri" w:hAnsi="Calibri"/>
        </w:rPr>
        <w:t xml:space="preserve">Drawdown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90"/>
        <w:gridCol w:w="1534"/>
        <w:gridCol w:w="1534"/>
        <w:gridCol w:w="1534"/>
        <w:gridCol w:w="1534"/>
      </w:tblGrid>
      <w:tr>
        <w:trPr>
          <w:cantSplit/>
          <w:tblHeader/>
        </w:trPr>
        <w:tc>
          <w:tcPr>
            <w:tcW w:type="dxa" w:w="2890"/>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left"/>
            </w:pPr>
            <w:r>
              <w:rPr>
                <w:rFonts w:ascii="Calibri" w:cs="Calibri" w:eastAsia="Calibri" w:hAnsi="Calibri"/>
                <w:b/>
                <w:bCs/>
                <w:color w:val="1F1F1F"/>
                <w:sz w:val="18"/>
                <w:szCs w:val="18"/>
              </w:rPr>
              <w:t xml:space="preserve">Metric</w:t>
            </w:r>
          </w:p>
        </w:tc>
        <w:tc>
          <w:tcPr>
            <w:tcW w:type="dxa" w:w="1534"/>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Portfolio</w:t>
            </w:r>
          </w:p>
        </w:tc>
        <w:tc>
          <w:tcPr>
            <w:tcW w:type="dxa" w:w="1534"/>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SPY</w:t>
            </w:r>
          </w:p>
        </w:tc>
        <w:tc>
          <w:tcPr>
            <w:tcW w:type="dxa" w:w="1534"/>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STI</w:t>
            </w:r>
          </w:p>
        </w:tc>
        <w:tc>
          <w:tcPr>
            <w:tcW w:type="dxa" w:w="1534"/>
            <w:tcBorders>
              <w:top w:val="single" w:color="D0D0D0" w:sz="4"/>
              <w:left w:val="single" w:color="D0D0D0" w:sz="4"/>
              <w:bottom w:val="single" w:color="D0D0D0" w:sz="4"/>
              <w:right w:val="single" w:color="D0D0D0" w:sz="4"/>
            </w:tcBorders>
            <w:shd w:fill="EDEAE5" w:val="clear"/>
            <w:tcMar>
              <w:top w:type="dxa" w:w="50"/>
              <w:left w:type="dxa" w:w="100"/>
              <w:bottom w:type="dxa" w:w="50"/>
              <w:right w:type="dxa" w:w="100"/>
            </w:tcMar>
            <w:vAlign w:val="center"/>
          </w:tcPr>
          <w:p>
            <w:pPr>
              <w:jc w:val="center"/>
            </w:pPr>
            <w:r>
              <w:rPr>
                <w:rFonts w:ascii="Calibri" w:cs="Calibri" w:eastAsia="Calibri" w:hAnsi="Calibri"/>
                <w:b/>
                <w:bCs/>
                <w:color w:val="1F1F1F"/>
                <w:sz w:val="18"/>
                <w:szCs w:val="18"/>
              </w:rPr>
              <w:t xml:space="preserve">BTC</w:t>
            </w:r>
          </w:p>
        </w:tc>
      </w:tr>
      <w:tr>
        <w:trPr>
          <w:cantSplit/>
          <w:tblHeader w:val="off"/>
        </w:trPr>
        <w:tc>
          <w:tcPr>
            <w:tcW w:type="dxa" w:w="2890"/>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Drawdowns ≥ 0.1%</w:t>
            </w:r>
          </w:p>
        </w:tc>
        <w:tc>
          <w:tcPr>
            <w:tcW w:type="dxa" w:w="153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3</w:t>
            </w:r>
          </w:p>
        </w:tc>
        <w:tc>
          <w:tcPr>
            <w:tcW w:type="dxa" w:w="153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3</w:t>
            </w:r>
          </w:p>
        </w:tc>
        <w:tc>
          <w:tcPr>
            <w:tcW w:type="dxa" w:w="153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3</w:t>
            </w:r>
          </w:p>
        </w:tc>
        <w:tc>
          <w:tcPr>
            <w:tcW w:type="dxa" w:w="153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4</w:t>
            </w:r>
          </w:p>
        </w:tc>
      </w:tr>
      <w:tr>
        <w:trPr>
          <w:cantSplit/>
          <w:tblHeader w:val="off"/>
        </w:trPr>
        <w:tc>
          <w:tcPr>
            <w:tcW w:type="dxa" w:w="2890"/>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Drawdowns ≥ 0.25%</w:t>
            </w:r>
          </w:p>
        </w:tc>
        <w:tc>
          <w:tcPr>
            <w:tcW w:type="dxa" w:w="153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3</w:t>
            </w:r>
          </w:p>
        </w:tc>
        <w:tc>
          <w:tcPr>
            <w:tcW w:type="dxa" w:w="153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w:t>
            </w:r>
          </w:p>
        </w:tc>
        <w:tc>
          <w:tcPr>
            <w:tcW w:type="dxa" w:w="153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w:t>
            </w:r>
          </w:p>
        </w:tc>
        <w:tc>
          <w:tcPr>
            <w:tcW w:type="dxa" w:w="153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2</w:t>
            </w:r>
          </w:p>
        </w:tc>
      </w:tr>
      <w:tr>
        <w:trPr>
          <w:cantSplit/>
          <w:tblHeader w:val="off"/>
        </w:trPr>
        <w:tc>
          <w:tcPr>
            <w:tcW w:type="dxa" w:w="2890"/>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Drawdowns ≥ 1%</w:t>
            </w:r>
          </w:p>
        </w:tc>
        <w:tc>
          <w:tcPr>
            <w:tcW w:type="dxa" w:w="153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0</w:t>
            </w:r>
          </w:p>
        </w:tc>
        <w:tc>
          <w:tcPr>
            <w:tcW w:type="dxa" w:w="153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w:t>
            </w:r>
          </w:p>
        </w:tc>
        <w:tc>
          <w:tcPr>
            <w:tcW w:type="dxa" w:w="153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w:t>
            </w:r>
          </w:p>
        </w:tc>
        <w:tc>
          <w:tcPr>
            <w:tcW w:type="dxa" w:w="1534"/>
            <w:tcBorders>
              <w:top w:val="single" w:color="D0D0D0" w:sz="4"/>
              <w:left w:val="single" w:color="D0D0D0" w:sz="4"/>
              <w:bottom w:val="single" w:color="D0D0D0" w:sz="4"/>
              <w:right w:val="single" w:color="D0D0D0" w:sz="4"/>
            </w:tcBorders>
            <w:shd w:fill="FFFFFF"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0</w:t>
            </w:r>
          </w:p>
        </w:tc>
      </w:tr>
      <w:tr>
        <w:trPr>
          <w:cantSplit/>
          <w:tblHeader w:val="off"/>
        </w:trPr>
        <w:tc>
          <w:tcPr>
            <w:tcW w:type="dxa" w:w="2890"/>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left"/>
            </w:pPr>
            <w:r>
              <w:rPr>
                <w:rFonts w:ascii="Calibri" w:cs="Calibri" w:eastAsia="Calibri" w:hAnsi="Calibri"/>
                <w:color w:val="1F1F1F"/>
                <w:sz w:val="18"/>
                <w:szCs w:val="18"/>
              </w:rPr>
              <w:t xml:space="preserve">Longest drawdown (days)</w:t>
            </w:r>
          </w:p>
        </w:tc>
        <w:tc>
          <w:tcPr>
            <w:tcW w:type="dxa" w:w="153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14.3</w:t>
            </w:r>
          </w:p>
        </w:tc>
        <w:tc>
          <w:tcPr>
            <w:tcW w:type="dxa" w:w="153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14.3</w:t>
            </w:r>
          </w:p>
        </w:tc>
        <w:tc>
          <w:tcPr>
            <w:tcW w:type="dxa" w:w="153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14.8</w:t>
            </w:r>
          </w:p>
        </w:tc>
        <w:tc>
          <w:tcPr>
            <w:tcW w:type="dxa" w:w="1534"/>
            <w:tcBorders>
              <w:top w:val="single" w:color="D0D0D0" w:sz="4"/>
              <w:left w:val="single" w:color="D0D0D0" w:sz="4"/>
              <w:bottom w:val="single" w:color="D0D0D0" w:sz="4"/>
              <w:right w:val="single" w:color="D0D0D0" w:sz="4"/>
            </w:tcBorders>
            <w:shd w:fill="FAF9F7" w:val="clear"/>
            <w:tcMar>
              <w:top w:type="dxa" w:w="50"/>
              <w:left w:type="dxa" w:w="100"/>
              <w:bottom w:type="dxa" w:w="50"/>
              <w:right w:type="dxa" w:w="100"/>
            </w:tcMar>
            <w:vAlign w:val="center"/>
          </w:tcPr>
          <w:p>
            <w:pPr>
              <w:jc w:val="center"/>
            </w:pPr>
            <w:r>
              <w:rPr>
                <w:rFonts w:ascii="Calibri" w:cs="Calibri" w:eastAsia="Calibri" w:hAnsi="Calibri"/>
                <w:color w:val="1F1F1F"/>
                <w:sz w:val="18"/>
                <w:szCs w:val="18"/>
              </w:rPr>
              <w:t xml:space="preserve">15.3</w:t>
            </w:r>
          </w:p>
        </w:tc>
      </w:tr>
    </w:tbl>
    <w:p>
      <w:pPr>
        <w:pStyle w:val="Heading1"/>
        <w:pageBreakBefore/>
        <w:spacing w:after="160" w:before="0"/>
      </w:pPr>
      <w:r>
        <w:rPr>
          <w:rFonts w:ascii="Calibri" w:cs="Calibri" w:eastAsia="Calibri" w:hAnsi="Calibri"/>
        </w:rPr>
        <w:t xml:space="preserve">Appendix B. Metric definitions</w:t>
      </w:r>
    </w:p>
    <w:p>
      <w:pPr>
        <w:pStyle w:val="ListParagraph"/>
        <w:numPr>
          <w:ilvl w:val="0"/>
          <w:numId w:val="2"/>
        </w:numPr>
        <w:spacing w:after="80" w:line="276"/>
      </w:pPr>
      <w:r>
        <w:rPr>
          <w:rFonts w:ascii="Calibri" w:cs="Calibri" w:eastAsia="Calibri" w:hAnsi="Calibri"/>
          <w:b/>
          <w:bCs/>
          <w:color w:val="1F1F1F"/>
          <w:sz w:val="21"/>
          <w:szCs w:val="21"/>
        </w:rPr>
        <w:t xml:space="preserve">Total return: </w:t>
      </w:r>
      <w:r>
        <w:rPr>
          <w:rFonts w:ascii="Calibri" w:cs="Calibri" w:eastAsia="Calibri" w:hAnsi="Calibri"/>
          <w:color w:val="1F1F1F"/>
          <w:sz w:val="21"/>
          <w:szCs w:val="21"/>
        </w:rPr>
        <w:t xml:space="preserve">Change in equity over the window divided by starting capital ($500,000, or sleeve capital for sleeves).</w:t>
      </w:r>
    </w:p>
    <w:p>
      <w:pPr>
        <w:pStyle w:val="ListParagraph"/>
        <w:numPr>
          <w:ilvl w:val="0"/>
          <w:numId w:val="2"/>
        </w:numPr>
        <w:spacing w:after="80" w:line="276"/>
      </w:pPr>
      <w:r>
        <w:rPr>
          <w:rFonts w:ascii="Calibri" w:cs="Calibri" w:eastAsia="Calibri" w:hAnsi="Calibri"/>
          <w:b/>
          <w:bCs/>
          <w:color w:val="1F1F1F"/>
          <w:sz w:val="21"/>
          <w:szCs w:val="21"/>
        </w:rPr>
        <w:t xml:space="preserve">Annual return: </w:t>
      </w:r>
      <w:r>
        <w:rPr>
          <w:rFonts w:ascii="Calibri" w:cs="Calibri" w:eastAsia="Calibri" w:hAnsi="Calibri"/>
          <w:color w:val="1F1F1F"/>
          <w:sz w:val="21"/>
          <w:szCs w:val="21"/>
        </w:rPr>
        <w:t xml:space="preserve">Total return compounded to a year on elapsed calendar time (CAGR, 365 days). Indicative for a 20-day window.</w:t>
      </w:r>
    </w:p>
    <w:p>
      <w:pPr>
        <w:pStyle w:val="ListParagraph"/>
        <w:numPr>
          <w:ilvl w:val="0"/>
          <w:numId w:val="2"/>
        </w:numPr>
        <w:spacing w:after="80" w:line="276"/>
      </w:pPr>
      <w:r>
        <w:rPr>
          <w:rFonts w:ascii="Calibri" w:cs="Calibri" w:eastAsia="Calibri" w:hAnsi="Calibri"/>
          <w:b/>
          <w:bCs/>
          <w:color w:val="1F1F1F"/>
          <w:sz w:val="21"/>
          <w:szCs w:val="21"/>
        </w:rPr>
        <w:t xml:space="preserve">Annual volatility: </w:t>
      </w:r>
      <w:r>
        <w:rPr>
          <w:rFonts w:ascii="Calibri" w:cs="Calibri" w:eastAsia="Calibri" w:hAnsi="Calibri"/>
          <w:color w:val="1F1F1F"/>
          <w:sz w:val="21"/>
          <w:szCs w:val="21"/>
        </w:rPr>
        <w:t xml:space="preserve">Standard deviation of UTC daily returns × √365, partial final day excluded.</w:t>
      </w:r>
    </w:p>
    <w:p>
      <w:pPr>
        <w:pStyle w:val="ListParagraph"/>
        <w:numPr>
          <w:ilvl w:val="0"/>
          <w:numId w:val="2"/>
        </w:numPr>
        <w:spacing w:after="80" w:line="276"/>
      </w:pPr>
      <w:r>
        <w:rPr>
          <w:rFonts w:ascii="Calibri" w:cs="Calibri" w:eastAsia="Calibri" w:hAnsi="Calibri"/>
          <w:b/>
          <w:bCs/>
          <w:color w:val="1F1F1F"/>
          <w:sz w:val="21"/>
          <w:szCs w:val="21"/>
        </w:rPr>
        <w:t xml:space="preserve">Sharpe ratio: </w:t>
      </w:r>
      <w:r>
        <w:rPr>
          <w:rFonts w:ascii="Calibri" w:cs="Calibri" w:eastAsia="Calibri" w:hAnsi="Calibri"/>
          <w:color w:val="1F1F1F"/>
          <w:sz w:val="21"/>
          <w:szCs w:val="21"/>
        </w:rPr>
        <w:t xml:space="preserve">(Annualised mean daily return − risk-free rate) / annual volatility; risk-free = U.S. Treasury 3M yield. 95% band from Lo (2002).</w:t>
      </w:r>
    </w:p>
    <w:p>
      <w:pPr>
        <w:pStyle w:val="ListParagraph"/>
        <w:numPr>
          <w:ilvl w:val="0"/>
          <w:numId w:val="2"/>
        </w:numPr>
        <w:spacing w:after="80" w:line="276"/>
      </w:pPr>
      <w:r>
        <w:rPr>
          <w:rFonts w:ascii="Calibri" w:cs="Calibri" w:eastAsia="Calibri" w:hAnsi="Calibri"/>
          <w:b/>
          <w:bCs/>
          <w:color w:val="1F1F1F"/>
          <w:sz w:val="21"/>
          <w:szCs w:val="21"/>
        </w:rPr>
        <w:t xml:space="preserve">Sortino ratio: </w:t>
      </w:r>
      <w:r>
        <w:rPr>
          <w:rFonts w:ascii="Calibri" w:cs="Calibri" w:eastAsia="Calibri" w:hAnsi="Calibri"/>
          <w:color w:val="1F1F1F"/>
          <w:sz w:val="21"/>
          <w:szCs w:val="21"/>
        </w:rPr>
        <w:t xml:space="preserve">As Sharpe, but dividing by downside deviation only.</w:t>
      </w:r>
    </w:p>
    <w:p>
      <w:pPr>
        <w:pStyle w:val="ListParagraph"/>
        <w:numPr>
          <w:ilvl w:val="0"/>
          <w:numId w:val="2"/>
        </w:numPr>
        <w:spacing w:after="80" w:line="276"/>
      </w:pPr>
      <w:r>
        <w:rPr>
          <w:rFonts w:ascii="Calibri" w:cs="Calibri" w:eastAsia="Calibri" w:hAnsi="Calibri"/>
          <w:b/>
          <w:bCs/>
          <w:color w:val="1F1F1F"/>
          <w:sz w:val="21"/>
          <w:szCs w:val="21"/>
        </w:rPr>
        <w:t xml:space="preserve">Max drawdown: </w:t>
      </w:r>
      <w:r>
        <w:rPr>
          <w:rFonts w:ascii="Calibri" w:cs="Calibri" w:eastAsia="Calibri" w:hAnsi="Calibri"/>
          <w:color w:val="1F1F1F"/>
          <w:sz w:val="21"/>
          <w:szCs w:val="21"/>
        </w:rPr>
        <w:t xml:space="preserve">Largest fall from a running equity peak to a later trough, on the intraday (30-minute) equity curve.</w:t>
      </w:r>
    </w:p>
    <w:p>
      <w:pPr>
        <w:pStyle w:val="ListParagraph"/>
        <w:numPr>
          <w:ilvl w:val="0"/>
          <w:numId w:val="2"/>
        </w:numPr>
        <w:spacing w:after="80" w:line="276"/>
      </w:pPr>
      <w:r>
        <w:rPr>
          <w:rFonts w:ascii="Calibri" w:cs="Calibri" w:eastAsia="Calibri" w:hAnsi="Calibri"/>
          <w:b/>
          <w:bCs/>
          <w:color w:val="1F1F1F"/>
          <w:sz w:val="21"/>
          <w:szCs w:val="21"/>
        </w:rPr>
        <w:t xml:space="preserve">Calmar ratio: </w:t>
      </w:r>
      <w:r>
        <w:rPr>
          <w:rFonts w:ascii="Calibri" w:cs="Calibri" w:eastAsia="Calibri" w:hAnsi="Calibri"/>
          <w:color w:val="1F1F1F"/>
          <w:sz w:val="21"/>
          <w:szCs w:val="21"/>
        </w:rPr>
        <w:t xml:space="preserve">Annual return divided by the absolute maximum drawdown.</w:t>
      </w:r>
    </w:p>
    <w:p>
      <w:pPr>
        <w:pStyle w:val="ListParagraph"/>
        <w:numPr>
          <w:ilvl w:val="0"/>
          <w:numId w:val="2"/>
        </w:numPr>
        <w:spacing w:after="80" w:line="276"/>
      </w:pPr>
      <w:r>
        <w:rPr>
          <w:rFonts w:ascii="Calibri" w:cs="Calibri" w:eastAsia="Calibri" w:hAnsi="Calibri"/>
          <w:b/>
          <w:bCs/>
          <w:color w:val="1F1F1F"/>
          <w:sz w:val="21"/>
          <w:szCs w:val="21"/>
        </w:rPr>
        <w:t xml:space="preserve">Win rate / profit factor: </w:t>
      </w:r>
      <w:r>
        <w:rPr>
          <w:rFonts w:ascii="Calibri" w:cs="Calibri" w:eastAsia="Calibri" w:hAnsi="Calibri"/>
          <w:color w:val="1F1F1F"/>
          <w:sz w:val="21"/>
          <w:szCs w:val="21"/>
        </w:rPr>
        <w:t xml:space="preserve">Share of completed round trips with positive net P&amp;L / gross profit of winners divided by gross loss of losers.</w:t>
      </w:r>
    </w:p>
    <w:p>
      <w:pPr>
        <w:pStyle w:val="ListParagraph"/>
        <w:numPr>
          <w:ilvl w:val="0"/>
          <w:numId w:val="2"/>
        </w:numPr>
        <w:spacing w:after="80" w:line="276"/>
      </w:pPr>
      <w:r>
        <w:rPr>
          <w:rFonts w:ascii="Calibri" w:cs="Calibri" w:eastAsia="Calibri" w:hAnsi="Calibri"/>
          <w:b/>
          <w:bCs/>
          <w:color w:val="1F1F1F"/>
          <w:sz w:val="21"/>
          <w:szCs w:val="21"/>
        </w:rPr>
        <w:t xml:space="preserve">Risk share: </w:t>
      </w:r>
      <w:r>
        <w:rPr>
          <w:rFonts w:ascii="Calibri" w:cs="Calibri" w:eastAsia="Calibri" w:hAnsi="Calibri"/>
          <w:color w:val="1F1F1F"/>
          <w:sz w:val="21"/>
          <w:szCs w:val="21"/>
        </w:rPr>
        <w:t xml:space="preserve">Each sleeve's covariance contribution of 30-minute P&amp;L to total portfolio P&amp;L variance.</w:t>
      </w:r>
    </w:p>
    <w:p>
      <w:pPr>
        <w:pStyle w:val="ListParagraph"/>
        <w:numPr>
          <w:ilvl w:val="0"/>
          <w:numId w:val="2"/>
        </w:numPr>
        <w:spacing w:after="80" w:line="276"/>
      </w:pPr>
      <w:r>
        <w:rPr>
          <w:rFonts w:ascii="Calibri" w:cs="Calibri" w:eastAsia="Calibri" w:hAnsi="Calibri"/>
          <w:b/>
          <w:bCs/>
          <w:color w:val="1F1F1F"/>
          <w:sz w:val="21"/>
          <w:szCs w:val="21"/>
        </w:rPr>
        <w:t xml:space="preserve">Excess vs buy &amp; hold: </w:t>
      </w:r>
      <w:r>
        <w:rPr>
          <w:rFonts w:ascii="Calibri" w:cs="Calibri" w:eastAsia="Calibri" w:hAnsi="Calibri"/>
          <w:color w:val="1F1F1F"/>
          <w:sz w:val="21"/>
          <w:szCs w:val="21"/>
        </w:rPr>
        <w:t xml:space="preserve">Sleeve return on sleeve capital minus the frictionless return of holding the same asset with the same capital.</w:t>
      </w:r>
    </w:p>
    <w:p>
      <w:pPr>
        <w:spacing w:after="120" w:line="276"/>
      </w:pPr>
      <w:r>
        <w:rPr>
          <w:rFonts w:ascii="Calibri" w:cs="Calibri" w:eastAsia="Calibri" w:hAnsi="Calibri"/>
          <w:i/>
          <w:iCs/>
          <w:color w:val="5A5A5A"/>
          <w:sz w:val="18"/>
          <w:szCs w:val="18"/>
        </w:rPr>
        <w:t xml:space="preserve">Source: frozen simulation outputs in results/portfolio_simulation and charts in results/eda_notebook, generated by portfolio_performance_evaluation.ipynb (simulation run 23 Oct 2026, 04:01 UTC).</w:t>
      </w:r>
    </w:p>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5A"/>
        <w:sz w:val="16"/>
        <w:szCs w:val="16"/>
      </w:rPr>
      <w:t xml:space="preserve">AlgoGoneCrazy · Portfolio performance evaluation · 1–20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outlineLvl w:val="2"/>
    </w:pPr>
    <w:rPr>
      <w:rFonts w:ascii="Calibri" w:cs="Calibri" w:eastAsia="Calibri" w:hAnsi="Calibri"/>
      <w:b/>
      <w:bCs/>
      <w:color w:val="1F1F1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6bdf74c65c7da4c3548ecb4de06d2071a27e903.png"/><Relationship Id="rId10" Type="http://schemas.openxmlformats.org/officeDocument/2006/relationships/image" Target="media/ab06c9e26e557469c72efee429b22156cbc0d114.png"/><Relationship Id="rId11" Type="http://schemas.openxmlformats.org/officeDocument/2006/relationships/image" Target="media/e88e05a37b368eb20dfda8c92751d617c9641fdc.png"/><Relationship Id="rId12" Type="http://schemas.openxmlformats.org/officeDocument/2006/relationships/image" Target="media/83dee2b1167562bfe6af88119c6e685d835fef3a.png"/><Relationship Id="rId13" Type="http://schemas.openxmlformats.org/officeDocument/2006/relationships/image" Target="media/0fe7537b0640c1c466bbaef481558c8a5ad22ac6.png"/><Relationship Id="rId14" Type="http://schemas.openxmlformats.org/officeDocument/2006/relationships/image" Target="media/11974d1950d3e0be92cda4b1f53a5189b8b7abf6.png"/><Relationship Id="rId15" Type="http://schemas.openxmlformats.org/officeDocument/2006/relationships/image" Target="media/ceffb0ce9c703b52793b9de57b71e4d8ba766861.png"/><Relationship Id="rId16" Type="http://schemas.openxmlformats.org/officeDocument/2006/relationships/image" Target="media/a61c9d6f5d7927d0dd201556c97e0ed92bf2259f.png"/><Relationship Id="rId17" Type="http://schemas.openxmlformats.org/officeDocument/2006/relationships/image" Target="media/363cf5a41467dea4efec7ec0cafa973af5c8fea7.png"/><Relationship Id="rId18" Type="http://schemas.openxmlformats.org/officeDocument/2006/relationships/image" Target="media/21189d791f48d0d2ebf9e450ae10d06a14da4756.png"/><Relationship Id="rId19" Type="http://schemas.openxmlformats.org/officeDocument/2006/relationships/image" Target="media/cacd2d5a9e997bc9d772356764116d141b94507e.png"/><Relationship Id="rId20" Type="http://schemas.openxmlformats.org/officeDocument/2006/relationships/image" Target="media/b947c7a9f6cb6e8bfabe1644d1140877b2305ac5.png"/><Relationship Id="rId21" Type="http://schemas.openxmlformats.org/officeDocument/2006/relationships/image" Target="media/46d8217e365336f29a3d5aa18249dc04357e65ae.png"/><Relationship Id="rId22" Type="http://schemas.openxmlformats.org/officeDocument/2006/relationships/image" Target="media/bc4c0c714ffee5640bfbc1a2cedcbabf3a377445.png"/><Relationship Id="rId23" Type="http://schemas.openxmlformats.org/officeDocument/2006/relationships/image" Target="media/a6555629d1c8bd1298c6473a212320264b2b3f8d.png"/><Relationship Id="rId24" Type="http://schemas.openxmlformats.org/officeDocument/2006/relationships/image" Target="media/60ce5188cc44ecd10f8ccfbea14f563b5eda9b30.png"/><Relationship Id="rId25" Type="http://schemas.openxmlformats.org/officeDocument/2006/relationships/image" Target="media/8bcdd4baaf9afc75bddc44f24a61f277b3ddffce.png"/><Relationship Id="rId26" Type="http://schemas.openxmlformats.org/officeDocument/2006/relationships/image" Target="media/8e1783dc1ebb748b2c25e4ed80543b039c4423d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AlgoGoneCrazy – Portfolio Performance Evaluation Report</dc:title>
  <dc:creator>AlgoGoneCrazy</dc:creator>
  <cp:lastModifiedBy>Un-named</cp:lastModifiedBy>
  <cp:revision>1</cp:revision>
  <dcterms:created xsi:type="dcterms:W3CDTF">2026-10-24T09:59:46.984Z</dcterms:created>
  <dcterms:modified xsi:type="dcterms:W3CDTF">2026-10-24T09:59:46.991Z</dcterms:modified>
</cp:coreProperties>
</file>

<file path=docProps/custom.xml><?xml version="1.0" encoding="utf-8"?>
<Properties xmlns="http://schemas.openxmlformats.org/officeDocument/2006/custom-properties" xmlns:vt="http://schemas.openxmlformats.org/officeDocument/2006/docPropsVTypes"/>
</file>