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onsolas" w:hAnsi="Consolas"/>
          <w:b/>
          <w:color w:val="0891B2"/>
          <w:sz w:val="16"/>
        </w:rPr>
        <w:t>BINNIE'S ENGLISH TRAINING · ANNEXE DE FACTURATION</w:t>
      </w:r>
    </w:p>
    <w:p>
      <w:pPr>
        <w:pStyle w:val="Title"/>
        <w:spacing w:after="80"/>
      </w:pPr>
      <w:r>
        <w:t>Relevé de travaux BET</w:t>
      </w:r>
    </w:p>
    <w:p>
      <w:r>
        <w:rPr>
          <w:rFonts w:ascii="Calibri" w:hAnsi="Calibri"/>
          <w:color w:val="5C6573"/>
          <w:sz w:val="22"/>
        </w:rPr>
        <w:t xml:space="preserve">Inventaire des développements livrés sur le back-office </w:t>
      </w:r>
      <w:r>
        <w:rPr>
          <w:rFonts w:ascii="Calibri" w:hAnsi="Calibri"/>
          <w:b/>
          <w:color w:val="5C6573"/>
          <w:sz w:val="22"/>
        </w:rPr>
        <w:t>dash</w:t>
      </w:r>
      <w:r>
        <w:rPr>
          <w:rFonts w:ascii="Calibri" w:hAnsi="Calibri"/>
          <w:color w:val="5C6573"/>
          <w:sz w:val="22"/>
        </w:rPr>
        <w:t xml:space="preserve"> et le site public </w:t>
      </w:r>
      <w:r>
        <w:rPr>
          <w:rFonts w:ascii="Calibri" w:hAnsi="Calibri"/>
          <w:b/>
          <w:color w:val="5C6573"/>
          <w:sz w:val="22"/>
        </w:rPr>
        <w:t>Frontend</w:t>
      </w:r>
      <w:r>
        <w:rPr>
          <w:rFonts w:ascii="Calibri" w:hAnsi="Calibri"/>
          <w:color w:val="5C6573"/>
          <w:sz w:val="22"/>
        </w:rPr>
        <w:t xml:space="preserve">, reconstitué à partir de l'historique Git du dépôt. </w:t>
      </w:r>
    </w:p>
    <w:p>
      <w:pPr>
        <w:spacing w:after="320"/>
        <w:pBdr>
          <w:bottom w:val="single" w:sz="12" w:space="4" w:color="12161D"/>
        </w:pBdr>
      </w:pPr>
      <w:r>
        <w:rPr>
          <w:rFonts w:ascii="Consolas" w:hAnsi="Consolas"/>
          <w:b/>
          <w:sz w:val="19"/>
        </w:rPr>
        <w:t>05 août 2026 → 26 septembre 2026 · 53 jours</w:t>
      </w:r>
    </w:p>
    <w:tbl>
      <w:tblPr>
        <w:tblW w:type="auto" w:w="0"/>
        <w:jc w:val="center"/>
        <w:tblLook w:firstColumn="1" w:firstRow="1" w:lastColumn="0" w:lastRow="0" w:noHBand="0" w:noVBand="1" w:val="04A0"/>
      </w:tblPr>
      <w:tblGrid>
        <w:gridCol w:w="1882"/>
        <w:gridCol w:w="1882"/>
        <w:gridCol w:w="1882"/>
        <w:gridCol w:w="1882"/>
        <w:gridCol w:w="1882"/>
      </w:tblGrid>
      <w:tr>
        <w:tc>
          <w:tcPr>
            <w:tcW w:type="dxa" w:w="1882"/>
            <w:tcBorders>
              <w:top w:val="nil"/>
              <w:left w:val="nil"/>
              <w:bottom w:val="nil"/>
              <w:right w:val="single" w:sz="4" w:color="EFEDE7"/>
            </w:tcBorders>
          </w:tcPr>
          <w:p>
            <w:pPr>
              <w:jc w:val="center"/>
            </w:pPr>
            <w:r>
              <w:rPr>
                <w:rFonts w:ascii="Consolas" w:hAnsi="Consolas"/>
                <w:b/>
                <w:color w:val="1B3080"/>
                <w:sz w:val="38"/>
              </w:rPr>
              <w:t>189</w:t>
            </w:r>
          </w:p>
        </w:tc>
        <w:tc>
          <w:tcPr>
            <w:tcW w:type="dxa" w:w="1882"/>
            <w:tcBorders>
              <w:top w:val="nil"/>
              <w:left w:val="nil"/>
              <w:bottom w:val="nil"/>
              <w:right w:val="single" w:sz="4" w:color="EFEDE7"/>
            </w:tcBorders>
          </w:tcPr>
          <w:p>
            <w:pPr>
              <w:jc w:val="center"/>
            </w:pPr>
            <w:r>
              <w:rPr>
                <w:rFonts w:ascii="Consolas" w:hAnsi="Consolas"/>
                <w:b/>
                <w:color w:val="1B3080"/>
                <w:sz w:val="38"/>
              </w:rPr>
              <w:t>21</w:t>
            </w:r>
          </w:p>
        </w:tc>
        <w:tc>
          <w:tcPr>
            <w:tcW w:type="dxa" w:w="1882"/>
            <w:tcBorders>
              <w:top w:val="nil"/>
              <w:left w:val="nil"/>
              <w:bottom w:val="nil"/>
              <w:right w:val="single" w:sz="4" w:color="EFEDE7"/>
            </w:tcBorders>
          </w:tcPr>
          <w:p>
            <w:pPr>
              <w:jc w:val="center"/>
            </w:pPr>
            <w:r>
              <w:rPr>
                <w:rFonts w:ascii="Consolas" w:hAnsi="Consolas"/>
                <w:b/>
                <w:color w:val="1B3080"/>
                <w:sz w:val="38"/>
              </w:rPr>
              <w:t>69</w:t>
            </w:r>
          </w:p>
        </w:tc>
        <w:tc>
          <w:tcPr>
            <w:tcW w:type="dxa" w:w="1882"/>
            <w:tcBorders>
              <w:top w:val="nil"/>
              <w:left w:val="nil"/>
              <w:bottom w:val="nil"/>
              <w:right w:val="single" w:sz="4" w:color="EFEDE7"/>
            </w:tcBorders>
          </w:tcPr>
          <w:p>
            <w:pPr>
              <w:jc w:val="center"/>
            </w:pPr>
            <w:r>
              <w:rPr>
                <w:rFonts w:ascii="Consolas" w:hAnsi="Consolas"/>
                <w:b/>
                <w:color w:val="1B3080"/>
                <w:sz w:val="38"/>
              </w:rPr>
              <w:t>395</w:t>
            </w:r>
          </w:p>
        </w:tc>
        <w:tc>
          <w:tcPr>
            <w:tcW w:type="dxa" w:w="1882"/>
            <w:tcBorders>
              <w:top w:val="nil"/>
              <w:left w:val="nil"/>
              <w:bottom w:val="nil"/>
              <w:right w:val="nil"/>
            </w:tcBorders>
          </w:tcPr>
          <w:p>
            <w:pPr>
              <w:jc w:val="center"/>
            </w:pPr>
            <w:r>
              <w:rPr>
                <w:rFonts w:ascii="Consolas" w:hAnsi="Consolas"/>
                <w:b/>
                <w:color w:val="1B3080"/>
                <w:sz w:val="38"/>
              </w:rPr>
              <w:t>93 421</w:t>
            </w:r>
          </w:p>
        </w:tc>
      </w:tr>
      <w:tr>
        <w:tc>
          <w:tcPr>
            <w:tcW w:type="dxa" w:w="1882"/>
            <w:tcBorders>
              <w:top w:val="nil"/>
              <w:left w:val="nil"/>
              <w:bottom w:val="single" w:sz="6" w:color="E4E1D9"/>
              <w:right w:val="single" w:sz="4" w:color="EFEDE7"/>
            </w:tcBorders>
          </w:tcPr>
          <w:p>
            <w:pPr>
              <w:jc w:val="center"/>
            </w:pPr>
            <w:r>
              <w:rPr>
                <w:color w:val="5C6573"/>
                <w:sz w:val="17"/>
              </w:rPr>
              <w:t>livraisons (commits)</w:t>
            </w:r>
          </w:p>
        </w:tc>
        <w:tc>
          <w:tcPr>
            <w:tcW w:type="dxa" w:w="1882"/>
            <w:tcBorders>
              <w:top w:val="nil"/>
              <w:left w:val="nil"/>
              <w:bottom w:val="single" w:sz="6" w:color="E4E1D9"/>
              <w:right w:val="single" w:sz="4" w:color="EFEDE7"/>
            </w:tcBorders>
          </w:tcPr>
          <w:p>
            <w:pPr>
              <w:jc w:val="center"/>
            </w:pPr>
            <w:r>
              <w:rPr>
                <w:color w:val="5C6573"/>
                <w:sz w:val="17"/>
              </w:rPr>
              <w:t>lots fonctionnels</w:t>
            </w:r>
          </w:p>
        </w:tc>
        <w:tc>
          <w:tcPr>
            <w:tcW w:type="dxa" w:w="1882"/>
            <w:tcBorders>
              <w:top w:val="nil"/>
              <w:left w:val="nil"/>
              <w:bottom w:val="single" w:sz="6" w:color="E4E1D9"/>
              <w:right w:val="single" w:sz="4" w:color="EFEDE7"/>
            </w:tcBorders>
          </w:tcPr>
          <w:p>
            <w:pPr>
              <w:jc w:val="center"/>
            </w:pPr>
            <w:r>
              <w:rPr>
                <w:color w:val="5C6573"/>
                <w:sz w:val="17"/>
              </w:rPr>
              <w:t>écrans &amp; modules créés</w:t>
            </w:r>
          </w:p>
        </w:tc>
        <w:tc>
          <w:tcPr>
            <w:tcW w:type="dxa" w:w="1882"/>
            <w:tcBorders>
              <w:top w:val="nil"/>
              <w:left w:val="nil"/>
              <w:bottom w:val="single" w:sz="6" w:color="E4E1D9"/>
              <w:right w:val="single" w:sz="4" w:color="EFEDE7"/>
            </w:tcBorders>
          </w:tcPr>
          <w:p>
            <w:pPr>
              <w:jc w:val="center"/>
            </w:pPr>
            <w:r>
              <w:rPr>
                <w:color w:val="5C6573"/>
                <w:sz w:val="17"/>
              </w:rPr>
              <w:t>fichiers touchés</w:t>
            </w:r>
          </w:p>
        </w:tc>
        <w:tc>
          <w:tcPr>
            <w:tcW w:type="dxa" w:w="1882"/>
            <w:tcBorders>
              <w:top w:val="nil"/>
              <w:left w:val="nil"/>
              <w:bottom w:val="single" w:sz="6" w:color="E4E1D9"/>
              <w:right w:val="nil"/>
            </w:tcBorders>
          </w:tcPr>
          <w:p>
            <w:pPr>
              <w:jc w:val="center"/>
            </w:pPr>
            <w:r>
              <w:rPr>
                <w:color w:val="5C6573"/>
                <w:sz w:val="17"/>
              </w:rPr>
              <w:t>lignes écrites</w:t>
            </w:r>
          </w:p>
        </w:tc>
      </w:tr>
    </w:tbl>
    <w:p>
      <w:pPr>
        <w:spacing w:after="160"/>
      </w:pPr>
    </w:p>
    <w:tbl>
      <w:tblPr>
        <w:tblW w:type="auto" w:w="0"/>
        <w:jc w:val="center"/>
        <w:tblLook w:firstColumn="1" w:firstRow="1" w:lastColumn="0" w:lastRow="0" w:noHBand="0" w:noVBand="1" w:val="04A0"/>
      </w:tblPr>
      <w:tblGrid>
        <w:gridCol w:w="9412"/>
      </w:tblGrid>
      <w:tr>
        <w:tc>
          <w:tcPr>
            <w:tcW w:type="dxa" w:w="9412"/>
            <w:shd w:val="clear" w:fill="ECF7FA"/>
            <w:tcBorders>
              <w:top w:val="single" w:sz="4" w:color="E4E1D9"/>
              <w:left w:val="single" w:sz="18" w:color="0891B2"/>
              <w:bottom w:val="single" w:sz="4" w:color="E4E1D9"/>
              <w:right w:val="single" w:sz="4" w:color="E4E1D9"/>
            </w:tcBorders>
          </w:tcPr>
          <w:p>
            <w:pPr>
              <w:spacing w:after="100"/>
            </w:pPr>
            <w:r>
              <w:rPr>
                <w:rFonts w:ascii="Georgia" w:hAnsi="Georgia"/>
                <w:b/>
                <w:sz w:val="22"/>
              </w:rPr>
              <w:t>Comment cette liste a été établie.</w:t>
            </w:r>
          </w:p>
          <w:p>
            <w:pPr>
              <w:spacing w:after="60"/>
            </w:pPr>
            <w:r>
              <w:rPr>
                <w:rFonts w:ascii="Calibri" w:hAnsi="Calibri"/>
                <w:color w:val="5C6573"/>
                <w:sz w:val="20"/>
              </w:rPr>
            </w:r>
            <w:r>
              <w:rPr>
                <w:rFonts w:ascii="Calibri" w:hAnsi="Calibri"/>
                <w:color w:val="5C6573"/>
                <w:sz w:val="20"/>
              </w:rPr>
              <w:t xml:space="preserve"> Chaque ligne correspond à une ou plusieurs livraisons datées dans l'historique du dépôt, restreintes aux répertoires </w:t>
            </w:r>
            <w:r>
              <w:rPr>
                <w:rFonts w:ascii="Consolas" w:hAnsi="Consolas"/>
                <w:color w:val="5C6573"/>
                <w:sz w:val="19"/>
              </w:rPr>
              <w:t>dash/src</w:t>
            </w:r>
            <w:r>
              <w:rPr>
                <w:rFonts w:ascii="Calibri" w:hAnsi="Calibri"/>
                <w:color w:val="5C6573"/>
                <w:sz w:val="20"/>
              </w:rPr>
              <w:t xml:space="preserve"> et </w:t>
            </w:r>
            <w:r>
              <w:rPr>
                <w:rFonts w:ascii="Consolas" w:hAnsi="Consolas"/>
                <w:color w:val="5C6573"/>
                <w:sz w:val="19"/>
              </w:rPr>
              <w:t>Frontend/src</w:t>
            </w:r>
            <w:r>
              <w:rPr>
                <w:rFonts w:ascii="Calibri" w:hAnsi="Calibri"/>
                <w:color w:val="5C6573"/>
                <w:sz w:val="20"/>
              </w:rPr>
              <w:t xml:space="preserve"> — le back-end, la base de données et la plateforme </w:t>
            </w:r>
            <w:r>
              <w:rPr>
                <w:rFonts w:ascii="Consolas" w:hAnsi="Consolas"/>
                <w:color w:val="5C6573"/>
                <w:sz w:val="19"/>
              </w:rPr>
              <w:t>bet-elearning</w:t>
            </w:r>
            <w:r>
              <w:rPr>
                <w:rFonts w:ascii="Calibri" w:hAnsi="Calibri"/>
                <w:color w:val="5C6573"/>
                <w:sz w:val="20"/>
              </w:rPr>
              <w:t xml:space="preserve"> en sont exclus, bien que la plupart de ces fonctionnalités aient aussi demandé du travail de ce côté. Les livraisons d'août portent des intitulés génériques ; leur contenu a été reconstitué à partir des fichiers effectivement modifiés, le détail y est donc moins fin que pour septembre. Les lignes marquées </w:t>
            </w:r>
            <w:r>
              <w:rPr>
                <w:rFonts w:ascii="Calibri" w:hAnsi="Calibri"/>
                <w:b/>
                <w:color w:val="0891B2"/>
                <w:sz w:val="16"/>
              </w:rPr>
              <w:t xml:space="preserve"> [EN COURS]</w:t>
            </w:r>
            <w:r>
              <w:rPr>
                <w:rFonts w:ascii="Calibri" w:hAnsi="Calibri"/>
                <w:color w:val="5C6573"/>
                <w:sz w:val="20"/>
              </w:rPr>
              <w:t xml:space="preserve"> sont terminées et testées mais pas encore versionnées à la date d'établissement. </w:t>
            </w:r>
          </w:p>
        </w:tc>
      </w:tr>
    </w:tbl>
    <w:p>
      <w:pPr>
        <w:spacing w:after="120"/>
      </w:pPr>
    </w:p>
    <w:p>
      <w:pPr>
        <w:pStyle w:val="Heading1"/>
      </w:pPr>
      <w:r>
        <w:t>dash</w:t>
      </w:r>
    </w:p>
    <w:p>
      <w:pPr>
        <w:spacing w:after="40"/>
      </w:pPr>
      <w:r>
        <w:rPr>
          <w:color w:val="5C6573"/>
          <w:sz w:val="18"/>
        </w:rPr>
        <w:t>back-office — 16 dashboards métier</w:t>
      </w:r>
    </w:p>
    <w:p>
      <w:pPr>
        <w:spacing w:after="40"/>
        <w:pBdr>
          <w:bottom w:val="single" w:sz="6" w:space="4" w:color="12161D"/>
        </w:pBdr>
      </w:pPr>
      <w:r>
        <w:rPr>
          <w:rFonts w:ascii="Consolas" w:hAnsi="Consolas"/>
          <w:color w:val="8A93A1"/>
          <w:sz w:val="17"/>
        </w:rPr>
        <w:t>148 livraisons · 234 fichiers · +85 198 / −40 767</w:t>
      </w:r>
    </w:p>
    <w:p>
      <w:pPr>
        <w:pStyle w:val="Heading2"/>
      </w:pPr>
      <w:r>
        <w:rPr>
          <w:rFonts w:ascii="Consolas" w:hAnsi="Consolas"/>
          <w:b/>
          <w:color w:val="0891B2"/>
          <w:sz w:val="18"/>
        </w:rPr>
        <w:t xml:space="preserve">LOT 01   </w:t>
      </w:r>
      <w:r>
        <w:rPr>
          <w:rFonts w:ascii="Georgia" w:hAnsi="Georgia"/>
          <w:b/>
          <w:color w:val="1B3080"/>
          <w:sz w:val="25"/>
        </w:rPr>
        <w:t>Paiement en ligne et facturation</w:t>
      </w:r>
    </w:p>
    <w:p>
      <w:pPr>
        <w:spacing w:after="80"/>
      </w:pPr>
      <w:r>
        <w:rPr>
          <w:rFonts w:ascii="Consolas" w:hAnsi="Consolas"/>
          <w:color w:val="8A93A1"/>
          <w:sz w:val="17"/>
        </w:rPr>
        <w:t>12 livraisons</w:t>
      </w:r>
    </w:p>
    <w:p>
      <w:pPr>
        <w:pStyle w:val="ListBullet"/>
        <w:spacing w:after="40"/>
        <w:ind w:left="510"/>
      </w:pPr>
      <w:r>
        <w:rPr>
          <w:rFonts w:ascii="Calibri" w:hAnsi="Calibri"/>
          <w:sz w:val="21"/>
        </w:rPr>
        <w:t xml:space="preserve">Migration complète du paiement en ligne de </w:t>
      </w:r>
      <w:r>
        <w:rPr>
          <w:rFonts w:ascii="Calibri" w:hAnsi="Calibri"/>
          <w:i/>
          <w:color w:val="5C6573"/>
          <w:sz w:val="21"/>
        </w:rPr>
        <w:t>CinetPay vers TouchPoint</w:t>
      </w:r>
      <w:r>
        <w:rPr>
          <w:rFonts w:ascii="Calibri" w:hAnsi="Calibri"/>
          <w:sz w:val="21"/>
        </w:rPr>
        <w:t>, de bout en bout</w:t>
      </w:r>
    </w:p>
    <w:p>
      <w:pPr>
        <w:pStyle w:val="ListBullet"/>
        <w:spacing w:after="40"/>
        <w:ind w:left="510"/>
      </w:pPr>
      <w:r>
        <w:rPr>
          <w:rFonts w:ascii="Calibri" w:hAnsi="Calibri"/>
          <w:sz w:val="21"/>
        </w:rPr>
        <w:t>Réconciliation des paiements TouchPoint, avec le mois concerné porté sur le reçu</w:t>
      </w:r>
    </w:p>
    <w:p>
      <w:pPr>
        <w:pStyle w:val="ListBullet"/>
        <w:spacing w:after="40"/>
        <w:ind w:left="510"/>
      </w:pPr>
      <w:r>
        <w:rPr>
          <w:rFonts w:ascii="Calibri" w:hAnsi="Calibri"/>
          <w:sz w:val="21"/>
        </w:rPr>
        <w:t xml:space="preserve">Modal de détail cliquable et export PDF des paiements </w:t>
      </w:r>
      <w:r>
        <w:rPr>
          <w:rFonts w:ascii="Calibri" w:hAnsi="Calibri"/>
          <w:b/>
          <w:color w:val="1B3080"/>
          <w:sz w:val="17"/>
        </w:rPr>
        <w:t xml:space="preserve"> [SuperAdmin / Admin]</w:t>
      </w:r>
    </w:p>
    <w:p>
      <w:pPr>
        <w:pStyle w:val="ListBullet"/>
        <w:spacing w:after="40"/>
        <w:ind w:left="510"/>
      </w:pPr>
      <w:r>
        <w:rPr>
          <w:rFonts w:ascii="Calibri" w:hAnsi="Calibri"/>
          <w:sz w:val="21"/>
        </w:rPr>
        <w:t>Reçu commercial enrichi : token, opérateur, niveau, résumé de paiement cliquable</w:t>
      </w:r>
    </w:p>
    <w:p>
      <w:pPr>
        <w:pStyle w:val="ListBullet"/>
        <w:spacing w:after="40"/>
        <w:ind w:left="510"/>
      </w:pPr>
      <w:r>
        <w:rPr>
          <w:rFonts w:ascii="Calibri" w:hAnsi="Calibri"/>
          <w:sz w:val="21"/>
        </w:rPr>
        <w:t>Correction du statut de paiement dans « Prospects parcours »</w:t>
      </w:r>
    </w:p>
    <w:p>
      <w:pPr>
        <w:pStyle w:val="ListBullet"/>
        <w:spacing w:after="40"/>
        <w:ind w:left="510"/>
      </w:pPr>
      <w:r>
        <w:rPr>
          <w:rFonts w:ascii="Calibri" w:hAnsi="Calibri"/>
          <w:sz w:val="21"/>
        </w:rPr>
        <w:t>Correction des versements payés d'avance, perdus dans l'échéancier</w:t>
      </w:r>
    </w:p>
    <w:p>
      <w:pPr>
        <w:pStyle w:val="ListBullet"/>
        <w:spacing w:after="40"/>
        <w:ind w:left="510"/>
      </w:pPr>
      <w:r>
        <w:rPr>
          <w:rFonts w:ascii="Calibri" w:hAnsi="Calibri"/>
          <w:sz w:val="21"/>
        </w:rPr>
        <w:t>Rétablissement du plan de paiement mensuel dans l'import des apprenants</w:t>
      </w:r>
    </w:p>
    <w:p>
      <w:pPr>
        <w:pStyle w:val="ListBullet"/>
        <w:spacing w:after="40"/>
        <w:ind w:left="510"/>
      </w:pPr>
      <w:r>
        <w:rPr>
          <w:rFonts w:ascii="Calibri" w:hAnsi="Calibri"/>
          <w:sz w:val="21"/>
        </w:rPr>
        <w:t>Suivi des paiements côté commerciale, filet de secours sur l'URL de retour</w:t>
      </w:r>
    </w:p>
    <w:p>
      <w:pPr>
        <w:pStyle w:val="ListBullet"/>
        <w:spacing w:after="40"/>
        <w:ind w:left="510"/>
      </w:pPr>
      <w:r>
        <w:rPr>
          <w:rFonts w:ascii="Calibri" w:hAnsi="Calibri"/>
          <w:sz w:val="21"/>
        </w:rPr>
        <w:t xml:space="preserve">Pause et reprise d'un apprenant : la facturation suit, </w:t>
      </w:r>
      <w:r>
        <w:rPr>
          <w:rFonts w:ascii="Calibri" w:hAnsi="Calibri"/>
          <w:i/>
          <w:color w:val="5C6573"/>
          <w:sz w:val="21"/>
        </w:rPr>
        <w:t>sans arriérés au retour</w:t>
      </w:r>
    </w:p>
    <w:p>
      <w:pPr>
        <w:pStyle w:val="ListBullet"/>
        <w:spacing w:after="40"/>
        <w:ind w:left="510"/>
      </w:pPr>
      <w:r>
        <w:rPr>
          <w:rFonts w:ascii="Calibri" w:hAnsi="Calibri"/>
          <w:sz w:val="21"/>
        </w:rPr>
        <w:t>Facturation branchée sur l'arrêt de formation</w:t>
      </w:r>
    </w:p>
    <w:p>
      <w:pPr>
        <w:pStyle w:val="Heading2"/>
      </w:pPr>
      <w:r>
        <w:rPr>
          <w:rFonts w:ascii="Consolas" w:hAnsi="Consolas"/>
          <w:b/>
          <w:color w:val="0891B2"/>
          <w:sz w:val="18"/>
        </w:rPr>
        <w:t xml:space="preserve">LOT 02   </w:t>
      </w:r>
      <w:r>
        <w:rPr>
          <w:rFonts w:ascii="Georgia" w:hAnsi="Georgia"/>
          <w:b/>
          <w:color w:val="1B3080"/>
          <w:sz w:val="25"/>
        </w:rPr>
        <w:t>Import en masse et onboarding</w:t>
      </w:r>
    </w:p>
    <w:p>
      <w:pPr>
        <w:spacing w:after="80"/>
      </w:pPr>
      <w:r>
        <w:rPr>
          <w:rFonts w:ascii="Consolas" w:hAnsi="Consolas"/>
          <w:color w:val="8A93A1"/>
          <w:sz w:val="17"/>
        </w:rPr>
        <w:t>9 livraisons</w:t>
      </w:r>
    </w:p>
    <w:p>
      <w:pPr>
        <w:pStyle w:val="ListBullet"/>
        <w:spacing w:after="40"/>
        <w:ind w:left="510"/>
      </w:pPr>
      <w:r>
        <w:rPr>
          <w:rFonts w:ascii="Calibri" w:hAnsi="Calibri"/>
          <w:sz w:val="21"/>
        </w:rPr>
        <w:t xml:space="preserve">Refonte complète de l'import en masse : traitement serveur, </w:t>
      </w:r>
      <w:r>
        <w:rPr>
          <w:rFonts w:ascii="Calibri" w:hAnsi="Calibri"/>
          <w:i/>
          <w:color w:val="5C6573"/>
          <w:sz w:val="21"/>
        </w:rPr>
        <w:t>atomicité par ligne</w:t>
      </w:r>
      <w:r>
        <w:rPr>
          <w:rFonts w:ascii="Calibri" w:hAnsi="Calibri"/>
          <w:sz w:val="21"/>
        </w:rPr>
        <w:t>, annulation</w:t>
      </w:r>
    </w:p>
    <w:p>
      <w:pPr>
        <w:pStyle w:val="ListBullet"/>
        <w:spacing w:after="40"/>
        <w:ind w:left="510"/>
      </w:pPr>
      <w:r>
        <w:rPr>
          <w:rFonts w:ascii="Calibri" w:hAnsi="Calibri"/>
          <w:sz w:val="21"/>
        </w:rPr>
        <w:t>Modal de progression bloquant pendant l'import, avec interruption possible</w:t>
      </w:r>
    </w:p>
    <w:p>
      <w:pPr>
        <w:pStyle w:val="ListBullet"/>
        <w:spacing w:after="40"/>
        <w:ind w:left="510"/>
      </w:pPr>
      <w:r>
        <w:rPr>
          <w:rFonts w:ascii="Calibri" w:hAnsi="Calibri"/>
          <w:sz w:val="21"/>
        </w:rPr>
        <w:t>Historique des imports consultable à tout moment : relancer, annuler, effacer</w:t>
      </w:r>
    </w:p>
    <w:p>
      <w:pPr>
        <w:pStyle w:val="ListBullet"/>
        <w:spacing w:after="40"/>
        <w:ind w:left="510"/>
      </w:pPr>
      <w:r>
        <w:rPr>
          <w:rFonts w:ascii="Calibri" w:hAnsi="Calibri"/>
          <w:sz w:val="21"/>
        </w:rPr>
        <w:t>Badge d'alerte à deux niveaux sur l'historique — orange « à relancer », rouge « annulé »</w:t>
      </w:r>
    </w:p>
    <w:p>
      <w:pPr>
        <w:pStyle w:val="ListBullet"/>
        <w:spacing w:after="40"/>
        <w:ind w:left="510"/>
      </w:pPr>
      <w:r>
        <w:rPr>
          <w:rFonts w:ascii="Calibri" w:hAnsi="Calibri"/>
          <w:sz w:val="21"/>
        </w:rPr>
        <w:t>Profil enfant géré dans l'import coaching privé (commerciale présentiel et onboarding)</w:t>
      </w:r>
    </w:p>
    <w:p>
      <w:pPr>
        <w:pStyle w:val="ListBullet"/>
        <w:spacing w:after="40"/>
        <w:ind w:left="510"/>
      </w:pPr>
      <w:r>
        <w:rPr>
          <w:rFonts w:ascii="Calibri" w:hAnsi="Calibri"/>
          <w:sz w:val="21"/>
        </w:rPr>
        <w:t>Les classes créées rejoignent le lot d'import et deviennent annulables</w:t>
      </w:r>
    </w:p>
    <w:p>
      <w:pPr>
        <w:pStyle w:val="ListBullet"/>
        <w:spacing w:after="40"/>
        <w:ind w:left="510"/>
      </w:pPr>
      <w:r>
        <w:rPr>
          <w:rFonts w:ascii="Calibri" w:hAnsi="Calibri"/>
          <w:sz w:val="21"/>
        </w:rPr>
        <w:t>Correction de l'échec « assistante_id requis » sur l'import global Onboarding</w:t>
      </w:r>
    </w:p>
    <w:p>
      <w:pPr>
        <w:pStyle w:val="ListBullet"/>
        <w:spacing w:after="40"/>
        <w:ind w:left="510"/>
      </w:pPr>
      <w:r>
        <w:rPr>
          <w:rFonts w:ascii="Calibri" w:hAnsi="Calibri"/>
          <w:sz w:val="21"/>
        </w:rPr>
        <w:t>Rechargement de la liste des groupes à la fermeture du rapport d'import</w:t>
      </w:r>
    </w:p>
    <w:p>
      <w:pPr>
        <w:pStyle w:val="Heading2"/>
      </w:pPr>
      <w:r>
        <w:rPr>
          <w:rFonts w:ascii="Consolas" w:hAnsi="Consolas"/>
          <w:b/>
          <w:color w:val="0891B2"/>
          <w:sz w:val="18"/>
        </w:rPr>
        <w:t xml:space="preserve">LOT 03   </w:t>
      </w:r>
      <w:r>
        <w:rPr>
          <w:rFonts w:ascii="Georgia" w:hAnsi="Georgia"/>
          <w:b/>
          <w:color w:val="1B3080"/>
          <w:sz w:val="25"/>
        </w:rPr>
        <w:t>Classes, apprenants et parcours</w:t>
      </w:r>
    </w:p>
    <w:p>
      <w:pPr>
        <w:spacing w:after="80"/>
      </w:pPr>
      <w:r>
        <w:rPr>
          <w:rFonts w:ascii="Consolas" w:hAnsi="Consolas"/>
          <w:color w:val="8A93A1"/>
          <w:sz w:val="17"/>
        </w:rPr>
        <w:t>14 livraisons</w:t>
      </w:r>
    </w:p>
    <w:p>
      <w:pPr>
        <w:pStyle w:val="ListBullet"/>
        <w:spacing w:after="40"/>
        <w:ind w:left="510"/>
      </w:pPr>
      <w:r>
        <w:rPr>
          <w:rFonts w:ascii="Calibri" w:hAnsi="Calibri"/>
          <w:sz w:val="21"/>
        </w:rPr>
        <w:t xml:space="preserve">Onglet </w:t>
      </w:r>
      <w:r>
        <w:rPr>
          <w:rFonts w:ascii="Calibri" w:hAnsi="Calibri"/>
          <w:i/>
          <w:color w:val="5C6573"/>
          <w:sz w:val="21"/>
        </w:rPr>
        <w:t>Historique</w:t>
      </w:r>
      <w:r>
        <w:rPr>
          <w:rFonts w:ascii="Calibri" w:hAnsi="Calibri"/>
          <w:sz w:val="21"/>
        </w:rPr>
        <w:t xml:space="preserve"> sur le détail d'une classe : tous les mouvements d'apprenants</w:t>
      </w:r>
    </w:p>
    <w:p>
      <w:pPr>
        <w:pStyle w:val="ListBullet"/>
        <w:spacing w:after="40"/>
        <w:ind w:left="510"/>
      </w:pPr>
      <w:r>
        <w:rPr>
          <w:rFonts w:ascii="Calibri" w:hAnsi="Calibri"/>
          <w:sz w:val="21"/>
        </w:rPr>
        <w:t>Transfert d'apprenant : proposition de tous les niveaux, un niveau différent avertit au lieu de bloquer</w:t>
      </w:r>
    </w:p>
    <w:p>
      <w:pPr>
        <w:pStyle w:val="ListBullet"/>
        <w:spacing w:after="40"/>
        <w:ind w:left="510"/>
      </w:pPr>
      <w:r>
        <w:rPr>
          <w:rFonts w:ascii="Calibri" w:hAnsi="Calibri"/>
          <w:sz w:val="21"/>
        </w:rPr>
        <w:t>Notifications de transfert : destinataires manquants et comportement unifié</w:t>
      </w:r>
    </w:p>
    <w:p>
      <w:pPr>
        <w:pStyle w:val="ListBullet"/>
        <w:spacing w:after="40"/>
        <w:ind w:left="510"/>
      </w:pPr>
      <w:r>
        <w:rPr>
          <w:rFonts w:ascii="Calibri" w:hAnsi="Calibri"/>
          <w:sz w:val="21"/>
        </w:rPr>
        <w:t>Rattachement de chaque classe à l'assistante de ses apprenants, non à son créateur</w:t>
      </w:r>
    </w:p>
    <w:p>
      <w:pPr>
        <w:pStyle w:val="ListBullet"/>
        <w:spacing w:after="40"/>
        <w:ind w:left="510"/>
      </w:pPr>
      <w:r>
        <w:rPr>
          <w:rFonts w:ascii="Calibri" w:hAnsi="Calibri"/>
          <w:sz w:val="21"/>
        </w:rPr>
        <w:t>Création de classe : les filières viennent du catalogue réel, plus d'une liste écrite en dur</w:t>
      </w:r>
    </w:p>
    <w:p>
      <w:pPr>
        <w:pStyle w:val="ListBullet"/>
        <w:spacing w:after="40"/>
        <w:ind w:left="510"/>
      </w:pPr>
      <w:r>
        <w:rPr>
          <w:rFonts w:ascii="Calibri" w:hAnsi="Calibri"/>
          <w:sz w:val="21"/>
        </w:rPr>
        <w:t>Détail classe : un coaching privé à domicile affiche l'adresse plutôt que le centre</w:t>
      </w:r>
    </w:p>
    <w:p>
      <w:pPr>
        <w:pStyle w:val="ListBullet"/>
        <w:spacing w:after="40"/>
        <w:ind w:left="510"/>
      </w:pPr>
      <w:r>
        <w:rPr>
          <w:rFonts w:ascii="Calibri" w:hAnsi="Calibri"/>
          <w:sz w:val="21"/>
        </w:rPr>
        <w:t>Offres &amp; Formations : alignement corrigé, les inscriptions importées rejoignent leur offre</w:t>
      </w:r>
    </w:p>
    <w:p>
      <w:pPr>
        <w:pStyle w:val="ListBullet"/>
        <w:spacing w:after="40"/>
        <w:ind w:left="510"/>
      </w:pPr>
      <w:r>
        <w:rPr>
          <w:rFonts w:ascii="Calibri" w:hAnsi="Calibri"/>
          <w:sz w:val="21"/>
        </w:rPr>
        <w:t>Blocage d'accès : la commerciale choisit le motif dans un modal, avec aperçu de ce que lira l'apprenant</w:t>
      </w:r>
    </w:p>
    <w:p>
      <w:pPr>
        <w:pStyle w:val="ListBullet"/>
        <w:spacing w:after="40"/>
        <w:ind w:left="510"/>
      </w:pPr>
      <w:r>
        <w:rPr>
          <w:rFonts w:ascii="Calibri" w:hAnsi="Calibri"/>
          <w:sz w:val="21"/>
        </w:rPr>
        <w:t xml:space="preserve">Reconnaissance du type « coaching privé en ligne » et filtrage associé </w:t>
      </w:r>
      <w:r>
        <w:rPr>
          <w:rFonts w:ascii="Calibri" w:hAnsi="Calibri"/>
          <w:b/>
          <w:color w:val="1B3080"/>
          <w:sz w:val="17"/>
        </w:rPr>
        <w:t xml:space="preserve"> [PA]</w:t>
      </w:r>
    </w:p>
    <w:p>
      <w:pPr>
        <w:pStyle w:val="ListBullet"/>
        <w:spacing w:after="40"/>
        <w:ind w:left="510"/>
      </w:pPr>
      <w:r>
        <w:rPr>
          <w:rFonts w:ascii="Calibri" w:hAnsi="Calibri"/>
          <w:sz w:val="21"/>
        </w:rPr>
        <w:t xml:space="preserve">Archive des apprenants du coach : qui il a formé sur l'année, motifs de départ, export Excel </w:t>
      </w:r>
      <w:r>
        <w:rPr>
          <w:rFonts w:ascii="Calibri" w:hAnsi="Calibri"/>
          <w:b/>
          <w:color w:val="0891B2"/>
          <w:sz w:val="17"/>
        </w:rPr>
        <w:t xml:space="preserve"> [EN COURS]</w:t>
      </w:r>
    </w:p>
    <w:p>
      <w:pPr>
        <w:pStyle w:val="ListBullet"/>
        <w:spacing w:after="40"/>
        <w:ind w:left="510"/>
      </w:pPr>
      <w:r>
        <w:rPr>
          <w:rFonts w:ascii="Calibri" w:hAnsi="Calibri"/>
          <w:sz w:val="21"/>
        </w:rPr>
        <w:t xml:space="preserve">Même archive consultable par le superviseur, avec filtres et pagination </w:t>
      </w:r>
      <w:r>
        <w:rPr>
          <w:rFonts w:ascii="Calibri" w:hAnsi="Calibri"/>
          <w:b/>
          <w:color w:val="0891B2"/>
          <w:sz w:val="17"/>
        </w:rPr>
        <w:t xml:space="preserve"> [EN COURS]</w:t>
      </w:r>
    </w:p>
    <w:p>
      <w:pPr>
        <w:pStyle w:val="Heading2"/>
      </w:pPr>
      <w:r>
        <w:rPr>
          <w:rFonts w:ascii="Consolas" w:hAnsi="Consolas"/>
          <w:b/>
          <w:color w:val="0891B2"/>
          <w:sz w:val="18"/>
        </w:rPr>
        <w:t xml:space="preserve">LOT 04   </w:t>
      </w:r>
      <w:r>
        <w:rPr>
          <w:rFonts w:ascii="Georgia" w:hAnsi="Georgia"/>
          <w:b/>
          <w:color w:val="1B3080"/>
          <w:sz w:val="25"/>
        </w:rPr>
        <w:t>Évaluation et qualité pédagogique</w:t>
      </w:r>
    </w:p>
    <w:p>
      <w:pPr>
        <w:spacing w:after="80"/>
      </w:pPr>
      <w:r>
        <w:rPr>
          <w:rFonts w:ascii="Consolas" w:hAnsi="Consolas"/>
          <w:color w:val="8A93A1"/>
          <w:sz w:val="17"/>
        </w:rPr>
        <w:t>19 livraisons</w:t>
      </w:r>
    </w:p>
    <w:p>
      <w:pPr>
        <w:pStyle w:val="ListBullet"/>
        <w:spacing w:after="40"/>
        <w:ind w:left="510"/>
      </w:pPr>
      <w:r>
        <w:rPr>
          <w:rFonts w:ascii="Calibri" w:hAnsi="Calibri"/>
          <w:sz w:val="21"/>
        </w:rPr>
        <w:t>Rapport d'observation enrichi : professionnalisme, état d'Internet, nouvelles listes de critères</w:t>
      </w:r>
    </w:p>
    <w:p>
      <w:pPr>
        <w:pStyle w:val="ListBullet"/>
        <w:spacing w:after="40"/>
        <w:ind w:left="510"/>
      </w:pPr>
      <w:r>
        <w:rPr>
          <w:rFonts w:ascii="Calibri" w:hAnsi="Calibri"/>
          <w:sz w:val="21"/>
        </w:rPr>
        <w:t xml:space="preserve">Unification du barème d'observation sur le </w:t>
      </w:r>
      <w:r>
        <w:rPr>
          <w:rFonts w:ascii="Calibri" w:hAnsi="Calibri"/>
          <w:i/>
          <w:color w:val="5C6573"/>
          <w:sz w:val="21"/>
        </w:rPr>
        <w:t>/70 officiel</w:t>
      </w:r>
      <w:r>
        <w:rPr>
          <w:rFonts w:ascii="Calibri" w:hAnsi="Calibri"/>
          <w:sz w:val="21"/>
        </w:rPr>
        <w:t>, avec recalcul de l'historique</w:t>
      </w:r>
    </w:p>
    <w:p>
      <w:pPr>
        <w:pStyle w:val="ListBullet"/>
        <w:spacing w:after="40"/>
        <w:ind w:left="510"/>
      </w:pPr>
      <w:r>
        <w:rPr>
          <w:rFonts w:ascii="Calibri" w:hAnsi="Calibri"/>
          <w:sz w:val="21"/>
        </w:rPr>
        <w:t xml:space="preserve">Onglet </w:t>
      </w:r>
      <w:r>
        <w:rPr>
          <w:rFonts w:ascii="Calibri" w:hAnsi="Calibri"/>
          <w:i/>
          <w:color w:val="5C6573"/>
          <w:sz w:val="21"/>
        </w:rPr>
        <w:t>Classement des coachs</w:t>
      </w:r>
      <w:r>
        <w:rPr>
          <w:rFonts w:ascii="Calibri" w:hAnsi="Calibri"/>
          <w:sz w:val="21"/>
        </w:rPr>
        <w:t xml:space="preserve"> chez le superviseur : filtrage fin, pagination, export Excel</w:t>
      </w:r>
    </w:p>
    <w:p>
      <w:pPr>
        <w:pStyle w:val="ListBullet"/>
        <w:spacing w:after="40"/>
        <w:ind w:left="510"/>
      </w:pPr>
      <w:r>
        <w:rPr>
          <w:rFonts w:ascii="Calibri" w:hAnsi="Calibri"/>
          <w:sz w:val="21"/>
        </w:rPr>
        <w:t>Le classement ouvre la fiche du coach sur ses observations, avec filtre par mois</w:t>
      </w:r>
    </w:p>
    <w:p>
      <w:pPr>
        <w:pStyle w:val="ListBullet"/>
        <w:spacing w:after="40"/>
        <w:ind w:left="510"/>
      </w:pPr>
      <w:r>
        <w:rPr>
          <w:rFonts w:ascii="Calibri" w:hAnsi="Calibri"/>
          <w:sz w:val="21"/>
        </w:rPr>
        <w:t xml:space="preserve">Onglet </w:t>
      </w:r>
      <w:r>
        <w:rPr>
          <w:rFonts w:ascii="Calibri" w:hAnsi="Calibri"/>
          <w:i/>
          <w:color w:val="5C6573"/>
          <w:sz w:val="21"/>
        </w:rPr>
        <w:t>Évaluations apprenants</w:t>
      </w:r>
      <w:r>
        <w:rPr>
          <w:rFonts w:ascii="Calibri" w:hAnsi="Calibri"/>
          <w:sz w:val="21"/>
        </w:rPr>
        <w:t xml:space="preserve"> chez le superviseur et le PA : filtres, pagination, export</w:t>
      </w:r>
    </w:p>
    <w:p>
      <w:pPr>
        <w:pStyle w:val="ListBullet"/>
        <w:spacing w:after="40"/>
        <w:ind w:left="510"/>
      </w:pPr>
      <w:r>
        <w:rPr>
          <w:rFonts w:ascii="Calibri" w:hAnsi="Calibri"/>
          <w:sz w:val="21"/>
        </w:rPr>
        <w:t>Modal de détail des évaluations agrandi et complété</w:t>
      </w:r>
    </w:p>
    <w:p>
      <w:pPr>
        <w:pStyle w:val="ListBullet"/>
        <w:spacing w:after="40"/>
        <w:ind w:left="510"/>
      </w:pPr>
      <w:r>
        <w:rPr>
          <w:rFonts w:ascii="Calibri" w:hAnsi="Calibri"/>
          <w:sz w:val="21"/>
        </w:rPr>
        <w:t xml:space="preserve">Écran </w:t>
      </w:r>
      <w:r>
        <w:rPr>
          <w:rFonts w:ascii="Calibri" w:hAnsi="Calibri"/>
          <w:i/>
          <w:color w:val="5C6573"/>
          <w:sz w:val="21"/>
        </w:rPr>
        <w:t>Évaluations parents</w:t>
      </w:r>
      <w:r>
        <w:rPr>
          <w:rFonts w:ascii="Calibri" w:hAnsi="Calibri"/>
          <w:sz w:val="21"/>
        </w:rPr>
        <w:t>, partagé entre le PA et le superviseur</w:t>
      </w:r>
    </w:p>
    <w:p>
      <w:pPr>
        <w:pStyle w:val="ListBullet"/>
        <w:spacing w:after="40"/>
        <w:ind w:left="510"/>
      </w:pPr>
      <w:r>
        <w:rPr>
          <w:rFonts w:ascii="Calibri" w:hAnsi="Calibri"/>
          <w:sz w:val="21"/>
        </w:rPr>
        <w:t>Appréciation du cours par l'apprenant : bandeau fixe, formulaire, confirmation avant envoi</w:t>
      </w:r>
    </w:p>
    <w:p>
      <w:pPr>
        <w:pStyle w:val="ListBullet"/>
        <w:spacing w:after="40"/>
        <w:ind w:left="510"/>
      </w:pPr>
      <w:r>
        <w:rPr>
          <w:rFonts w:ascii="Calibri" w:hAnsi="Calibri"/>
          <w:sz w:val="21"/>
        </w:rPr>
        <w:t>Ajout de « j'ai appris de nouveaux mots » à l'échelle d'appréciation</w:t>
      </w:r>
    </w:p>
    <w:p>
      <w:pPr>
        <w:pStyle w:val="ListBullet"/>
        <w:spacing w:after="40"/>
        <w:ind w:left="510"/>
      </w:pPr>
      <w:r>
        <w:rPr>
          <w:rFonts w:ascii="Calibri" w:hAnsi="Calibri"/>
          <w:sz w:val="21"/>
        </w:rPr>
        <w:t>Note moyenne et tendance du coach : en-tête coach, cartes d'assignation, assistante présentiel</w:t>
      </w:r>
    </w:p>
    <w:p>
      <w:pPr>
        <w:pStyle w:val="ListBullet"/>
        <w:spacing w:after="40"/>
        <w:ind w:left="510"/>
      </w:pPr>
      <w:r>
        <w:rPr>
          <w:rFonts w:ascii="Calibri" w:hAnsi="Calibri"/>
          <w:sz w:val="21"/>
        </w:rPr>
        <w:t>Note moyenne rattachée à la catégorie de contrat, avec filtre par catégorie</w:t>
      </w:r>
    </w:p>
    <w:p>
      <w:pPr>
        <w:pStyle w:val="ListBullet"/>
        <w:spacing w:after="40"/>
        <w:ind w:left="510"/>
      </w:pPr>
      <w:r>
        <w:rPr>
          <w:rFonts w:ascii="Calibri" w:hAnsi="Calibri"/>
          <w:sz w:val="21"/>
        </w:rPr>
        <w:t>Sélecteur mois / année à côté du filtre par dates sur les observations</w:t>
      </w:r>
    </w:p>
    <w:p>
      <w:pPr>
        <w:pStyle w:val="ListBullet"/>
        <w:spacing w:after="40"/>
        <w:ind w:left="510"/>
      </w:pPr>
      <w:r>
        <w:rPr>
          <w:rFonts w:ascii="Calibri" w:hAnsi="Calibri"/>
          <w:sz w:val="21"/>
        </w:rPr>
        <w:t xml:space="preserve">Nettoyage : suppression des blocs morts et des zones d'évaluation vides </w:t>
      </w:r>
      <w:r>
        <w:rPr>
          <w:rFonts w:ascii="Calibri" w:hAnsi="Calibri"/>
          <w:b/>
          <w:color w:val="1B3080"/>
          <w:sz w:val="17"/>
        </w:rPr>
        <w:t xml:space="preserve"> [PA]</w:t>
      </w:r>
    </w:p>
    <w:p>
      <w:pPr>
        <w:pStyle w:val="Heading2"/>
      </w:pPr>
      <w:r>
        <w:rPr>
          <w:rFonts w:ascii="Consolas" w:hAnsi="Consolas"/>
          <w:b/>
          <w:color w:val="0891B2"/>
          <w:sz w:val="18"/>
        </w:rPr>
        <w:t xml:space="preserve">LOT 05   </w:t>
      </w:r>
      <w:r>
        <w:rPr>
          <w:rFonts w:ascii="Georgia" w:hAnsi="Georgia"/>
          <w:b/>
          <w:color w:val="1B3080"/>
          <w:sz w:val="25"/>
        </w:rPr>
        <w:t>E-learning et espace apprenant</w:t>
      </w:r>
    </w:p>
    <w:p>
      <w:pPr>
        <w:spacing w:after="80"/>
      </w:pPr>
      <w:r>
        <w:rPr>
          <w:rFonts w:ascii="Consolas" w:hAnsi="Consolas"/>
          <w:color w:val="8A93A1"/>
          <w:sz w:val="17"/>
        </w:rPr>
        <w:t>16 livraisons</w:t>
      </w:r>
    </w:p>
    <w:p>
      <w:pPr>
        <w:pStyle w:val="ListBullet"/>
        <w:spacing w:after="40"/>
        <w:ind w:left="510"/>
      </w:pPr>
      <w:r>
        <w:rPr>
          <w:rFonts w:ascii="Calibri" w:hAnsi="Calibri"/>
          <w:i/>
          <w:color w:val="5C6573"/>
          <w:sz w:val="21"/>
        </w:rPr>
        <w:t>Lecture séquentielle obligatoire</w:t>
      </w:r>
      <w:r>
        <w:rPr>
          <w:rFonts w:ascii="Calibri" w:hAnsi="Calibri"/>
          <w:sz w:val="21"/>
        </w:rPr>
        <w:t xml:space="preserve"> des contenus, verrou appliqué côté serveur</w:t>
      </w:r>
    </w:p>
    <w:p>
      <w:pPr>
        <w:pStyle w:val="ListBullet"/>
        <w:spacing w:after="40"/>
        <w:ind w:left="510"/>
      </w:pPr>
      <w:r>
        <w:rPr>
          <w:rFonts w:ascii="Calibri" w:hAnsi="Calibri"/>
          <w:sz w:val="21"/>
        </w:rPr>
        <w:t>Fenêtre d'inscription : l'accès aux contenus suit la présence réelle de l'apprenant dans la classe</w:t>
      </w:r>
    </w:p>
    <w:p>
      <w:pPr>
        <w:pStyle w:val="ListBullet"/>
        <w:spacing w:after="40"/>
        <w:ind w:left="510"/>
      </w:pPr>
      <w:r>
        <w:rPr>
          <w:rFonts w:ascii="Calibri" w:hAnsi="Calibri"/>
          <w:sz w:val="21"/>
        </w:rPr>
        <w:t>« Marquer comme terminé » : correction de fond, accélération, écran optimiste, geste rendu définitif</w:t>
      </w:r>
    </w:p>
    <w:p>
      <w:pPr>
        <w:pStyle w:val="ListBullet"/>
        <w:spacing w:after="40"/>
        <w:ind w:left="510"/>
      </w:pPr>
      <w:r>
        <w:rPr>
          <w:rFonts w:ascii="Calibri" w:hAnsi="Calibri"/>
          <w:sz w:val="21"/>
        </w:rPr>
        <w:t>Notification du coach quand un apprenant termine un contenu</w:t>
      </w:r>
    </w:p>
    <w:p>
      <w:pPr>
        <w:pStyle w:val="ListBullet"/>
        <w:spacing w:after="40"/>
        <w:ind w:left="510"/>
      </w:pPr>
      <w:r>
        <w:rPr>
          <w:rFonts w:ascii="Calibri" w:hAnsi="Calibri"/>
          <w:sz w:val="21"/>
        </w:rPr>
        <w:t>Badge « Lu » sur les cours et remise en ordre de la liste</w:t>
      </w:r>
    </w:p>
    <w:p>
      <w:pPr>
        <w:pStyle w:val="ListBullet"/>
        <w:spacing w:after="40"/>
        <w:ind w:left="510"/>
      </w:pPr>
      <w:r>
        <w:rPr>
          <w:rFonts w:ascii="Calibri" w:hAnsi="Calibri"/>
          <w:sz w:val="21"/>
        </w:rPr>
        <w:t xml:space="preserve">Filtres et pagination dans « Mes cours » : recherche, type, statut, période de publication </w:t>
      </w:r>
      <w:r>
        <w:rPr>
          <w:rFonts w:ascii="Calibri" w:hAnsi="Calibri"/>
          <w:b/>
          <w:color w:val="0891B2"/>
          <w:sz w:val="17"/>
        </w:rPr>
        <w:t xml:space="preserve"> [EN COURS]</w:t>
      </w:r>
    </w:p>
    <w:p>
      <w:pPr>
        <w:pStyle w:val="ListBullet"/>
        <w:spacing w:after="40"/>
        <w:ind w:left="510"/>
      </w:pPr>
      <w:r>
        <w:rPr>
          <w:rFonts w:ascii="Calibri" w:hAnsi="Calibri"/>
          <w:sz w:val="21"/>
        </w:rPr>
        <w:t xml:space="preserve">Panneau de détail de cours agrandi, fermeture sécurisée au bouton </w:t>
      </w:r>
      <w:r>
        <w:rPr>
          <w:rFonts w:ascii="Calibri" w:hAnsi="Calibri"/>
          <w:b/>
          <w:color w:val="0891B2"/>
          <w:sz w:val="17"/>
        </w:rPr>
        <w:t xml:space="preserve"> [EN COURS]</w:t>
      </w:r>
    </w:p>
    <w:p>
      <w:pPr>
        <w:pStyle w:val="ListBullet"/>
        <w:spacing w:after="40"/>
        <w:ind w:left="510"/>
      </w:pPr>
      <w:r>
        <w:rPr>
          <w:rFonts w:ascii="Calibri" w:hAnsi="Calibri"/>
          <w:sz w:val="21"/>
        </w:rPr>
        <w:t>Modules e-learning : 10 contenus par page, compteur toujours visible, filtres classe et mois</w:t>
      </w:r>
    </w:p>
    <w:p>
      <w:pPr>
        <w:pStyle w:val="ListBullet"/>
        <w:spacing w:after="40"/>
        <w:ind w:left="510"/>
      </w:pPr>
      <w:r>
        <w:rPr>
          <w:rFonts w:ascii="Calibri" w:hAnsi="Calibri"/>
          <w:sz w:val="21"/>
        </w:rPr>
        <w:t>Le superviseur peut lire le contenu intégral d'un module</w:t>
      </w:r>
    </w:p>
    <w:p>
      <w:pPr>
        <w:pStyle w:val="ListBullet"/>
        <w:spacing w:after="40"/>
        <w:ind w:left="510"/>
      </w:pPr>
      <w:r>
        <w:rPr>
          <w:rFonts w:ascii="Calibri" w:hAnsi="Calibri"/>
          <w:sz w:val="21"/>
        </w:rPr>
        <w:t xml:space="preserve">Onglet </w:t>
      </w:r>
      <w:r>
        <w:rPr>
          <w:rFonts w:ascii="Calibri" w:hAnsi="Calibri"/>
          <w:i/>
          <w:color w:val="5C6573"/>
          <w:sz w:val="21"/>
        </w:rPr>
        <w:t>Ressources partagées</w:t>
      </w:r>
      <w:r>
        <w:rPr>
          <w:rFonts w:ascii="Calibri" w:hAnsi="Calibri"/>
          <w:sz w:val="21"/>
        </w:rPr>
        <w:t xml:space="preserve"> chez le superviseur, avec modal de détail</w:t>
      </w:r>
    </w:p>
    <w:p>
      <w:pPr>
        <w:pStyle w:val="ListBullet"/>
        <w:spacing w:after="40"/>
        <w:ind w:left="510"/>
      </w:pPr>
      <w:r>
        <w:rPr>
          <w:rFonts w:ascii="Calibri" w:hAnsi="Calibri"/>
          <w:sz w:val="21"/>
        </w:rPr>
        <w:t>Renommage de l'onglet « Examens » en « Devoirs &amp; Évaluations »</w:t>
      </w:r>
    </w:p>
    <w:p>
      <w:pPr>
        <w:pStyle w:val="ListBullet"/>
        <w:spacing w:after="40"/>
        <w:ind w:left="510"/>
      </w:pPr>
      <w:r>
        <w:rPr>
          <w:rFonts w:ascii="Calibri" w:hAnsi="Calibri"/>
          <w:sz w:val="21"/>
        </w:rPr>
        <w:t>Corrections d'affichage du tableau de bord apprenant et du lecteur média</w:t>
      </w:r>
    </w:p>
    <w:p>
      <w:pPr>
        <w:pStyle w:val="Heading2"/>
      </w:pPr>
      <w:r>
        <w:rPr>
          <w:rFonts w:ascii="Consolas" w:hAnsi="Consolas"/>
          <w:b/>
          <w:color w:val="0891B2"/>
          <w:sz w:val="18"/>
        </w:rPr>
        <w:t xml:space="preserve">LOT 06   </w:t>
      </w:r>
      <w:r>
        <w:rPr>
          <w:rFonts w:ascii="Georgia" w:hAnsi="Georgia"/>
          <w:b/>
          <w:color w:val="1B3080"/>
          <w:sz w:val="25"/>
        </w:rPr>
        <w:t>Messagerie et chat de groupe</w:t>
      </w:r>
    </w:p>
    <w:p>
      <w:pPr>
        <w:spacing w:after="80"/>
      </w:pPr>
      <w:r>
        <w:rPr>
          <w:rFonts w:ascii="Consolas" w:hAnsi="Consolas"/>
          <w:color w:val="8A93A1"/>
          <w:sz w:val="17"/>
        </w:rPr>
        <w:t>8 livraisons</w:t>
      </w:r>
    </w:p>
    <w:p>
      <w:pPr>
        <w:pStyle w:val="ListBullet"/>
        <w:spacing w:after="40"/>
        <w:ind w:left="510"/>
      </w:pPr>
      <w:r>
        <w:rPr>
          <w:rFonts w:ascii="Calibri" w:hAnsi="Calibri"/>
          <w:sz w:val="21"/>
        </w:rPr>
        <w:t>Chat de groupe par classe : tri chronologique corrigé, pagination, envoi de fichiers</w:t>
      </w:r>
    </w:p>
    <w:p>
      <w:pPr>
        <w:pStyle w:val="ListBullet"/>
        <w:spacing w:after="40"/>
        <w:ind w:left="510"/>
      </w:pPr>
      <w:r>
        <w:rPr>
          <w:rFonts w:ascii="Calibri" w:hAnsi="Calibri"/>
          <w:i/>
          <w:color w:val="5C6573"/>
          <w:sz w:val="21"/>
        </w:rPr>
        <w:t>Groupes de discussion libres</w:t>
      </w:r>
      <w:r>
        <w:rPr>
          <w:rFonts w:ascii="Calibri" w:hAnsi="Calibri"/>
          <w:sz w:val="21"/>
        </w:rPr>
        <w:t xml:space="preserve"> : création, choix des membres, notification à l'ajout, supervision</w:t>
      </w:r>
    </w:p>
    <w:p>
      <w:pPr>
        <w:pStyle w:val="ListBullet"/>
        <w:spacing w:after="40"/>
        <w:ind w:left="510"/>
      </w:pPr>
      <w:r>
        <w:rPr>
          <w:rFonts w:ascii="Calibri" w:hAnsi="Calibri"/>
          <w:sz w:val="21"/>
        </w:rPr>
        <w:t>Badges de messages non lus sur les onglets de messagerie</w:t>
      </w:r>
    </w:p>
    <w:p>
      <w:pPr>
        <w:pStyle w:val="ListBullet"/>
        <w:spacing w:after="40"/>
        <w:ind w:left="510"/>
      </w:pPr>
      <w:r>
        <w:rPr>
          <w:rFonts w:ascii="Calibri" w:hAnsi="Calibri"/>
          <w:sz w:val="21"/>
        </w:rPr>
        <w:t>Réponse à un message précis, à la manière de WhatsApp</w:t>
      </w:r>
    </w:p>
    <w:p>
      <w:pPr>
        <w:pStyle w:val="ListBullet"/>
        <w:spacing w:after="40"/>
        <w:ind w:left="510"/>
      </w:pPr>
      <w:r>
        <w:rPr>
          <w:rFonts w:ascii="Calibri" w:hAnsi="Calibri"/>
          <w:sz w:val="21"/>
        </w:rPr>
        <w:t>Notes vocales à l'enregistrement, sur tous les types de conversation</w:t>
      </w:r>
    </w:p>
    <w:p>
      <w:pPr>
        <w:pStyle w:val="ListBullet"/>
        <w:spacing w:after="40"/>
        <w:ind w:left="510"/>
      </w:pPr>
      <w:r>
        <w:rPr>
          <w:rFonts w:ascii="Calibri" w:hAnsi="Calibri"/>
          <w:sz w:val="21"/>
        </w:rPr>
        <w:t>Liens envoyés rendus cliquables, côté dashboards et site public</w:t>
      </w:r>
    </w:p>
    <w:p>
      <w:pPr>
        <w:pStyle w:val="ListBullet"/>
        <w:spacing w:after="40"/>
        <w:ind w:left="510"/>
      </w:pPr>
      <w:r>
        <w:rPr>
          <w:rFonts w:ascii="Calibri" w:hAnsi="Calibri"/>
          <w:sz w:val="21"/>
        </w:rPr>
        <w:t>Notifications de chat corrigées</w:t>
      </w:r>
    </w:p>
    <w:p>
      <w:pPr>
        <w:pStyle w:val="Heading2"/>
      </w:pPr>
      <w:r>
        <w:rPr>
          <w:rFonts w:ascii="Consolas" w:hAnsi="Consolas"/>
          <w:b/>
          <w:color w:val="0891B2"/>
          <w:sz w:val="18"/>
        </w:rPr>
        <w:t xml:space="preserve">LOT 07   </w:t>
      </w:r>
      <w:r>
        <w:rPr>
          <w:rFonts w:ascii="Georgia" w:hAnsi="Georgia"/>
          <w:b/>
          <w:color w:val="1B3080"/>
          <w:sz w:val="25"/>
        </w:rPr>
        <w:t>Marketing, campagnes et collecte QR</w:t>
      </w:r>
    </w:p>
    <w:p>
      <w:pPr>
        <w:spacing w:after="80"/>
      </w:pPr>
      <w:r>
        <w:rPr>
          <w:rFonts w:ascii="Consolas" w:hAnsi="Consolas"/>
          <w:color w:val="8A93A1"/>
          <w:sz w:val="17"/>
        </w:rPr>
        <w:t>11 livraisons</w:t>
      </w:r>
    </w:p>
    <w:p>
      <w:pPr>
        <w:pStyle w:val="ListBullet"/>
        <w:spacing w:after="40"/>
        <w:ind w:left="510"/>
      </w:pPr>
      <w:r>
        <w:rPr>
          <w:rFonts w:ascii="Calibri" w:hAnsi="Calibri"/>
          <w:sz w:val="21"/>
        </w:rPr>
        <w:t xml:space="preserve">Onglet </w:t>
      </w:r>
      <w:r>
        <w:rPr>
          <w:rFonts w:ascii="Calibri" w:hAnsi="Calibri"/>
          <w:i/>
          <w:color w:val="5C6573"/>
          <w:sz w:val="21"/>
        </w:rPr>
        <w:t>Campagnes &amp; Newsletters</w:t>
      </w:r>
      <w:r>
        <w:rPr>
          <w:rFonts w:ascii="Calibri" w:hAnsi="Calibri"/>
          <w:sz w:val="21"/>
        </w:rPr>
        <w:t xml:space="preserve"> chez l'assistant marketing</w:t>
      </w:r>
    </w:p>
    <w:p>
      <w:pPr>
        <w:pStyle w:val="ListBullet"/>
        <w:spacing w:after="40"/>
        <w:ind w:left="510"/>
      </w:pPr>
      <w:r>
        <w:rPr>
          <w:rFonts w:ascii="Calibri" w:hAnsi="Calibri"/>
          <w:sz w:val="21"/>
        </w:rPr>
        <w:t>Campagnes de collecte par QR code : administration et formulaire public associé</w:t>
      </w:r>
    </w:p>
    <w:p>
      <w:pPr>
        <w:pStyle w:val="ListBullet"/>
        <w:spacing w:after="40"/>
        <w:ind w:left="510"/>
      </w:pPr>
      <w:r>
        <w:rPr>
          <w:rFonts w:ascii="Calibri" w:hAnsi="Calibri"/>
          <w:sz w:val="21"/>
        </w:rPr>
        <w:t>Campagnes e-mail et WhatsApp lancées sur les réponses collectées, avec confirmation avant envoi</w:t>
      </w:r>
    </w:p>
    <w:p>
      <w:pPr>
        <w:pStyle w:val="ListBullet"/>
        <w:spacing w:after="40"/>
        <w:ind w:left="510"/>
      </w:pPr>
      <w:r>
        <w:rPr>
          <w:rFonts w:ascii="Calibri" w:hAnsi="Calibri"/>
          <w:sz w:val="21"/>
        </w:rPr>
        <w:t>Statistiques de campagnes par récolte, avec exports Excel et PDF</w:t>
      </w:r>
    </w:p>
    <w:p>
      <w:pPr>
        <w:pStyle w:val="ListBullet"/>
        <w:spacing w:after="40"/>
        <w:ind w:left="510"/>
      </w:pPr>
      <w:r>
        <w:rPr>
          <w:rFonts w:ascii="Calibri" w:hAnsi="Calibri"/>
          <w:sz w:val="21"/>
        </w:rPr>
        <w:t>Export des contacts collectés en fichier de diffusion WhatsApp, avec mode d'emploi</w:t>
      </w:r>
    </w:p>
    <w:p>
      <w:pPr>
        <w:pStyle w:val="ListBullet"/>
        <w:spacing w:after="40"/>
        <w:ind w:left="510"/>
      </w:pPr>
      <w:r>
        <w:rPr>
          <w:rFonts w:ascii="Calibri" w:hAnsi="Calibri"/>
          <w:sz w:val="21"/>
        </w:rPr>
        <w:t>Onglet Média et tableau de bord dédié chez l'assistant marketing</w:t>
      </w:r>
    </w:p>
    <w:p>
      <w:pPr>
        <w:pStyle w:val="ListBullet"/>
        <w:spacing w:after="40"/>
        <w:ind w:left="510"/>
      </w:pPr>
      <w:r>
        <w:rPr>
          <w:rFonts w:ascii="Calibri" w:hAnsi="Calibri"/>
          <w:sz w:val="21"/>
        </w:rPr>
        <w:t>Bannière, illustration et mise en forme de la présentation du formulaire</w:t>
      </w:r>
    </w:p>
    <w:p>
      <w:pPr>
        <w:pStyle w:val="ListBullet"/>
        <w:spacing w:after="40"/>
        <w:ind w:left="510"/>
      </w:pPr>
      <w:r>
        <w:rPr>
          <w:rFonts w:ascii="Calibri" w:hAnsi="Calibri"/>
          <w:sz w:val="21"/>
        </w:rPr>
        <w:t>Passage de tout l'écran de collecte en modals</w:t>
      </w:r>
    </w:p>
    <w:p>
      <w:pPr>
        <w:pStyle w:val="ListBullet"/>
        <w:spacing w:after="40"/>
        <w:ind w:left="510"/>
      </w:pPr>
      <w:r>
        <w:rPr>
          <w:rFonts w:ascii="Calibri" w:hAnsi="Calibri"/>
          <w:sz w:val="21"/>
        </w:rPr>
        <w:t>Correction de l'affichage des images et des liens dans les e-mails, pièces jointes sur la campagne</w:t>
      </w:r>
    </w:p>
    <w:p>
      <w:pPr>
        <w:pStyle w:val="ListBullet"/>
        <w:spacing w:after="40"/>
        <w:ind w:left="510"/>
      </w:pPr>
      <w:r>
        <w:rPr>
          <w:rFonts w:ascii="Calibri" w:hAnsi="Calibri"/>
          <w:sz w:val="21"/>
        </w:rPr>
        <w:t>Historique des campagnes newsletter</w:t>
      </w:r>
    </w:p>
    <w:p>
      <w:pPr>
        <w:pStyle w:val="Heading2"/>
      </w:pPr>
      <w:r>
        <w:rPr>
          <w:rFonts w:ascii="Consolas" w:hAnsi="Consolas"/>
          <w:b/>
          <w:color w:val="0891B2"/>
          <w:sz w:val="18"/>
        </w:rPr>
        <w:t xml:space="preserve">LOT 08   </w:t>
      </w:r>
      <w:r>
        <w:rPr>
          <w:rFonts w:ascii="Georgia" w:hAnsi="Georgia"/>
          <w:b/>
          <w:color w:val="1B3080"/>
          <w:sz w:val="25"/>
        </w:rPr>
        <w:t>Comptes, rôles et droits</w:t>
      </w:r>
    </w:p>
    <w:p>
      <w:pPr>
        <w:spacing w:after="80"/>
      </w:pPr>
      <w:r>
        <w:rPr>
          <w:rFonts w:ascii="Consolas" w:hAnsi="Consolas"/>
          <w:color w:val="8A93A1"/>
          <w:sz w:val="17"/>
        </w:rPr>
        <w:t>10 livraisons</w:t>
      </w:r>
    </w:p>
    <w:p>
      <w:pPr>
        <w:pStyle w:val="ListBullet"/>
        <w:spacing w:after="40"/>
        <w:ind w:left="510"/>
      </w:pPr>
      <w:r>
        <w:rPr>
          <w:rFonts w:ascii="Calibri" w:hAnsi="Calibri"/>
          <w:sz w:val="21"/>
        </w:rPr>
        <w:t xml:space="preserve">Nouveau rôle </w:t>
      </w:r>
      <w:r>
        <w:rPr>
          <w:rFonts w:ascii="Calibri" w:hAnsi="Calibri"/>
          <w:i/>
          <w:color w:val="5C6573"/>
          <w:sz w:val="21"/>
        </w:rPr>
        <w:t>Assistante SAV</w:t>
      </w:r>
      <w:r>
        <w:rPr>
          <w:rFonts w:ascii="Calibri" w:hAnsi="Calibri"/>
          <w:sz w:val="21"/>
        </w:rPr>
        <w:t xml:space="preserve"> : création SuperAdmin, page de connexion, matrice de permissions, dashboard dédié</w:t>
      </w:r>
    </w:p>
    <w:p>
      <w:pPr>
        <w:pStyle w:val="ListBullet"/>
        <w:spacing w:after="40"/>
        <w:ind w:left="510"/>
      </w:pPr>
      <w:r>
        <w:rPr>
          <w:rFonts w:ascii="Calibri" w:hAnsi="Calibri"/>
          <w:sz w:val="21"/>
        </w:rPr>
        <w:t>Profil BET étendu : date de début, matricule, nationalité, pays, genre, adresse</w:t>
      </w:r>
    </w:p>
    <w:p>
      <w:pPr>
        <w:pStyle w:val="ListBullet"/>
        <w:spacing w:after="40"/>
        <w:ind w:left="510"/>
      </w:pPr>
      <w:r>
        <w:rPr>
          <w:rFonts w:ascii="Calibri" w:hAnsi="Calibri"/>
          <w:sz w:val="21"/>
        </w:rPr>
        <w:t>Surnom des comptes : création, import, auto-renseignement, affichage dans les listes de pilotage</w:t>
      </w:r>
    </w:p>
    <w:p>
      <w:pPr>
        <w:pStyle w:val="ListBullet"/>
        <w:spacing w:after="40"/>
        <w:ind w:left="510"/>
      </w:pPr>
      <w:r>
        <w:rPr>
          <w:rFonts w:ascii="Calibri" w:hAnsi="Calibri"/>
          <w:sz w:val="21"/>
        </w:rPr>
        <w:t>Surnom disponible pour le coach, le parent et toute la plateforme e-learning</w:t>
      </w:r>
    </w:p>
    <w:p>
      <w:pPr>
        <w:pStyle w:val="ListBullet"/>
        <w:spacing w:after="40"/>
        <w:ind w:left="510"/>
      </w:pPr>
      <w:r>
        <w:rPr>
          <w:rFonts w:ascii="Calibri" w:hAnsi="Calibri"/>
          <w:sz w:val="21"/>
        </w:rPr>
        <w:t>Modification de l'e-mail de connexion d'un apprenant après inscription, avec renvoi des accès</w:t>
      </w:r>
    </w:p>
    <w:p>
      <w:pPr>
        <w:pStyle w:val="ListBullet"/>
        <w:spacing w:after="40"/>
        <w:ind w:left="510"/>
      </w:pPr>
      <w:r>
        <w:rPr>
          <w:rFonts w:ascii="Calibri" w:hAnsi="Calibri"/>
          <w:sz w:val="21"/>
        </w:rPr>
        <w:t>Affichage conjoint de l'identifiant de connexion et du numéro de téléphone</w:t>
      </w:r>
    </w:p>
    <w:p>
      <w:pPr>
        <w:pStyle w:val="ListBullet"/>
        <w:spacing w:after="40"/>
        <w:ind w:left="510"/>
      </w:pPr>
      <w:r>
        <w:rPr>
          <w:rFonts w:ascii="Calibri" w:hAnsi="Calibri"/>
          <w:sz w:val="21"/>
        </w:rPr>
        <w:t>Fusion d'« Administration BET » dans « Gestion des droits »</w:t>
      </w:r>
    </w:p>
    <w:p>
      <w:pPr>
        <w:pStyle w:val="ListBullet"/>
        <w:spacing w:after="40"/>
        <w:ind w:left="510"/>
      </w:pPr>
      <w:r>
        <w:rPr>
          <w:rFonts w:ascii="Calibri" w:hAnsi="Calibri"/>
          <w:sz w:val="21"/>
        </w:rPr>
        <w:t>Correction du matricule bloqué sur le rôle par défaut au changement de rôle</w:t>
      </w:r>
    </w:p>
    <w:p>
      <w:pPr>
        <w:pStyle w:val="ListBullet"/>
        <w:spacing w:after="40"/>
        <w:ind w:left="510"/>
      </w:pPr>
      <w:r>
        <w:rPr>
          <w:rFonts w:ascii="Calibri" w:hAnsi="Calibri"/>
          <w:sz w:val="21"/>
        </w:rPr>
        <w:t>Onglet « Code d'accès » réservé au super-admin</w:t>
      </w:r>
    </w:p>
    <w:p>
      <w:pPr>
        <w:pStyle w:val="Heading2"/>
      </w:pPr>
      <w:r>
        <w:rPr>
          <w:rFonts w:ascii="Consolas" w:hAnsi="Consolas"/>
          <w:b/>
          <w:color w:val="0891B2"/>
          <w:sz w:val="18"/>
        </w:rPr>
        <w:t xml:space="preserve">LOT 09   </w:t>
      </w:r>
      <w:r>
        <w:rPr>
          <w:rFonts w:ascii="Georgia" w:hAnsi="Georgia"/>
          <w:b/>
          <w:color w:val="1B3080"/>
          <w:sz w:val="25"/>
        </w:rPr>
        <w:t>Fichiers, images et documents</w:t>
      </w:r>
    </w:p>
    <w:p>
      <w:pPr>
        <w:spacing w:after="80"/>
      </w:pPr>
      <w:r>
        <w:rPr>
          <w:rFonts w:ascii="Consolas" w:hAnsi="Consolas"/>
          <w:color w:val="8A93A1"/>
          <w:sz w:val="17"/>
        </w:rPr>
        <w:t>8 livraisons</w:t>
      </w:r>
    </w:p>
    <w:p>
      <w:pPr>
        <w:pStyle w:val="ListBullet"/>
        <w:spacing w:after="40"/>
        <w:ind w:left="510"/>
      </w:pPr>
      <w:r>
        <w:rPr>
          <w:rFonts w:ascii="Calibri" w:hAnsi="Calibri"/>
          <w:sz w:val="21"/>
        </w:rPr>
        <w:t>Envoi direct des fichiers vers Cloudinary sur l'ensemble de la plateforme</w:t>
      </w:r>
    </w:p>
    <w:p>
      <w:pPr>
        <w:pStyle w:val="ListBullet"/>
        <w:spacing w:after="40"/>
        <w:ind w:left="510"/>
      </w:pPr>
      <w:r>
        <w:rPr>
          <w:rFonts w:ascii="Calibri" w:hAnsi="Calibri"/>
          <w:sz w:val="21"/>
        </w:rPr>
        <w:t xml:space="preserve">Déblocage des </w:t>
      </w:r>
      <w:r>
        <w:rPr>
          <w:rFonts w:ascii="Calibri" w:hAnsi="Calibri"/>
          <w:i/>
          <w:color w:val="5C6573"/>
          <w:sz w:val="21"/>
        </w:rPr>
        <w:t>PDF partagés</w:t>
      </w:r>
      <w:r>
        <w:rPr>
          <w:rFonts w:ascii="Calibri" w:hAnsi="Calibri"/>
          <w:sz w:val="21"/>
        </w:rPr>
        <w:t>, inaccessibles partout jusque-là</w:t>
      </w:r>
    </w:p>
    <w:p>
      <w:pPr>
        <w:pStyle w:val="ListBullet"/>
        <w:spacing w:after="40"/>
        <w:ind w:left="510"/>
      </w:pPr>
      <w:r>
        <w:rPr>
          <w:rFonts w:ascii="Calibri" w:hAnsi="Calibri"/>
          <w:sz w:val="21"/>
        </w:rPr>
        <w:t>Ajout du type de contenu « image » et de son envoi, du coach jusqu'à l'apprenant</w:t>
      </w:r>
    </w:p>
    <w:p>
      <w:pPr>
        <w:pStyle w:val="ListBullet"/>
        <w:spacing w:after="40"/>
        <w:ind w:left="510"/>
      </w:pPr>
      <w:r>
        <w:rPr>
          <w:rFonts w:ascii="Calibri" w:hAnsi="Calibri"/>
          <w:sz w:val="21"/>
        </w:rPr>
        <w:t>Recadrage d'image avant envoi, visionneuse plein écran, affichage des limites de fichier</w:t>
      </w:r>
    </w:p>
    <w:p>
      <w:pPr>
        <w:pStyle w:val="ListBullet"/>
        <w:spacing w:after="40"/>
        <w:ind w:left="510"/>
      </w:pPr>
      <w:r>
        <w:rPr>
          <w:rFonts w:ascii="Calibri" w:hAnsi="Calibri"/>
          <w:sz w:val="21"/>
        </w:rPr>
        <w:t>Clic sur la photo de profil : elle s'affiche au lieu d'ouvrir le sélecteur de fichier</w:t>
      </w:r>
    </w:p>
    <w:p>
      <w:pPr>
        <w:pStyle w:val="ListBullet"/>
        <w:spacing w:after="40"/>
        <w:ind w:left="510"/>
      </w:pPr>
      <w:r>
        <w:rPr>
          <w:rFonts w:ascii="Calibri" w:hAnsi="Calibri"/>
          <w:sz w:val="21"/>
        </w:rPr>
        <w:t>Correction des erreurs d'abandon de lecture média et de l'affichage des vidéos</w:t>
      </w:r>
    </w:p>
    <w:p>
      <w:pPr>
        <w:pStyle w:val="Heading2"/>
      </w:pPr>
      <w:r>
        <w:rPr>
          <w:rFonts w:ascii="Consolas" w:hAnsi="Consolas"/>
          <w:b/>
          <w:color w:val="0891B2"/>
          <w:sz w:val="18"/>
        </w:rPr>
        <w:t xml:space="preserve">LOT 10   </w:t>
      </w:r>
      <w:r>
        <w:rPr>
          <w:rFonts w:ascii="Georgia" w:hAnsi="Georgia"/>
          <w:b/>
          <w:color w:val="1B3080"/>
          <w:sz w:val="25"/>
        </w:rPr>
        <w:t>Séances, planning et présences</w:t>
      </w:r>
    </w:p>
    <w:p>
      <w:pPr>
        <w:spacing w:after="80"/>
      </w:pPr>
      <w:r>
        <w:rPr>
          <w:rFonts w:ascii="Consolas" w:hAnsi="Consolas"/>
          <w:color w:val="8A93A1"/>
          <w:sz w:val="17"/>
        </w:rPr>
        <w:t>6 livraisons</w:t>
      </w:r>
    </w:p>
    <w:p>
      <w:pPr>
        <w:pStyle w:val="ListBullet"/>
        <w:spacing w:after="40"/>
        <w:ind w:left="510"/>
      </w:pPr>
      <w:r>
        <w:rPr>
          <w:rFonts w:ascii="Calibri" w:hAnsi="Calibri"/>
          <w:sz w:val="21"/>
        </w:rPr>
        <w:t>Traçabilité des séances : déroulé réel, modal de détail, planning dédié</w:t>
      </w:r>
    </w:p>
    <w:p>
      <w:pPr>
        <w:pStyle w:val="ListBullet"/>
        <w:spacing w:after="40"/>
        <w:ind w:left="510"/>
      </w:pPr>
      <w:r>
        <w:rPr>
          <w:rFonts w:ascii="Calibri" w:hAnsi="Calibri"/>
          <w:sz w:val="21"/>
        </w:rPr>
        <w:t>Alignement de l'en-tête coach et branchement des heures du mois</w:t>
      </w:r>
    </w:p>
    <w:p>
      <w:pPr>
        <w:pStyle w:val="ListBullet"/>
        <w:spacing w:after="40"/>
        <w:ind w:left="510"/>
      </w:pPr>
      <w:r>
        <w:rPr>
          <w:rFonts w:ascii="Calibri" w:hAnsi="Calibri"/>
          <w:sz w:val="21"/>
        </w:rPr>
        <w:t>Surnom du coach en tête de son en-tête, nom complet en dessous</w:t>
      </w:r>
    </w:p>
    <w:p>
      <w:pPr>
        <w:pStyle w:val="ListBullet"/>
        <w:spacing w:after="40"/>
        <w:ind w:left="510"/>
      </w:pPr>
      <w:r>
        <w:rPr>
          <w:rFonts w:ascii="Calibri" w:hAnsi="Calibri"/>
          <w:sz w:val="21"/>
        </w:rPr>
        <w:t>Note du coach déplacée dans la barre du haut, visible même sans note</w:t>
      </w:r>
    </w:p>
    <w:p>
      <w:pPr>
        <w:pStyle w:val="ListBullet"/>
        <w:spacing w:after="40"/>
        <w:ind w:left="510"/>
      </w:pPr>
      <w:r>
        <w:rPr>
          <w:rFonts w:ascii="Calibri" w:hAnsi="Calibri"/>
          <w:sz w:val="21"/>
        </w:rPr>
        <w:t>Vérification des sessions live</w:t>
      </w:r>
    </w:p>
    <w:p>
      <w:pPr>
        <w:pStyle w:val="Heading2"/>
      </w:pPr>
      <w:r>
        <w:rPr>
          <w:rFonts w:ascii="Consolas" w:hAnsi="Consolas"/>
          <w:b/>
          <w:color w:val="0891B2"/>
          <w:sz w:val="18"/>
        </w:rPr>
        <w:t xml:space="preserve">LOT 11   </w:t>
      </w:r>
      <w:r>
        <w:rPr>
          <w:rFonts w:ascii="Georgia" w:hAnsi="Georgia"/>
          <w:b/>
          <w:color w:val="1B3080"/>
          <w:sz w:val="25"/>
        </w:rPr>
        <w:t>Ergonomie transverse et industrialisation</w:t>
      </w:r>
    </w:p>
    <w:p>
      <w:pPr>
        <w:spacing w:after="80"/>
      </w:pPr>
      <w:r>
        <w:rPr>
          <w:rFonts w:ascii="Consolas" w:hAnsi="Consolas"/>
          <w:color w:val="8A93A1"/>
          <w:sz w:val="17"/>
        </w:rPr>
        <w:t>14 livraisons</w:t>
      </w:r>
    </w:p>
    <w:p>
      <w:pPr>
        <w:pStyle w:val="ListBullet"/>
        <w:spacing w:after="40"/>
        <w:ind w:left="510"/>
      </w:pPr>
      <w:r>
        <w:rPr>
          <w:rFonts w:ascii="Calibri" w:hAnsi="Calibri"/>
          <w:sz w:val="21"/>
        </w:rPr>
        <w:t xml:space="preserve">Extraction du </w:t>
      </w:r>
      <w:r>
        <w:rPr>
          <w:rFonts w:ascii="Calibri" w:hAnsi="Calibri"/>
          <w:i/>
          <w:color w:val="5C6573"/>
          <w:sz w:val="21"/>
        </w:rPr>
        <w:t>modèle de filtrage en pastilles</w:t>
      </w:r>
      <w:r>
        <w:rPr>
          <w:rFonts w:ascii="Calibri" w:hAnsi="Calibri"/>
          <w:sz w:val="21"/>
        </w:rPr>
        <w:t xml:space="preserve"> dans un composant partagé, couvert par des tests</w:t>
      </w:r>
    </w:p>
    <w:p>
      <w:pPr>
        <w:pStyle w:val="ListBullet"/>
        <w:spacing w:after="40"/>
        <w:ind w:left="510"/>
      </w:pPr>
      <w:r>
        <w:rPr>
          <w:rFonts w:ascii="Calibri" w:hAnsi="Calibri"/>
          <w:sz w:val="21"/>
        </w:rPr>
        <w:t>Déploiement de ce modèle sur les 16 dashboards — SuperAdmin, Admin, PA, commerciales, coach (7 barres)</w:t>
      </w:r>
    </w:p>
    <w:p>
      <w:pPr>
        <w:pStyle w:val="ListBullet"/>
        <w:spacing w:after="40"/>
        <w:ind w:left="510"/>
      </w:pPr>
      <w:r>
        <w:rPr>
          <w:rFonts w:ascii="Calibri" w:hAnsi="Calibri"/>
          <w:sz w:val="21"/>
        </w:rPr>
        <w:t>Adaptation de la navigation aux écrans 13 pouces et à l'iPad en paysage</w:t>
      </w:r>
    </w:p>
    <w:p>
      <w:pPr>
        <w:pStyle w:val="ListBullet"/>
        <w:spacing w:after="40"/>
        <w:ind w:left="510"/>
      </w:pPr>
      <w:r>
        <w:rPr>
          <w:rFonts w:ascii="Calibri" w:hAnsi="Calibri"/>
          <w:sz w:val="21"/>
        </w:rPr>
        <w:t>Pages de connexion rendues utilisables en petit format</w:t>
      </w:r>
    </w:p>
    <w:p>
      <w:pPr>
        <w:pStyle w:val="ListBullet"/>
        <w:spacing w:after="40"/>
        <w:ind w:left="510"/>
      </w:pPr>
      <w:r>
        <w:rPr>
          <w:rFonts w:ascii="Calibri" w:hAnsi="Calibri"/>
          <w:sz w:val="21"/>
        </w:rPr>
        <w:t xml:space="preserve">Remplacement de </w:t>
      </w:r>
      <w:r>
        <w:rPr>
          <w:rFonts w:ascii="Consolas" w:hAnsi="Consolas"/>
          <w:sz w:val="20"/>
        </w:rPr>
        <w:t>react-toastify</w:t>
      </w:r>
      <w:r>
        <w:rPr>
          <w:rFonts w:ascii="Calibri" w:hAnsi="Calibri"/>
          <w:sz w:val="21"/>
        </w:rPr>
        <w:t xml:space="preserve"> par </w:t>
      </w:r>
      <w:r>
        <w:rPr>
          <w:rFonts w:ascii="Consolas" w:hAnsi="Consolas"/>
          <w:sz w:val="20"/>
        </w:rPr>
        <w:t>react-hot-toast</w:t>
      </w:r>
      <w:r>
        <w:rPr>
          <w:rFonts w:ascii="Calibri" w:hAnsi="Calibri"/>
          <w:sz w:val="21"/>
        </w:rPr>
        <w:t xml:space="preserve"> et nettoyage complet</w:t>
      </w:r>
    </w:p>
    <w:p>
      <w:pPr>
        <w:pStyle w:val="ListBullet"/>
        <w:spacing w:after="40"/>
        <w:ind w:left="510"/>
      </w:pPr>
      <w:r>
        <w:rPr>
          <w:rFonts w:ascii="Calibri" w:hAnsi="Calibri"/>
          <w:sz w:val="21"/>
        </w:rPr>
        <w:t>Retrait de Redux, jamais consommé par l'application</w:t>
      </w:r>
    </w:p>
    <w:p>
      <w:pPr>
        <w:pStyle w:val="ListBullet"/>
        <w:spacing w:after="40"/>
        <w:ind w:left="510"/>
      </w:pPr>
      <w:r>
        <w:rPr>
          <w:rFonts w:ascii="Calibri" w:hAnsi="Calibri"/>
          <w:sz w:val="21"/>
        </w:rPr>
        <w:t>Correction du favicon et du logo React par défaut</w:t>
      </w:r>
    </w:p>
    <w:p>
      <w:pPr>
        <w:pStyle w:val="ListBullet"/>
        <w:spacing w:after="40"/>
        <w:ind w:left="510"/>
      </w:pPr>
      <w:r>
        <w:rPr>
          <w:rFonts w:ascii="Calibri" w:hAnsi="Calibri"/>
          <w:sz w:val="21"/>
        </w:rPr>
        <w:t xml:space="preserve">Retrait des fichiers </w:t>
      </w:r>
      <w:r>
        <w:rPr>
          <w:rFonts w:ascii="Consolas" w:hAnsi="Consolas"/>
          <w:sz w:val="20"/>
        </w:rPr>
        <w:t>.env</w:t>
      </w:r>
      <w:r>
        <w:rPr>
          <w:rFonts w:ascii="Calibri" w:hAnsi="Calibri"/>
          <w:sz w:val="21"/>
        </w:rPr>
        <w:t xml:space="preserve"> du suivi Git et ajout d'un </w:t>
      </w:r>
      <w:r>
        <w:rPr>
          <w:rFonts w:ascii="Consolas" w:hAnsi="Consolas"/>
          <w:sz w:val="20"/>
        </w:rPr>
        <w:t>.gitignore</w:t>
      </w:r>
    </w:p>
    <w:p>
      <w:pPr>
        <w:pStyle w:val="ListBullet"/>
        <w:spacing w:after="40"/>
        <w:ind w:left="510"/>
      </w:pPr>
      <w:r>
        <w:rPr>
          <w:rFonts w:ascii="Calibri" w:hAnsi="Calibri"/>
          <w:sz w:val="21"/>
        </w:rPr>
        <w:t>Suite de tests unitaires : filtres, liens visio, liens cliquables, mois du versement, session</w:t>
      </w:r>
    </w:p>
    <w:p>
      <w:pPr>
        <w:pStyle w:val="Heading1"/>
      </w:pPr>
      <w:r>
        <w:t>Frontend</w:t>
      </w:r>
    </w:p>
    <w:p>
      <w:pPr>
        <w:spacing w:after="40"/>
      </w:pPr>
      <w:r>
        <w:rPr>
          <w:color w:val="5C6573"/>
          <w:sz w:val="18"/>
        </w:rPr>
        <w:t>site public — vitrine, inscription, paiement</w:t>
      </w:r>
    </w:p>
    <w:p>
      <w:pPr>
        <w:spacing w:after="40"/>
        <w:pBdr>
          <w:bottom w:val="single" w:sz="6" w:space="4" w:color="12161D"/>
        </w:pBdr>
      </w:pPr>
      <w:r>
        <w:rPr>
          <w:rFonts w:ascii="Consolas" w:hAnsi="Consolas"/>
          <w:color w:val="8A93A1"/>
          <w:sz w:val="17"/>
        </w:rPr>
        <w:t>41 livraisons · 161 fichiers · +8 223 / −10 667</w:t>
      </w:r>
    </w:p>
    <w:p>
      <w:pPr>
        <w:pStyle w:val="Heading2"/>
      </w:pPr>
      <w:r>
        <w:rPr>
          <w:rFonts w:ascii="Consolas" w:hAnsi="Consolas"/>
          <w:b/>
          <w:color w:val="0891B2"/>
          <w:sz w:val="18"/>
        </w:rPr>
        <w:t xml:space="preserve">LOT 12   </w:t>
      </w:r>
      <w:r>
        <w:rPr>
          <w:rFonts w:ascii="Georgia" w:hAnsi="Georgia"/>
          <w:b/>
          <w:color w:val="1B3080"/>
          <w:sz w:val="25"/>
        </w:rPr>
        <w:t>Paiement en ligne côté prospect</w:t>
      </w:r>
    </w:p>
    <w:p>
      <w:pPr>
        <w:spacing w:after="80"/>
      </w:pPr>
      <w:r>
        <w:rPr>
          <w:rFonts w:ascii="Consolas" w:hAnsi="Consolas"/>
          <w:color w:val="8A93A1"/>
          <w:sz w:val="17"/>
        </w:rPr>
        <w:t>9 livraisons</w:t>
      </w:r>
    </w:p>
    <w:p>
      <w:pPr>
        <w:pStyle w:val="ListBullet"/>
        <w:spacing w:after="40"/>
        <w:ind w:left="510"/>
      </w:pPr>
      <w:r>
        <w:rPr>
          <w:rFonts w:ascii="Calibri" w:hAnsi="Calibri"/>
          <w:sz w:val="21"/>
        </w:rPr>
        <w:t>Migration du tunnel de paiement vers TouchPoint et nettoyage des restes CinetPay</w:t>
      </w:r>
    </w:p>
    <w:p>
      <w:pPr>
        <w:pStyle w:val="ListBullet"/>
        <w:spacing w:after="40"/>
        <w:ind w:left="510"/>
      </w:pPr>
      <w:r>
        <w:rPr>
          <w:rFonts w:ascii="Calibri" w:hAnsi="Calibri"/>
          <w:sz w:val="21"/>
        </w:rPr>
        <w:t>Page de retour de paiement : toutes les informations disponibles affichées au prospect</w:t>
      </w:r>
    </w:p>
    <w:p>
      <w:pPr>
        <w:pStyle w:val="ListBullet"/>
        <w:spacing w:after="40"/>
        <w:ind w:left="510"/>
      </w:pPr>
      <w:r>
        <w:rPr>
          <w:rFonts w:ascii="Calibri" w:hAnsi="Calibri"/>
          <w:sz w:val="21"/>
        </w:rPr>
        <w:t>Export PDF du reçu depuis cette page</w:t>
      </w:r>
    </w:p>
    <w:p>
      <w:pPr>
        <w:pStyle w:val="ListBullet"/>
        <w:spacing w:after="40"/>
        <w:ind w:left="510"/>
      </w:pPr>
      <w:r>
        <w:rPr>
          <w:rFonts w:ascii="Calibri" w:hAnsi="Calibri"/>
          <w:sz w:val="21"/>
        </w:rPr>
        <w:t xml:space="preserve">Écran de </w:t>
      </w:r>
      <w:r>
        <w:rPr>
          <w:rFonts w:ascii="Calibri" w:hAnsi="Calibri"/>
          <w:i/>
          <w:color w:val="5C6573"/>
          <w:sz w:val="21"/>
        </w:rPr>
        <w:t>relance de paiement</w:t>
      </w:r>
    </w:p>
    <w:p>
      <w:pPr>
        <w:pStyle w:val="ListBullet"/>
        <w:spacing w:after="40"/>
        <w:ind w:left="510"/>
      </w:pPr>
      <w:r>
        <w:rPr>
          <w:rFonts w:ascii="Calibri" w:hAnsi="Calibri"/>
          <w:sz w:val="21"/>
        </w:rPr>
        <w:t>Filet de secours pour la confirmation via l'URL de retour, étendu à tous les points d'entrée</w:t>
      </w:r>
    </w:p>
    <w:p>
      <w:pPr>
        <w:pStyle w:val="ListBullet"/>
        <w:spacing w:after="40"/>
        <w:ind w:left="510"/>
      </w:pPr>
      <w:r>
        <w:rPr>
          <w:rFonts w:ascii="Calibri" w:hAnsi="Calibri"/>
          <w:sz w:val="21"/>
        </w:rPr>
        <w:t>Correction de l'URL du script TouchPoint</w:t>
      </w:r>
    </w:p>
    <w:p>
      <w:pPr>
        <w:pStyle w:val="ListBullet"/>
        <w:spacing w:after="40"/>
        <w:ind w:left="510"/>
      </w:pPr>
      <w:r>
        <w:rPr>
          <w:rFonts w:ascii="Calibri" w:hAnsi="Calibri"/>
          <w:sz w:val="21"/>
        </w:rPr>
        <w:t>Harmonisation du statut initial des inscriptions adultes sur tous les formulaires publics</w:t>
      </w:r>
    </w:p>
    <w:p>
      <w:pPr>
        <w:pStyle w:val="Heading2"/>
      </w:pPr>
      <w:r>
        <w:rPr>
          <w:rFonts w:ascii="Consolas" w:hAnsi="Consolas"/>
          <w:b/>
          <w:color w:val="0891B2"/>
          <w:sz w:val="18"/>
        </w:rPr>
        <w:t xml:space="preserve">LOT 13   </w:t>
      </w:r>
      <w:r>
        <w:rPr>
          <w:rFonts w:ascii="Georgia" w:hAnsi="Georgia"/>
          <w:b/>
          <w:color w:val="1B3080"/>
          <w:sz w:val="25"/>
        </w:rPr>
        <w:t>Pages publiques et contenus</w:t>
      </w:r>
    </w:p>
    <w:p>
      <w:pPr>
        <w:spacing w:after="80"/>
      </w:pPr>
      <w:r>
        <w:rPr>
          <w:rFonts w:ascii="Consolas" w:hAnsi="Consolas"/>
          <w:color w:val="8A93A1"/>
          <w:sz w:val="17"/>
        </w:rPr>
        <w:t>13 livraisons</w:t>
      </w:r>
    </w:p>
    <w:p>
      <w:pPr>
        <w:pStyle w:val="ListBullet"/>
        <w:spacing w:after="40"/>
        <w:ind w:left="510"/>
      </w:pPr>
      <w:r>
        <w:rPr>
          <w:rFonts w:ascii="Calibri" w:hAnsi="Calibri"/>
          <w:sz w:val="21"/>
        </w:rPr>
        <w:t xml:space="preserve">Page </w:t>
      </w:r>
      <w:r>
        <w:rPr>
          <w:rFonts w:ascii="Calibri" w:hAnsi="Calibri"/>
          <w:i/>
          <w:color w:val="5C6573"/>
          <w:sz w:val="21"/>
        </w:rPr>
        <w:t>BET for Business</w:t>
      </w:r>
    </w:p>
    <w:p>
      <w:pPr>
        <w:pStyle w:val="ListBullet"/>
        <w:spacing w:after="40"/>
        <w:ind w:left="510"/>
      </w:pPr>
      <w:r>
        <w:rPr>
          <w:rFonts w:ascii="Calibri" w:hAnsi="Calibri"/>
          <w:sz w:val="21"/>
        </w:rPr>
        <w:t xml:space="preserve">Section </w:t>
      </w:r>
      <w:r>
        <w:rPr>
          <w:rFonts w:ascii="Calibri" w:hAnsi="Calibri"/>
          <w:i/>
          <w:color w:val="5C6573"/>
          <w:sz w:val="21"/>
        </w:rPr>
        <w:t>Équipe Administrative</w:t>
      </w:r>
      <w:r>
        <w:rPr>
          <w:rFonts w:ascii="Calibri" w:hAnsi="Calibri"/>
          <w:sz w:val="21"/>
        </w:rPr>
        <w:t>, alimentée depuis le dashboard</w:t>
      </w:r>
    </w:p>
    <w:p>
      <w:pPr>
        <w:pStyle w:val="ListBullet"/>
        <w:spacing w:after="40"/>
        <w:ind w:left="510"/>
      </w:pPr>
      <w:r>
        <w:rPr>
          <w:rFonts w:ascii="Calibri" w:hAnsi="Calibri"/>
          <w:sz w:val="21"/>
        </w:rPr>
        <w:t>Formulaire public de campagne — la page qu'ouvre le QR code — avec bannière et illustration</w:t>
      </w:r>
    </w:p>
    <w:p>
      <w:pPr>
        <w:pStyle w:val="ListBullet"/>
        <w:spacing w:after="40"/>
        <w:ind w:left="510"/>
      </w:pPr>
      <w:r>
        <w:rPr>
          <w:rFonts w:ascii="Calibri" w:hAnsi="Calibri"/>
          <w:sz w:val="21"/>
        </w:rPr>
        <w:t>Carrousel d'accueil : flèches de navigation, durée par photo, correction du bouton « Visible »</w:t>
      </w:r>
    </w:p>
    <w:p>
      <w:pPr>
        <w:pStyle w:val="ListBullet"/>
        <w:spacing w:after="40"/>
        <w:ind w:left="510"/>
      </w:pPr>
      <w:r>
        <w:rPr>
          <w:rFonts w:ascii="Calibri" w:hAnsi="Calibri"/>
          <w:sz w:val="21"/>
        </w:rPr>
        <w:t>Mises à jour des pages Accueil, À propos, FAQ, Contact, Boutique, Témoignages</w:t>
      </w:r>
    </w:p>
    <w:p>
      <w:pPr>
        <w:pStyle w:val="ListBullet"/>
        <w:spacing w:after="40"/>
        <w:ind w:left="510"/>
      </w:pPr>
      <w:r>
        <w:rPr>
          <w:rFonts w:ascii="Calibri" w:hAnsi="Calibri"/>
          <w:sz w:val="21"/>
        </w:rPr>
        <w:t>Parcours prospect : modals enfant, centres en ligne, tunnel, simulateur de formation</w:t>
      </w:r>
    </w:p>
    <w:p>
      <w:pPr>
        <w:pStyle w:val="ListBullet"/>
        <w:spacing w:after="40"/>
        <w:ind w:left="510"/>
      </w:pPr>
      <w:r>
        <w:rPr>
          <w:rFonts w:ascii="Calibri" w:hAnsi="Calibri"/>
          <w:sz w:val="21"/>
        </w:rPr>
        <w:t>Test de niveau gratuit et pages de certification</w:t>
      </w:r>
    </w:p>
    <w:p>
      <w:pPr>
        <w:pStyle w:val="ListBullet"/>
        <w:spacing w:after="40"/>
        <w:ind w:left="510"/>
      </w:pPr>
      <w:r>
        <w:rPr>
          <w:rFonts w:ascii="Calibri" w:hAnsi="Calibri"/>
          <w:sz w:val="21"/>
        </w:rPr>
        <w:t>Coordonnées BET : deux numéros WhatsApp supplémentaires</w:t>
      </w:r>
    </w:p>
    <w:p>
      <w:pPr>
        <w:pStyle w:val="ListBullet"/>
        <w:spacing w:after="40"/>
        <w:ind w:left="510"/>
      </w:pPr>
      <w:r>
        <w:rPr>
          <w:rFonts w:ascii="Calibri" w:hAnsi="Calibri"/>
          <w:sz w:val="21"/>
        </w:rPr>
        <w:t>Dossiers entreprise : ne plus annoncer le nom d'une assistante Corporate</w:t>
      </w:r>
    </w:p>
    <w:p>
      <w:pPr>
        <w:pStyle w:val="Heading2"/>
      </w:pPr>
      <w:r>
        <w:rPr>
          <w:rFonts w:ascii="Consolas" w:hAnsi="Consolas"/>
          <w:b/>
          <w:color w:val="0891B2"/>
          <w:sz w:val="18"/>
        </w:rPr>
        <w:t xml:space="preserve">LOT 14   </w:t>
      </w:r>
      <w:r>
        <w:rPr>
          <w:rFonts w:ascii="Georgia" w:hAnsi="Georgia"/>
          <w:b/>
          <w:color w:val="1B3080"/>
          <w:sz w:val="25"/>
        </w:rPr>
        <w:t>Accès, messagerie et référencement</w:t>
      </w:r>
    </w:p>
    <w:p>
      <w:pPr>
        <w:spacing w:after="80"/>
      </w:pPr>
      <w:r>
        <w:rPr>
          <w:rFonts w:ascii="Consolas" w:hAnsi="Consolas"/>
          <w:color w:val="8A93A1"/>
          <w:sz w:val="17"/>
        </w:rPr>
        <w:t>7 livraisons</w:t>
      </w:r>
    </w:p>
    <w:p>
      <w:pPr>
        <w:pStyle w:val="ListBullet"/>
        <w:spacing w:after="40"/>
        <w:ind w:left="510"/>
      </w:pPr>
      <w:r>
        <w:rPr>
          <w:rFonts w:ascii="Calibri" w:hAnsi="Calibri"/>
          <w:sz w:val="21"/>
        </w:rPr>
        <w:t xml:space="preserve">Blocage d'accès : l'apprenant apprend </w:t>
      </w:r>
      <w:r>
        <w:rPr>
          <w:rFonts w:ascii="Calibri" w:hAnsi="Calibri"/>
          <w:i/>
          <w:color w:val="5C6573"/>
          <w:sz w:val="21"/>
        </w:rPr>
        <w:t>pourquoi</w:t>
      </w:r>
      <w:r>
        <w:rPr>
          <w:rFonts w:ascii="Calibri" w:hAnsi="Calibri"/>
          <w:sz w:val="21"/>
        </w:rPr>
        <w:t>, sur la page de connexion et par e-mail</w:t>
      </w:r>
    </w:p>
    <w:p>
      <w:pPr>
        <w:pStyle w:val="ListBullet"/>
        <w:spacing w:after="40"/>
        <w:ind w:left="510"/>
      </w:pPr>
      <w:r>
        <w:rPr>
          <w:rFonts w:ascii="Calibri" w:hAnsi="Calibri"/>
          <w:sz w:val="21"/>
        </w:rPr>
        <w:t>Chat prospect : le bouton flottant porte la photo de l'assistante attitrée</w:t>
      </w:r>
    </w:p>
    <w:p>
      <w:pPr>
        <w:pStyle w:val="ListBullet"/>
        <w:spacing w:after="40"/>
        <w:ind w:left="510"/>
      </w:pPr>
      <w:r>
        <w:rPr>
          <w:rFonts w:ascii="Calibri" w:hAnsi="Calibri"/>
          <w:sz w:val="21"/>
        </w:rPr>
        <w:t>Liens des messages rendus cliquables</w:t>
      </w:r>
    </w:p>
    <w:p>
      <w:pPr>
        <w:pStyle w:val="ListBullet"/>
        <w:spacing w:after="40"/>
        <w:ind w:left="510"/>
      </w:pPr>
      <w:r>
        <w:rPr>
          <w:rFonts w:ascii="Calibri" w:hAnsi="Calibri"/>
          <w:sz w:val="21"/>
        </w:rPr>
        <w:t xml:space="preserve">Balisage </w:t>
      </w:r>
      <w:r>
        <w:rPr>
          <w:rFonts w:ascii="Calibri" w:hAnsi="Calibri"/>
          <w:i/>
          <w:color w:val="5C6573"/>
          <w:sz w:val="21"/>
        </w:rPr>
        <w:t>OrganizationSchema</w:t>
      </w:r>
      <w:r>
        <w:rPr>
          <w:rFonts w:ascii="Calibri" w:hAnsi="Calibri"/>
          <w:sz w:val="21"/>
        </w:rPr>
        <w:t xml:space="preserve"> pour le référencement</w:t>
      </w:r>
    </w:p>
    <w:p>
      <w:pPr>
        <w:pStyle w:val="ListBullet"/>
        <w:spacing w:after="40"/>
        <w:ind w:left="510"/>
      </w:pPr>
      <w:r>
        <w:rPr>
          <w:rFonts w:ascii="Calibri" w:hAnsi="Calibri"/>
          <w:sz w:val="21"/>
        </w:rPr>
        <w:t>Correction du favicon et des icônes « Create React App » par défaut</w:t>
      </w:r>
    </w:p>
    <w:p>
      <w:pPr>
        <w:pStyle w:val="ListBullet"/>
        <w:spacing w:after="40"/>
        <w:ind w:left="510"/>
      </w:pPr>
      <w:r>
        <w:rPr>
          <w:rFonts w:ascii="Calibri" w:hAnsi="Calibri"/>
          <w:sz w:val="21"/>
        </w:rPr>
        <w:t>Bandeau de session active au login</w:t>
      </w:r>
    </w:p>
    <w:p>
      <w:pPr>
        <w:pStyle w:val="Heading2"/>
      </w:pPr>
      <w:r>
        <w:rPr>
          <w:rFonts w:ascii="Consolas" w:hAnsi="Consolas"/>
          <w:b/>
          <w:color w:val="0891B2"/>
          <w:sz w:val="18"/>
        </w:rPr>
        <w:t xml:space="preserve">LOT 15   </w:t>
      </w:r>
      <w:r>
        <w:rPr>
          <w:rFonts w:ascii="Georgia" w:hAnsi="Georgia"/>
          <w:b/>
          <w:color w:val="1B3080"/>
          <w:sz w:val="25"/>
        </w:rPr>
        <w:t>Infrastructure et environnements</w:t>
      </w:r>
    </w:p>
    <w:p>
      <w:pPr>
        <w:spacing w:after="80"/>
      </w:pPr>
      <w:r>
        <w:rPr>
          <w:rFonts w:ascii="Consolas" w:hAnsi="Consolas"/>
          <w:color w:val="8A93A1"/>
          <w:sz w:val="17"/>
        </w:rPr>
        <w:t>5 livraisons</w:t>
      </w:r>
    </w:p>
    <w:p>
      <w:pPr>
        <w:pStyle w:val="ListBullet"/>
        <w:spacing w:after="40"/>
        <w:ind w:left="510"/>
      </w:pPr>
      <w:r>
        <w:rPr>
          <w:rFonts w:ascii="Calibri" w:hAnsi="Calibri"/>
          <w:sz w:val="21"/>
        </w:rPr>
        <w:t xml:space="preserve">Bascule des environnements vers le backend VPS </w:t>
      </w:r>
      <w:r>
        <w:rPr>
          <w:rFonts w:ascii="Consolas" w:hAnsi="Consolas"/>
          <w:sz w:val="20"/>
        </w:rPr>
        <w:t>api.purepro-group.com</w:t>
      </w:r>
      <w:r>
        <w:rPr>
          <w:rFonts w:ascii="Calibri" w:hAnsi="Calibri"/>
          <w:sz w:val="21"/>
        </w:rPr>
        <w:t>, puis repli temporaire</w:t>
      </w:r>
    </w:p>
    <w:p>
      <w:pPr>
        <w:pStyle w:val="ListBullet"/>
        <w:spacing w:after="40"/>
        <w:ind w:left="510"/>
      </w:pPr>
      <w:r>
        <w:rPr>
          <w:rFonts w:ascii="Calibri" w:hAnsi="Calibri"/>
          <w:sz w:val="21"/>
        </w:rPr>
        <w:t>Clés Firebase manquantes ajoutées à l'environnement de production</w:t>
      </w:r>
    </w:p>
    <w:p>
      <w:pPr>
        <w:pStyle w:val="ListBullet"/>
        <w:spacing w:after="40"/>
        <w:ind w:left="510"/>
      </w:pPr>
      <w:r>
        <w:rPr>
          <w:rFonts w:ascii="Calibri" w:hAnsi="Calibri"/>
          <w:sz w:val="21"/>
        </w:rPr>
        <w:t>Correction des e-mails et notifications perdus en environnement serverless</w:t>
      </w:r>
    </w:p>
    <w:p>
      <w:pPr>
        <w:pStyle w:val="ListBullet"/>
        <w:spacing w:after="40"/>
        <w:ind w:left="510"/>
      </w:pPr>
      <w:r>
        <w:rPr>
          <w:rFonts w:ascii="Calibri" w:hAnsi="Calibri"/>
          <w:sz w:val="21"/>
        </w:rPr>
        <w:t>Déblocage du déploiement du backend</w:t>
      </w:r>
    </w:p>
    <w:p>
      <w:pPr>
        <w:pStyle w:val="Heading1"/>
      </w:pPr>
      <w:r>
        <w:t>24 → 26 septembre</w:t>
      </w:r>
    </w:p>
    <w:p>
      <w:pPr>
        <w:spacing w:after="40"/>
      </w:pPr>
      <w:r>
        <w:rPr>
          <w:color w:val="5C6573"/>
          <w:sz w:val="18"/>
        </w:rPr>
        <w:t>dash &amp; Frontend — six lots supplémentaires</w:t>
      </w:r>
    </w:p>
    <w:p>
      <w:pPr>
        <w:spacing w:after="40"/>
        <w:pBdr>
          <w:bottom w:val="single" w:sz="6" w:space="4" w:color="12161D"/>
        </w:pBdr>
      </w:pPr>
      <w:r>
        <w:rPr>
          <w:rFonts w:ascii="Consolas" w:hAnsi="Consolas"/>
          <w:color w:val="8A93A1"/>
          <w:sz w:val="17"/>
        </w:rPr>
        <w:t>5 livraisons · 168 fichiers · +10 329 / −5 860</w:t>
      </w:r>
    </w:p>
    <w:p>
      <w:pPr>
        <w:pStyle w:val="Heading2"/>
      </w:pPr>
      <w:r>
        <w:rPr>
          <w:rFonts w:ascii="Consolas" w:hAnsi="Consolas"/>
          <w:b/>
          <w:color w:val="0891B2"/>
          <w:sz w:val="18"/>
        </w:rPr>
        <w:t xml:space="preserve">LOT 16   </w:t>
      </w:r>
      <w:r>
        <w:rPr>
          <w:rFonts w:ascii="Georgia" w:hAnsi="Georgia"/>
          <w:b/>
          <w:color w:val="1B3080"/>
          <w:sz w:val="25"/>
        </w:rPr>
        <w:t>Formules d'offre, du choix du client jusqu'au coach</w:t>
      </w:r>
    </w:p>
    <w:p>
      <w:pPr>
        <w:spacing w:after="80"/>
      </w:pPr>
      <w:r>
        <w:rPr>
          <w:rFonts w:ascii="Consolas" w:hAnsi="Consolas"/>
          <w:color w:val="8A93A1"/>
          <w:sz w:val="17"/>
        </w:rPr>
        <w:t>dash + Frontend</w:t>
      </w:r>
    </w:p>
    <w:p>
      <w:pPr>
        <w:pStyle w:val="ListBullet"/>
        <w:spacing w:after="40"/>
        <w:ind w:left="510"/>
      </w:pPr>
      <w:r>
        <w:rPr>
          <w:rFonts w:ascii="Calibri" w:hAnsi="Calibri"/>
          <w:sz w:val="21"/>
        </w:rPr>
        <w:t xml:space="preserve">Les anciennes </w:t>
      </w:r>
      <w:r>
        <w:rPr>
          <w:rFonts w:ascii="Calibri" w:hAnsi="Calibri"/>
          <w:i/>
          <w:color w:val="5C6573"/>
          <w:sz w:val="21"/>
        </w:rPr>
        <w:t>grilles tarifaires par centre</w:t>
      </w:r>
      <w:r>
        <w:rPr>
          <w:rFonts w:ascii="Calibri" w:hAnsi="Calibri"/>
          <w:sz w:val="21"/>
        </w:rPr>
        <w:t xml:space="preserve"> retirées : chaque offre porte désormais ses propres formules</w:t>
      </w:r>
    </w:p>
    <w:p>
      <w:pPr>
        <w:pStyle w:val="ListBullet"/>
        <w:spacing w:after="40"/>
        <w:ind w:left="510"/>
      </w:pPr>
      <w:r>
        <w:rPr>
          <w:rFonts w:ascii="Calibri" w:hAnsi="Calibri"/>
          <w:sz w:val="21"/>
        </w:rPr>
        <w:t xml:space="preserve">Sélecteur de formule présenté </w:t>
      </w:r>
      <w:r>
        <w:rPr>
          <w:rFonts w:ascii="Calibri" w:hAnsi="Calibri"/>
          <w:i/>
          <w:color w:val="5C6573"/>
          <w:sz w:val="21"/>
        </w:rPr>
        <w:t>en fenêtre</w:t>
      </w:r>
      <w:r>
        <w:rPr>
          <w:rFonts w:ascii="Calibri" w:hAnsi="Calibri"/>
          <w:sz w:val="21"/>
        </w:rPr>
        <w:t>, au lieu d'un renvoi en bas de page</w:t>
      </w:r>
    </w:p>
    <w:p>
      <w:pPr>
        <w:pStyle w:val="ListBullet"/>
        <w:spacing w:after="40"/>
        <w:ind w:left="510"/>
      </w:pPr>
      <w:r>
        <w:rPr>
          <w:rFonts w:ascii="Calibri" w:hAnsi="Calibri"/>
          <w:sz w:val="21"/>
        </w:rPr>
        <w:t>Tarif de la formule honoré jusqu'au paiement — confirmation, montant débité, reçu</w:t>
      </w:r>
    </w:p>
    <w:p>
      <w:pPr>
        <w:pStyle w:val="ListBullet"/>
        <w:spacing w:after="40"/>
        <w:ind w:left="510"/>
      </w:pPr>
      <w:r>
        <w:rPr>
          <w:rFonts w:ascii="Calibri" w:hAnsi="Calibri"/>
          <w:sz w:val="21"/>
        </w:rPr>
        <w:t>Formule visible chez l'assistante, dans le dossier transmis à l'Onboarding et au moment du versement</w:t>
      </w:r>
    </w:p>
    <w:p>
      <w:pPr>
        <w:pStyle w:val="ListBullet"/>
        <w:spacing w:after="40"/>
        <w:ind w:left="510"/>
      </w:pPr>
      <w:r>
        <w:rPr>
          <w:rFonts w:ascii="Calibri" w:hAnsi="Calibri"/>
          <w:sz w:val="21"/>
        </w:rPr>
        <w:t xml:space="preserve">Sélecteur ajouté aux </w:t>
      </w:r>
      <w:r>
        <w:rPr>
          <w:rFonts w:ascii="Calibri" w:hAnsi="Calibri"/>
          <w:i/>
          <w:color w:val="5C6573"/>
          <w:sz w:val="21"/>
        </w:rPr>
        <w:t>inscriptions manuelles</w:t>
      </w:r>
      <w:r>
        <w:rPr>
          <w:rFonts w:ascii="Calibri" w:hAnsi="Calibri"/>
          <w:sz w:val="21"/>
        </w:rPr>
        <w:t xml:space="preserve"> et au </w:t>
      </w:r>
      <w:r>
        <w:rPr>
          <w:rFonts w:ascii="Calibri" w:hAnsi="Calibri"/>
          <w:i/>
          <w:color w:val="5C6573"/>
          <w:sz w:val="21"/>
        </w:rPr>
        <w:t>parcours enfant</w:t>
      </w:r>
      <w:r>
        <w:rPr>
          <w:rFonts w:ascii="Calibri" w:hAnsi="Calibri"/>
          <w:sz w:val="21"/>
        </w:rPr>
        <w:t>, seuls écrans qui l'ignoraient encore</w:t>
      </w:r>
    </w:p>
    <w:p>
      <w:pPr>
        <w:pStyle w:val="ListBullet"/>
        <w:spacing w:after="40"/>
        <w:ind w:left="510"/>
      </w:pPr>
      <w:r>
        <w:rPr>
          <w:rFonts w:ascii="Calibri" w:hAnsi="Calibri"/>
          <w:sz w:val="21"/>
        </w:rPr>
        <w:t xml:space="preserve">Confirmation avant enregistrement sur tous les boutons d'offres </w:t>
      </w:r>
      <w:r>
        <w:rPr>
          <w:rFonts w:ascii="Calibri" w:hAnsi="Calibri"/>
          <w:b/>
          <w:color w:val="1B3080"/>
          <w:sz w:val="17"/>
        </w:rPr>
        <w:t xml:space="preserve"> [SuperAdmin]</w:t>
      </w:r>
    </w:p>
    <w:p>
      <w:pPr>
        <w:pStyle w:val="Heading2"/>
      </w:pPr>
      <w:r>
        <w:rPr>
          <w:rFonts w:ascii="Consolas" w:hAnsi="Consolas"/>
          <w:b/>
          <w:color w:val="0891B2"/>
          <w:sz w:val="18"/>
        </w:rPr>
        <w:t xml:space="preserve">LOT 17   </w:t>
      </w:r>
      <w:r>
        <w:rPr>
          <w:rFonts w:ascii="Georgia" w:hAnsi="Georgia"/>
          <w:b/>
          <w:color w:val="1B3080"/>
          <w:sz w:val="25"/>
        </w:rPr>
        <w:t>Cockpit de pilotage et mesure d'audience</w:t>
      </w:r>
    </w:p>
    <w:p>
      <w:pPr>
        <w:spacing w:after="80"/>
      </w:pPr>
      <w:r>
        <w:rPr>
          <w:rFonts w:ascii="Consolas" w:hAnsi="Consolas"/>
          <w:color w:val="8A93A1"/>
          <w:sz w:val="17"/>
        </w:rPr>
        <w:t>SuperAdmin</w:t>
      </w:r>
    </w:p>
    <w:p>
      <w:pPr>
        <w:pStyle w:val="ListBullet"/>
        <w:spacing w:after="40"/>
        <w:ind w:left="510"/>
      </w:pPr>
      <w:r>
        <w:rPr>
          <w:rFonts w:ascii="Calibri" w:hAnsi="Calibri"/>
          <w:sz w:val="21"/>
        </w:rPr>
        <w:t xml:space="preserve">Cockpit de </w:t>
      </w:r>
      <w:r>
        <w:rPr>
          <w:rFonts w:ascii="Calibri" w:hAnsi="Calibri"/>
          <w:i/>
          <w:color w:val="5C6573"/>
          <w:sz w:val="21"/>
        </w:rPr>
        <w:t>31 indicateurs</w:t>
      </w:r>
      <w:r>
        <w:rPr>
          <w:rFonts w:ascii="Calibri" w:hAnsi="Calibri"/>
          <w:sz w:val="21"/>
        </w:rPr>
        <w:t xml:space="preserve"> issus du référentiel de 90, filtrables par section</w:t>
      </w:r>
    </w:p>
    <w:p>
      <w:pPr>
        <w:pStyle w:val="ListBullet"/>
        <w:spacing w:after="40"/>
        <w:ind w:left="510"/>
      </w:pPr>
      <w:r>
        <w:rPr>
          <w:rFonts w:ascii="Calibri" w:hAnsi="Calibri"/>
          <w:sz w:val="21"/>
        </w:rPr>
        <w:t>Chaque taux affiche son effectif ; « aucune donnée » distingué de « zéro »</w:t>
      </w:r>
    </w:p>
    <w:p>
      <w:pPr>
        <w:pStyle w:val="ListBullet"/>
        <w:spacing w:after="40"/>
        <w:ind w:left="510"/>
      </w:pPr>
      <w:r>
        <w:rPr>
          <w:rFonts w:ascii="Calibri" w:hAnsi="Calibri"/>
          <w:sz w:val="21"/>
        </w:rPr>
        <w:t xml:space="preserve">Les 60 indicateurs non couverts sont annoncés </w:t>
      </w:r>
      <w:r>
        <w:rPr>
          <w:rFonts w:ascii="Calibri" w:hAnsi="Calibri"/>
          <w:i/>
          <w:color w:val="5C6573"/>
          <w:sz w:val="21"/>
        </w:rPr>
        <w:t>avec leur raison</w:t>
      </w:r>
      <w:r>
        <w:rPr>
          <w:rFonts w:ascii="Calibri" w:hAnsi="Calibri"/>
          <w:sz w:val="21"/>
        </w:rPr>
        <w:t>, plutôt que tus</w:t>
      </w:r>
    </w:p>
    <w:p>
      <w:pPr>
        <w:pStyle w:val="ListBullet"/>
        <w:spacing w:after="40"/>
        <w:ind w:left="510"/>
      </w:pPr>
      <w:r>
        <w:rPr>
          <w:rFonts w:ascii="Calibri" w:hAnsi="Calibri"/>
          <w:sz w:val="21"/>
        </w:rPr>
        <w:t>Google Analytics 4 installé de bout en bout : balise différée, événements de tunnel, lecture serveur</w:t>
      </w:r>
    </w:p>
    <w:p>
      <w:pPr>
        <w:pStyle w:val="ListBullet"/>
        <w:spacing w:after="40"/>
        <w:ind w:left="510"/>
      </w:pPr>
      <w:r>
        <w:rPr>
          <w:rFonts w:ascii="Calibri" w:hAnsi="Calibri"/>
          <w:sz w:val="21"/>
        </w:rPr>
        <w:t xml:space="preserve">Cycle de vie du prospect </w:t>
      </w:r>
      <w:r>
        <w:rPr>
          <w:rFonts w:ascii="Calibri" w:hAnsi="Calibri"/>
          <w:i/>
          <w:color w:val="5C6573"/>
          <w:sz w:val="21"/>
        </w:rPr>
        <w:t>sans aucun clic</w:t>
      </w:r>
      <w:r>
        <w:rPr>
          <w:rFonts w:ascii="Calibri" w:hAnsi="Calibri"/>
          <w:sz w:val="21"/>
        </w:rPr>
        <w:t xml:space="preserve"> — les étapes se déduisent de gestes qui existent déjà</w:t>
      </w:r>
    </w:p>
    <w:p>
      <w:pPr>
        <w:pStyle w:val="Heading2"/>
      </w:pPr>
      <w:r>
        <w:rPr>
          <w:rFonts w:ascii="Consolas" w:hAnsi="Consolas"/>
          <w:b/>
          <w:color w:val="0891B2"/>
          <w:sz w:val="18"/>
        </w:rPr>
        <w:t xml:space="preserve">LOT 18   </w:t>
      </w:r>
      <w:r>
        <w:rPr>
          <w:rFonts w:ascii="Georgia" w:hAnsi="Georgia"/>
          <w:b/>
          <w:color w:val="1B3080"/>
          <w:sz w:val="25"/>
        </w:rPr>
        <w:t>Messagerie de groupe</w:t>
      </w:r>
    </w:p>
    <w:p>
      <w:pPr>
        <w:spacing w:after="80"/>
      </w:pPr>
      <w:r>
        <w:rPr>
          <w:rFonts w:ascii="Consolas" w:hAnsi="Consolas"/>
          <w:color w:val="8A93A1"/>
          <w:sz w:val="17"/>
        </w:rPr>
        <w:t>dash</w:t>
      </w:r>
    </w:p>
    <w:p>
      <w:pPr>
        <w:pStyle w:val="ListBullet"/>
        <w:spacing w:after="40"/>
        <w:ind w:left="510"/>
      </w:pPr>
      <w:r>
        <w:rPr>
          <w:rFonts w:ascii="Calibri" w:hAnsi="Calibri"/>
          <w:sz w:val="21"/>
        </w:rPr>
        <w:t xml:space="preserve">Groupes ouverts aux </w:t>
      </w:r>
      <w:r>
        <w:rPr>
          <w:rFonts w:ascii="Calibri" w:hAnsi="Calibri"/>
          <w:i/>
          <w:color w:val="5C6573"/>
          <w:sz w:val="21"/>
        </w:rPr>
        <w:t>apprenants de plusieurs classes</w:t>
      </w:r>
      <w:r>
        <w:rPr>
          <w:rFonts w:ascii="Calibri" w:hAnsi="Calibri"/>
          <w:sz w:val="21"/>
        </w:rPr>
        <w:t>, créés par les commerciales et l'Onboarding</w:t>
      </w:r>
    </w:p>
    <w:p>
      <w:pPr>
        <w:pStyle w:val="ListBullet"/>
        <w:spacing w:after="40"/>
        <w:ind w:left="510"/>
      </w:pPr>
      <w:r>
        <w:rPr>
          <w:rFonts w:ascii="Calibri" w:hAnsi="Calibri"/>
          <w:sz w:val="21"/>
        </w:rPr>
        <w:t>Photo de groupe, renommage, agrandissement au clic — comme dans une messagerie grand public</w:t>
      </w:r>
    </w:p>
    <w:p>
      <w:pPr>
        <w:pStyle w:val="ListBullet"/>
        <w:spacing w:after="40"/>
        <w:ind w:left="510"/>
      </w:pPr>
      <w:r>
        <w:rPr>
          <w:rFonts w:ascii="Calibri" w:hAnsi="Calibri"/>
          <w:sz w:val="21"/>
        </w:rPr>
        <w:t xml:space="preserve">Images et vidéos </w:t>
      </w:r>
      <w:r>
        <w:rPr>
          <w:rFonts w:ascii="Calibri" w:hAnsi="Calibri"/>
          <w:i/>
          <w:color w:val="5C6573"/>
          <w:sz w:val="21"/>
        </w:rPr>
        <w:t>lues dans le fil</w:t>
      </w:r>
      <w:r>
        <w:rPr>
          <w:rFonts w:ascii="Calibri" w:hAnsi="Calibri"/>
          <w:sz w:val="21"/>
        </w:rPr>
        <w:t xml:space="preserve"> au lieu d'ouvrir un onglet</w:t>
      </w:r>
    </w:p>
    <w:p>
      <w:pPr>
        <w:pStyle w:val="ListBullet"/>
        <w:spacing w:after="40"/>
        <w:ind w:left="510"/>
      </w:pPr>
      <w:r>
        <w:rPr>
          <w:rFonts w:ascii="Calibri" w:hAnsi="Calibri"/>
          <w:sz w:val="21"/>
        </w:rPr>
        <w:t>Sélecteur d'emojis à côté du micro ; bouton « tout sélectionner » à la composition d'un groupe</w:t>
      </w:r>
    </w:p>
    <w:p>
      <w:pPr>
        <w:pStyle w:val="ListBullet"/>
        <w:spacing w:after="40"/>
        <w:ind w:left="510"/>
      </w:pPr>
      <w:r>
        <w:rPr>
          <w:rFonts w:ascii="Calibri" w:hAnsi="Calibri"/>
          <w:sz w:val="21"/>
        </w:rPr>
        <w:t>Pièces jointes désactivées pour les apprenants, micro et emojis conservés</w:t>
      </w:r>
    </w:p>
    <w:p>
      <w:pPr>
        <w:pStyle w:val="Heading2"/>
      </w:pPr>
      <w:r>
        <w:rPr>
          <w:rFonts w:ascii="Consolas" w:hAnsi="Consolas"/>
          <w:b/>
          <w:color w:val="0891B2"/>
          <w:sz w:val="18"/>
        </w:rPr>
        <w:t xml:space="preserve">LOT 19   </w:t>
      </w:r>
      <w:r>
        <w:rPr>
          <w:rFonts w:ascii="Georgia" w:hAnsi="Georgia"/>
          <w:b/>
          <w:color w:val="1B3080"/>
          <w:sz w:val="25"/>
        </w:rPr>
        <w:t>Sécurité des sessions et des accès</w:t>
      </w:r>
    </w:p>
    <w:p>
      <w:pPr>
        <w:spacing w:after="80"/>
      </w:pPr>
      <w:r>
        <w:rPr>
          <w:rFonts w:ascii="Consolas" w:hAnsi="Consolas"/>
          <w:color w:val="8A93A1"/>
          <w:sz w:val="17"/>
        </w:rPr>
        <w:t>dash + serveur</w:t>
      </w:r>
    </w:p>
    <w:p>
      <w:pPr>
        <w:pStyle w:val="ListBullet"/>
        <w:spacing w:after="40"/>
        <w:ind w:left="510"/>
      </w:pPr>
      <w:r>
        <w:rPr>
          <w:rFonts w:ascii="Calibri" w:hAnsi="Calibri"/>
          <w:sz w:val="21"/>
        </w:rPr>
        <w:t xml:space="preserve">Déconnexion automatique après inactivité — </w:t>
      </w:r>
      <w:r>
        <w:rPr>
          <w:rFonts w:ascii="Calibri" w:hAnsi="Calibri"/>
          <w:i/>
          <w:color w:val="5C6573"/>
          <w:sz w:val="21"/>
        </w:rPr>
        <w:t>1 h pour le personnel, 1 h 30 pour les coachs</w:t>
      </w:r>
    </w:p>
    <w:p>
      <w:pPr>
        <w:pStyle w:val="ListBullet"/>
        <w:spacing w:after="40"/>
        <w:ind w:left="510"/>
      </w:pPr>
      <w:r>
        <w:rPr>
          <w:rFonts w:ascii="Calibri" w:hAnsi="Calibri"/>
          <w:sz w:val="21"/>
        </w:rPr>
        <w:t>Préavis de deux minutes avec bouton « Je suis là », compteur partagé entre les onglets</w:t>
      </w:r>
    </w:p>
    <w:p>
      <w:pPr>
        <w:pStyle w:val="ListBullet"/>
        <w:spacing w:after="40"/>
        <w:ind w:left="510"/>
      </w:pPr>
      <w:r>
        <w:rPr>
          <w:rFonts w:ascii="Calibri" w:hAnsi="Calibri"/>
          <w:sz w:val="21"/>
        </w:rPr>
        <w:t xml:space="preserve">Garde équivalente </w:t>
      </w:r>
      <w:r>
        <w:rPr>
          <w:rFonts w:ascii="Calibri" w:hAnsi="Calibri"/>
          <w:i/>
          <w:color w:val="5C6573"/>
          <w:sz w:val="21"/>
        </w:rPr>
        <w:t>côté serveur</w:t>
      </w:r>
      <w:r>
        <w:rPr>
          <w:rFonts w:ascii="Calibri" w:hAnsi="Calibri"/>
          <w:sz w:val="21"/>
        </w:rPr>
        <w:t xml:space="preserve"> : un jeton copié ne survit plus à l'inactivité du compte</w:t>
      </w:r>
    </w:p>
    <w:p>
      <w:pPr>
        <w:pStyle w:val="ListBullet"/>
        <w:spacing w:after="40"/>
        <w:ind w:left="510"/>
      </w:pPr>
      <w:r>
        <w:rPr>
          <w:rFonts w:ascii="Calibri" w:hAnsi="Calibri"/>
          <w:sz w:val="21"/>
        </w:rPr>
        <w:t>Une session live en cours suspend le compte à rebours : un coach n'est jamais coupé en plein cours</w:t>
      </w:r>
    </w:p>
    <w:p>
      <w:pPr>
        <w:pStyle w:val="ListBullet"/>
        <w:spacing w:after="40"/>
        <w:ind w:left="510"/>
      </w:pPr>
      <w:r>
        <w:rPr>
          <w:rFonts w:ascii="Calibri" w:hAnsi="Calibri"/>
          <w:sz w:val="21"/>
        </w:rPr>
        <w:t xml:space="preserve">Salle virtuelle ouverte </w:t>
      </w:r>
      <w:r>
        <w:rPr>
          <w:rFonts w:ascii="Calibri" w:hAnsi="Calibri"/>
          <w:i/>
          <w:color w:val="5C6573"/>
          <w:sz w:val="21"/>
        </w:rPr>
        <w:t>10 minutes avant</w:t>
      </w:r>
      <w:r>
        <w:rPr>
          <w:rFonts w:ascii="Calibri" w:hAnsi="Calibri"/>
          <w:sz w:val="21"/>
        </w:rPr>
        <w:t xml:space="preserve"> pour tout le monde ; son adresse n'est plus transmise avant l'heure</w:t>
      </w:r>
    </w:p>
    <w:p>
      <w:pPr>
        <w:pStyle w:val="Heading2"/>
      </w:pPr>
      <w:r>
        <w:rPr>
          <w:rFonts w:ascii="Consolas" w:hAnsi="Consolas"/>
          <w:b/>
          <w:color w:val="0891B2"/>
          <w:sz w:val="18"/>
        </w:rPr>
        <w:t xml:space="preserve">LOT 20   </w:t>
      </w:r>
      <w:r>
        <w:rPr>
          <w:rFonts w:ascii="Georgia" w:hAnsi="Georgia"/>
          <w:b/>
          <w:color w:val="1B3080"/>
          <w:sz w:val="25"/>
        </w:rPr>
        <w:t>Campagnes, newsletters et liens publics</w:t>
      </w:r>
    </w:p>
    <w:p>
      <w:pPr>
        <w:spacing w:after="80"/>
      </w:pPr>
      <w:r>
        <w:rPr>
          <w:rFonts w:ascii="Consolas" w:hAnsi="Consolas"/>
          <w:color w:val="8A93A1"/>
          <w:sz w:val="17"/>
        </w:rPr>
        <w:t>dash + Frontend</w:t>
      </w:r>
    </w:p>
    <w:p>
      <w:pPr>
        <w:pStyle w:val="ListBullet"/>
        <w:spacing w:after="40"/>
        <w:ind w:left="510"/>
      </w:pPr>
      <w:r>
        <w:rPr>
          <w:rFonts w:ascii="Calibri" w:hAnsi="Calibri"/>
          <w:sz w:val="21"/>
        </w:rPr>
        <w:t xml:space="preserve">Liens de campagne et QR codes réparés : ils pointaient vers </w:t>
      </w:r>
      <w:r>
        <w:rPr>
          <w:rFonts w:ascii="Calibri" w:hAnsi="Calibri"/>
          <w:i/>
          <w:color w:val="5C6573"/>
          <w:sz w:val="21"/>
        </w:rPr>
        <w:t>localhost</w:t>
      </w:r>
      <w:r>
        <w:rPr>
          <w:rFonts w:ascii="Calibri" w:hAnsi="Calibri"/>
          <w:sz w:val="21"/>
        </w:rPr>
        <w:t>, y compris en production</w:t>
      </w:r>
    </w:p>
    <w:p>
      <w:pPr>
        <w:pStyle w:val="ListBullet"/>
        <w:spacing w:after="40"/>
        <w:ind w:left="510"/>
      </w:pPr>
      <w:r>
        <w:rPr>
          <w:rFonts w:ascii="Calibri" w:hAnsi="Calibri"/>
          <w:sz w:val="21"/>
        </w:rPr>
        <w:t>Liens tracés des réseaux sociaux redirigés vers le site public — les UTM ne remontaient nulle part</w:t>
      </w:r>
    </w:p>
    <w:p>
      <w:pPr>
        <w:pStyle w:val="ListBullet"/>
        <w:spacing w:after="40"/>
        <w:ind w:left="510"/>
      </w:pPr>
      <w:r>
        <w:rPr>
          <w:rFonts w:ascii="Calibri" w:hAnsi="Calibri"/>
          <w:sz w:val="21"/>
        </w:rPr>
        <w:t>Désinscription des newsletters rendue opérante : la page n'existait pas, le filtre non plus</w:t>
      </w:r>
    </w:p>
    <w:p>
      <w:pPr>
        <w:pStyle w:val="ListBullet"/>
        <w:spacing w:after="40"/>
        <w:ind w:left="510"/>
      </w:pPr>
      <w:r>
        <w:rPr>
          <w:rFonts w:ascii="Calibri" w:hAnsi="Calibri"/>
          <w:sz w:val="21"/>
        </w:rPr>
        <w:t xml:space="preserve">Modification et suppression d'une campagne, avec </w:t>
      </w:r>
      <w:r>
        <w:rPr>
          <w:rFonts w:ascii="Calibri" w:hAnsi="Calibri"/>
          <w:i/>
          <w:color w:val="5C6573"/>
          <w:sz w:val="21"/>
        </w:rPr>
        <w:t>décompte des données</w:t>
      </w:r>
      <w:r>
        <w:rPr>
          <w:rFonts w:ascii="Calibri" w:hAnsi="Calibri"/>
          <w:sz w:val="21"/>
        </w:rPr>
        <w:t xml:space="preserve"> avant effacement</w:t>
      </w:r>
    </w:p>
    <w:p>
      <w:pPr>
        <w:pStyle w:val="ListBullet"/>
        <w:spacing w:after="40"/>
        <w:ind w:left="510"/>
      </w:pPr>
      <w:r>
        <w:rPr>
          <w:rFonts w:ascii="Calibri" w:hAnsi="Calibri"/>
          <w:sz w:val="21"/>
        </w:rPr>
        <w:t>Saisie corrigée dans les formulaires : le clavier se refermait à chaque lettre sur mobile</w:t>
      </w:r>
    </w:p>
    <w:p>
      <w:pPr>
        <w:pStyle w:val="Heading2"/>
      </w:pPr>
      <w:r>
        <w:rPr>
          <w:rFonts w:ascii="Consolas" w:hAnsi="Consolas"/>
          <w:b/>
          <w:color w:val="0891B2"/>
          <w:sz w:val="18"/>
        </w:rPr>
        <w:t xml:space="preserve">LOT 21   </w:t>
      </w:r>
      <w:r>
        <w:rPr>
          <w:rFonts w:ascii="Georgia" w:hAnsi="Georgia"/>
          <w:b/>
          <w:color w:val="1B3080"/>
          <w:sz w:val="25"/>
        </w:rPr>
        <w:t>Règles métier du dossier</w:t>
      </w:r>
    </w:p>
    <w:p>
      <w:pPr>
        <w:spacing w:after="80"/>
      </w:pPr>
      <w:r>
        <w:rPr>
          <w:rFonts w:ascii="Consolas" w:hAnsi="Consolas"/>
          <w:color w:val="8A93A1"/>
          <w:sz w:val="17"/>
        </w:rPr>
        <w:t>dash + serveur</w:t>
      </w:r>
    </w:p>
    <w:p>
      <w:pPr>
        <w:pStyle w:val="ListBullet"/>
        <w:spacing w:after="40"/>
        <w:ind w:left="510"/>
      </w:pPr>
      <w:r>
        <w:rPr>
          <w:rFonts w:ascii="Calibri" w:hAnsi="Calibri"/>
          <w:i/>
          <w:color w:val="5C6573"/>
          <w:sz w:val="21"/>
        </w:rPr>
        <w:t>Objectif du client</w:t>
      </w:r>
      <w:r>
        <w:rPr>
          <w:rFonts w:ascii="Calibri" w:hAnsi="Calibri"/>
          <w:sz w:val="21"/>
        </w:rPr>
        <w:t xml:space="preserve"> saisi à l'inscription et transmis jusqu'au coach — c'est lui que le conseiller lit pour choisir</w:t>
      </w:r>
    </w:p>
    <w:p>
      <w:pPr>
        <w:pStyle w:val="ListBullet"/>
        <w:spacing w:after="40"/>
        <w:ind w:left="510"/>
      </w:pPr>
      <w:r>
        <w:rPr>
          <w:rFonts w:ascii="Calibri" w:hAnsi="Calibri"/>
          <w:sz w:val="21"/>
        </w:rPr>
        <w:t>Test de niveau exigé avant transmission à l'Onboarding, comme il l'était déjà côté présentiel</w:t>
      </w:r>
    </w:p>
    <w:p>
      <w:pPr>
        <w:pStyle w:val="ListBullet"/>
        <w:spacing w:after="40"/>
        <w:ind w:left="510"/>
      </w:pPr>
      <w:r>
        <w:rPr>
          <w:rFonts w:ascii="Calibri" w:hAnsi="Calibri"/>
          <w:sz w:val="21"/>
        </w:rPr>
        <w:t>Motif obligatoire pour arrêter une formation</w:t>
      </w:r>
    </w:p>
    <w:p>
      <w:pPr>
        <w:pStyle w:val="ListBullet"/>
        <w:spacing w:after="40"/>
        <w:ind w:left="510"/>
      </w:pPr>
      <w:r>
        <w:rPr>
          <w:rFonts w:ascii="Calibri" w:hAnsi="Calibri"/>
          <w:sz w:val="21"/>
        </w:rPr>
        <w:t>Un contenu e-learning doit viser au moins une classe ; ses classes deviennent modifiables après coup</w:t>
      </w:r>
    </w:p>
    <w:p>
      <w:pPr>
        <w:pStyle w:val="ListBullet"/>
        <w:spacing w:after="40"/>
        <w:ind w:left="510"/>
      </w:pPr>
      <w:r>
        <w:rPr>
          <w:rFonts w:ascii="Calibri" w:hAnsi="Calibri"/>
          <w:sz w:val="21"/>
        </w:rPr>
        <w:t xml:space="preserve">Changement de groupe en ligne réservé à l'Onboarding, à l'écran </w:t>
      </w:r>
      <w:r>
        <w:rPr>
          <w:rFonts w:ascii="Calibri" w:hAnsi="Calibri"/>
          <w:i/>
          <w:color w:val="5C6573"/>
          <w:sz w:val="21"/>
        </w:rPr>
        <w:t>et dans la route</w:t>
      </w:r>
    </w:p>
    <w:p>
      <w:pPr>
        <w:pStyle w:val="ListBullet"/>
        <w:spacing w:after="40"/>
        <w:ind w:left="510"/>
      </w:pPr>
      <w:r>
        <w:rPr>
          <w:rFonts w:ascii="Calibri" w:hAnsi="Calibri"/>
          <w:sz w:val="21"/>
        </w:rPr>
        <w:t>Planning des séances restreint au périmètre de chaque assistante, et paginé</w:t>
      </w:r>
    </w:p>
    <w:tbl>
      <w:tblPr>
        <w:tblW w:type="auto" w:w="0"/>
        <w:jc w:val="center"/>
        <w:tblLook w:firstColumn="1" w:firstRow="1" w:lastColumn="0" w:lastRow="0" w:noHBand="0" w:noVBand="1" w:val="04A0"/>
      </w:tblPr>
      <w:tblGrid>
        <w:gridCol w:w="9412"/>
      </w:tblGrid>
      <w:tr>
        <w:tc>
          <w:tcPr>
            <w:tcW w:type="dxa" w:w="9412"/>
            <w:shd w:val="clear" w:fill="F4F6FB"/>
            <w:tcBorders>
              <w:top w:val="single" w:sz="4" w:color="E4E1D9"/>
              <w:left w:val="single" w:sz="18" w:color="0891B2"/>
              <w:bottom w:val="single" w:sz="4" w:color="E4E1D9"/>
              <w:right w:val="single" w:sz="4" w:color="E4E1D9"/>
            </w:tcBorders>
          </w:tcPr>
          <w:p>
            <w:pPr>
              <w:spacing w:after="100"/>
            </w:pPr>
            <w:r>
              <w:rPr>
                <w:rFonts w:ascii="Georgia" w:hAnsi="Georgia"/>
                <w:b/>
                <w:sz w:val="22"/>
              </w:rPr>
              <w:t>Ce que ces trois jours ont surtout produit</w:t>
            </w:r>
          </w:p>
          <w:p>
            <w:pPr>
              <w:spacing w:after="60"/>
            </w:pPr>
            <w:r>
              <w:rPr>
                <w:rFonts w:ascii="Calibri" w:hAnsi="Calibri"/>
                <w:color w:val="5C6573"/>
                <w:sz w:val="20"/>
              </w:rPr>
              <w:t xml:space="preserve">Davantage de </w:t>
            </w:r>
            <w:r>
              <w:rPr>
                <w:rFonts w:ascii="Calibri" w:hAnsi="Calibri"/>
                <w:b/>
                <w:color w:val="5C6573"/>
                <w:sz w:val="20"/>
              </w:rPr>
              <w:t>corrections de fond que de fonctionnalités nouvelles</w:t>
            </w:r>
            <w:r>
              <w:rPr>
                <w:rFonts w:ascii="Calibri" w:hAnsi="Calibri"/>
                <w:color w:val="5C6573"/>
                <w:sz w:val="20"/>
              </w:rPr>
              <w:t xml:space="preserve"> : un planning qui montrait à chaque assistante les cours de toutes les autres, des liens de campagne pointant vers un poste de développement, une désinscription de newsletter qui n'existait nulle part, un clavier qui se refermait à chaque lettre. Ces défauts étaient invisibles tant que personne ne les cherchait — c'est le propre d'une plateforme qui entre en usage réel. </w:t>
            </w:r>
          </w:p>
          <w:p>
            <w:pPr>
              <w:spacing w:after="60"/>
            </w:pPr>
            <w:r>
              <w:rPr>
                <w:rFonts w:ascii="Calibri" w:hAnsi="Calibri"/>
                <w:color w:val="5C6573"/>
                <w:sz w:val="20"/>
              </w:rPr>
              <w:t xml:space="preserve">Le volume de code ne rend pas justice à ce type de travail : trouver qu'une variable d'environnement n'a jamais été définie prend plus de temps que d'écrire les trois lignes qui la remplacent. </w:t>
            </w:r>
          </w:p>
        </w:tc>
      </w:tr>
    </w:tbl>
    <w:p>
      <w:pPr>
        <w:spacing w:after="120"/>
      </w:pPr>
    </w:p>
    <w:p>
      <w:pPr>
        <w:pStyle w:val="Heading1"/>
      </w:pPr>
      <w:r>
        <w:t>Volumétrie</w:t>
      </w:r>
    </w:p>
    <w:p>
      <w:pPr>
        <w:spacing w:after="40"/>
      </w:pPr>
      <w:r>
        <w:rPr>
          <w:color w:val="5C6573"/>
          <w:sz w:val="18"/>
        </w:rPr>
        <w:t>mesures brutes de l'historique Git</w:t>
      </w:r>
    </w:p>
    <w:tbl>
      <w:tblPr>
        <w:tblStyle w:val="TableGrid"/>
        <w:tblW w:type="auto" w:w="0"/>
        <w:tblLook w:firstColumn="1" w:firstRow="1" w:lastColumn="0" w:lastRow="0" w:noHBand="0" w:noVBand="1" w:val="04A0"/>
      </w:tblPr>
      <w:tblGrid>
        <w:gridCol w:w="1569"/>
        <w:gridCol w:w="1569"/>
        <w:gridCol w:w="1569"/>
        <w:gridCol w:w="1569"/>
        <w:gridCol w:w="1569"/>
        <w:gridCol w:w="1569"/>
      </w:tblGrid>
      <w:tr>
        <w:tc>
          <w:tcPr>
            <w:tcW w:type="dxa" w:w="1569"/>
            <w:shd w:val="clear" w:fill="F2F4FA"/>
          </w:tcPr>
          <w:p>
            <w:pPr>
              <w:jc w:val="left"/>
            </w:pPr>
            <w:r>
              <w:rPr>
                <w:b/>
                <w:color w:val="1B3080"/>
                <w:sz w:val="17"/>
              </w:rPr>
              <w:t>Plateforme</w:t>
            </w:r>
          </w:p>
        </w:tc>
        <w:tc>
          <w:tcPr>
            <w:tcW w:type="dxa" w:w="1569"/>
            <w:shd w:val="clear" w:fill="F2F4FA"/>
          </w:tcPr>
          <w:p>
            <w:pPr>
              <w:jc w:val="right"/>
            </w:pPr>
            <w:r>
              <w:rPr>
                <w:b/>
                <w:color w:val="1B3080"/>
                <w:sz w:val="17"/>
              </w:rPr>
              <w:t>Livraisons</w:t>
            </w:r>
          </w:p>
        </w:tc>
        <w:tc>
          <w:tcPr>
            <w:tcW w:type="dxa" w:w="1569"/>
            <w:shd w:val="clear" w:fill="F2F4FA"/>
          </w:tcPr>
          <w:p>
            <w:pPr>
              <w:jc w:val="right"/>
            </w:pPr>
            <w:r>
              <w:rPr>
                <w:b/>
                <w:color w:val="1B3080"/>
                <w:sz w:val="17"/>
              </w:rPr>
              <w:t>Fichiers touchés</w:t>
            </w:r>
          </w:p>
        </w:tc>
        <w:tc>
          <w:tcPr>
            <w:tcW w:type="dxa" w:w="1569"/>
            <w:shd w:val="clear" w:fill="F2F4FA"/>
          </w:tcPr>
          <w:p>
            <w:pPr>
              <w:jc w:val="right"/>
            </w:pPr>
            <w:r>
              <w:rPr>
                <w:b/>
                <w:color w:val="1B3080"/>
                <w:sz w:val="17"/>
              </w:rPr>
              <w:t>Fichiers créés</w:t>
            </w:r>
          </w:p>
        </w:tc>
        <w:tc>
          <w:tcPr>
            <w:tcW w:type="dxa" w:w="1569"/>
            <w:shd w:val="clear" w:fill="F2F4FA"/>
          </w:tcPr>
          <w:p>
            <w:pPr>
              <w:jc w:val="right"/>
            </w:pPr>
            <w:r>
              <w:rPr>
                <w:b/>
                <w:color w:val="1B3080"/>
                <w:sz w:val="17"/>
              </w:rPr>
              <w:t>Lignes ajoutées</w:t>
            </w:r>
          </w:p>
        </w:tc>
        <w:tc>
          <w:tcPr>
            <w:tcW w:type="dxa" w:w="1569"/>
            <w:shd w:val="clear" w:fill="F2F4FA"/>
          </w:tcPr>
          <w:p>
            <w:pPr>
              <w:jc w:val="right"/>
            </w:pPr>
            <w:r>
              <w:rPr>
                <w:b/>
                <w:color w:val="1B3080"/>
                <w:sz w:val="17"/>
              </w:rPr>
              <w:t>Lignes retirées</w:t>
            </w:r>
          </w:p>
        </w:tc>
      </w:tr>
      <w:tr>
        <w:tc>
          <w:tcPr>
            <w:tcW w:type="dxa" w:w="1569"/>
          </w:tcPr>
          <w:p>
            <w:pPr>
              <w:jc w:val="left"/>
            </w:pPr>
            <w:r>
              <w:rPr>
                <w:rFonts w:ascii="Calibri" w:hAnsi="Calibri"/>
                <w:b/>
                <w:sz w:val="20"/>
              </w:rPr>
              <w:t xml:space="preserve">dash </w:t>
            </w:r>
            <w:r>
              <w:rPr>
                <w:rFonts w:ascii="Calibri" w:hAnsi="Calibri"/>
                <w:i/>
                <w:color w:val="5C6573"/>
                <w:sz w:val="20"/>
              </w:rPr>
              <w:t>(back-office)</w:t>
            </w:r>
          </w:p>
        </w:tc>
        <w:tc>
          <w:tcPr>
            <w:tcW w:type="dxa" w:w="1569"/>
          </w:tcPr>
          <w:p>
            <w:pPr>
              <w:jc w:val="right"/>
            </w:pPr>
            <w:r>
              <w:rPr>
                <w:rFonts w:ascii="Consolas" w:hAnsi="Consolas"/>
                <w:sz w:val="20"/>
              </w:rPr>
              <w:t>148</w:t>
            </w:r>
          </w:p>
        </w:tc>
        <w:tc>
          <w:tcPr>
            <w:tcW w:type="dxa" w:w="1569"/>
          </w:tcPr>
          <w:p>
            <w:pPr>
              <w:jc w:val="right"/>
            </w:pPr>
            <w:r>
              <w:rPr>
                <w:rFonts w:ascii="Consolas" w:hAnsi="Consolas"/>
                <w:sz w:val="20"/>
              </w:rPr>
              <w:t>234</w:t>
            </w:r>
          </w:p>
        </w:tc>
        <w:tc>
          <w:tcPr>
            <w:tcW w:type="dxa" w:w="1569"/>
          </w:tcPr>
          <w:p>
            <w:pPr>
              <w:jc w:val="right"/>
            </w:pPr>
            <w:r>
              <w:rPr>
                <w:rFonts w:ascii="Consolas" w:hAnsi="Consolas"/>
                <w:sz w:val="20"/>
              </w:rPr>
              <w:t>60</w:t>
            </w:r>
          </w:p>
        </w:tc>
        <w:tc>
          <w:tcPr>
            <w:tcW w:type="dxa" w:w="1569"/>
          </w:tcPr>
          <w:p>
            <w:pPr>
              <w:jc w:val="right"/>
            </w:pPr>
            <w:r>
              <w:rPr>
                <w:rFonts w:ascii="Consolas" w:hAnsi="Consolas"/>
                <w:sz w:val="20"/>
              </w:rPr>
              <w:t>85 198</w:t>
            </w:r>
          </w:p>
        </w:tc>
        <w:tc>
          <w:tcPr>
            <w:tcW w:type="dxa" w:w="1569"/>
          </w:tcPr>
          <w:p>
            <w:pPr>
              <w:jc w:val="right"/>
            </w:pPr>
            <w:r>
              <w:rPr>
                <w:rFonts w:ascii="Consolas" w:hAnsi="Consolas"/>
                <w:sz w:val="20"/>
              </w:rPr>
              <w:t>40 767</w:t>
            </w:r>
          </w:p>
        </w:tc>
      </w:tr>
      <w:tr>
        <w:tc>
          <w:tcPr>
            <w:tcW w:type="dxa" w:w="1569"/>
          </w:tcPr>
          <w:p>
            <w:pPr>
              <w:jc w:val="left"/>
            </w:pPr>
            <w:r>
              <w:rPr>
                <w:rFonts w:ascii="Calibri" w:hAnsi="Calibri"/>
                <w:b/>
                <w:sz w:val="20"/>
              </w:rPr>
              <w:t xml:space="preserve">Frontend </w:t>
            </w:r>
            <w:r>
              <w:rPr>
                <w:rFonts w:ascii="Calibri" w:hAnsi="Calibri"/>
                <w:i/>
                <w:color w:val="5C6573"/>
                <w:sz w:val="20"/>
              </w:rPr>
              <w:t>(site public)</w:t>
            </w:r>
          </w:p>
        </w:tc>
        <w:tc>
          <w:tcPr>
            <w:tcW w:type="dxa" w:w="1569"/>
          </w:tcPr>
          <w:p>
            <w:pPr>
              <w:jc w:val="right"/>
            </w:pPr>
            <w:r>
              <w:rPr>
                <w:rFonts w:ascii="Consolas" w:hAnsi="Consolas"/>
                <w:sz w:val="20"/>
              </w:rPr>
              <w:t>41</w:t>
            </w:r>
          </w:p>
        </w:tc>
        <w:tc>
          <w:tcPr>
            <w:tcW w:type="dxa" w:w="1569"/>
          </w:tcPr>
          <w:p>
            <w:pPr>
              <w:jc w:val="right"/>
            </w:pPr>
            <w:r>
              <w:rPr>
                <w:rFonts w:ascii="Consolas" w:hAnsi="Consolas"/>
                <w:sz w:val="20"/>
              </w:rPr>
              <w:t>161</w:t>
            </w:r>
          </w:p>
        </w:tc>
        <w:tc>
          <w:tcPr>
            <w:tcW w:type="dxa" w:w="1569"/>
          </w:tcPr>
          <w:p>
            <w:pPr>
              <w:jc w:val="right"/>
            </w:pPr>
            <w:r>
              <w:rPr>
                <w:rFonts w:ascii="Consolas" w:hAnsi="Consolas"/>
                <w:sz w:val="20"/>
              </w:rPr>
              <w:t>9</w:t>
            </w:r>
          </w:p>
        </w:tc>
        <w:tc>
          <w:tcPr>
            <w:tcW w:type="dxa" w:w="1569"/>
          </w:tcPr>
          <w:p>
            <w:pPr>
              <w:jc w:val="right"/>
            </w:pPr>
            <w:r>
              <w:rPr>
                <w:rFonts w:ascii="Consolas" w:hAnsi="Consolas"/>
                <w:sz w:val="20"/>
              </w:rPr>
              <w:t>8 223</w:t>
            </w:r>
          </w:p>
        </w:tc>
        <w:tc>
          <w:tcPr>
            <w:tcW w:type="dxa" w:w="1569"/>
          </w:tcPr>
          <w:p>
            <w:pPr>
              <w:jc w:val="right"/>
            </w:pPr>
            <w:r>
              <w:rPr>
                <w:rFonts w:ascii="Consolas" w:hAnsi="Consolas"/>
                <w:sz w:val="20"/>
              </w:rPr>
              <w:t>10 667</w:t>
            </w:r>
          </w:p>
        </w:tc>
      </w:tr>
      <w:tr>
        <w:tc>
          <w:tcPr>
            <w:tcW w:type="dxa" w:w="1569"/>
            <w:shd w:val="clear" w:fill="F2F4FA"/>
          </w:tcPr>
          <w:p>
            <w:pPr>
              <w:jc w:val="left"/>
            </w:pPr>
            <w:r>
              <w:rPr>
                <w:rFonts w:ascii="Calibri" w:hAnsi="Calibri"/>
                <w:b/>
                <w:sz w:val="20"/>
              </w:rPr>
              <w:t>Total</w:t>
            </w:r>
          </w:p>
        </w:tc>
        <w:tc>
          <w:tcPr>
            <w:tcW w:type="dxa" w:w="1569"/>
            <w:shd w:val="clear" w:fill="F2F4FA"/>
          </w:tcPr>
          <w:p>
            <w:pPr>
              <w:jc w:val="right"/>
            </w:pPr>
            <w:r>
              <w:rPr>
                <w:rFonts w:ascii="Consolas" w:hAnsi="Consolas"/>
                <w:b/>
                <w:sz w:val="20"/>
              </w:rPr>
              <w:t>189</w:t>
            </w:r>
          </w:p>
        </w:tc>
        <w:tc>
          <w:tcPr>
            <w:tcW w:type="dxa" w:w="1569"/>
            <w:shd w:val="clear" w:fill="F2F4FA"/>
          </w:tcPr>
          <w:p>
            <w:pPr>
              <w:jc w:val="right"/>
            </w:pPr>
            <w:r>
              <w:rPr>
                <w:rFonts w:ascii="Consolas" w:hAnsi="Consolas"/>
                <w:b/>
                <w:sz w:val="20"/>
              </w:rPr>
              <w:t>395</w:t>
            </w:r>
          </w:p>
        </w:tc>
        <w:tc>
          <w:tcPr>
            <w:tcW w:type="dxa" w:w="1569"/>
            <w:shd w:val="clear" w:fill="F2F4FA"/>
          </w:tcPr>
          <w:p>
            <w:pPr>
              <w:jc w:val="right"/>
            </w:pPr>
            <w:r>
              <w:rPr>
                <w:rFonts w:ascii="Consolas" w:hAnsi="Consolas"/>
                <w:b/>
                <w:sz w:val="20"/>
              </w:rPr>
              <w:t>69</w:t>
            </w:r>
          </w:p>
        </w:tc>
        <w:tc>
          <w:tcPr>
            <w:tcW w:type="dxa" w:w="1569"/>
            <w:shd w:val="clear" w:fill="F2F4FA"/>
          </w:tcPr>
          <w:p>
            <w:pPr>
              <w:jc w:val="right"/>
            </w:pPr>
            <w:r>
              <w:rPr>
                <w:rFonts w:ascii="Consolas" w:hAnsi="Consolas"/>
                <w:b/>
                <w:sz w:val="20"/>
              </w:rPr>
              <w:t>93 421</w:t>
            </w:r>
          </w:p>
        </w:tc>
        <w:tc>
          <w:tcPr>
            <w:tcW w:type="dxa" w:w="1569"/>
            <w:shd w:val="clear" w:fill="F2F4FA"/>
          </w:tcPr>
          <w:p>
            <w:pPr>
              <w:jc w:val="right"/>
            </w:pPr>
            <w:r>
              <w:rPr>
                <w:rFonts w:ascii="Consolas" w:hAnsi="Consolas"/>
                <w:b/>
                <w:sz w:val="20"/>
              </w:rPr>
              <w:t>51 434</w:t>
            </w:r>
          </w:p>
        </w:tc>
      </w:tr>
    </w:tbl>
    <w:p>
      <w:pPr>
        <w:spacing w:after="120"/>
      </w:pPr>
    </w:p>
    <w:tbl>
      <w:tblPr>
        <w:tblW w:type="auto" w:w="0"/>
        <w:jc w:val="center"/>
        <w:tblLook w:firstColumn="1" w:firstRow="1" w:lastColumn="0" w:lastRow="0" w:noHBand="0" w:noVBand="1" w:val="04A0"/>
      </w:tblPr>
      <w:tblGrid>
        <w:gridCol w:w="9412"/>
      </w:tblGrid>
      <w:tr>
        <w:tc>
          <w:tcPr>
            <w:tcW w:type="dxa" w:w="9412"/>
            <w:shd w:val="clear" w:fill="F4F6FB"/>
            <w:tcBorders>
              <w:top w:val="single" w:sz="4" w:color="E4E1D9"/>
              <w:left w:val="single" w:sz="18" w:color="0891B2"/>
              <w:bottom w:val="single" w:sz="4" w:color="E4E1D9"/>
              <w:right w:val="single" w:sz="4" w:color="E4E1D9"/>
            </w:tcBorders>
          </w:tcPr>
          <w:p>
            <w:pPr>
              <w:spacing w:after="100"/>
            </w:pPr>
            <w:r>
              <w:rPr>
                <w:rFonts w:ascii="Georgia" w:hAnsi="Georgia"/>
                <w:b/>
                <w:sz w:val="22"/>
              </w:rPr>
              <w:t>Deux précisions à lire avec ces chiffres</w:t>
            </w:r>
          </w:p>
          <w:p>
            <w:pPr>
              <w:spacing w:after="60"/>
            </w:pPr>
            <w:r>
              <w:rPr>
                <w:rFonts w:ascii="Calibri" w:hAnsi="Calibri"/>
                <w:color w:val="5C6573"/>
                <w:sz w:val="20"/>
              </w:rPr>
            </w:r>
            <w:r>
              <w:rPr>
                <w:rFonts w:ascii="Calibri" w:hAnsi="Calibri"/>
                <w:b/>
                <w:color w:val="5C6573"/>
                <w:sz w:val="20"/>
              </w:rPr>
              <w:t>Le Frontend retire plus de lignes qu'il n'en ajoute.</w:t>
            </w:r>
            <w:r>
              <w:rPr>
                <w:rFonts w:ascii="Calibri" w:hAnsi="Calibri"/>
                <w:color w:val="5C6573"/>
                <w:sz w:val="20"/>
              </w:rPr>
              <w:t xml:space="preserve"> C'est le signe d'un travail de remplacement, non d'un travail moindre : la migration CinetPay → TouchPoint et le nettoyage des pages publiques ont supprimé davantage de code qu'ils n'en ont écrit. Le volume de lignes mesure la surface modifiée, jamais la valeur livrée. </w:t>
            </w:r>
          </w:p>
          <w:p>
            <w:pPr>
              <w:spacing w:after="60"/>
            </w:pPr>
            <w:r>
              <w:rPr>
                <w:rFonts w:ascii="Calibri" w:hAnsi="Calibri"/>
                <w:color w:val="5C6573"/>
                <w:sz w:val="20"/>
              </w:rPr>
            </w:r>
            <w:r>
              <w:rPr>
                <w:rFonts w:ascii="Calibri" w:hAnsi="Calibri"/>
                <w:b/>
                <w:color w:val="5C6573"/>
                <w:sz w:val="20"/>
              </w:rPr>
              <w:t>Le back-end n'est pas compté ici.</w:t>
            </w:r>
            <w:r>
              <w:rPr>
                <w:rFonts w:ascii="Calibri" w:hAnsi="Calibri"/>
                <w:color w:val="5C6573"/>
                <w:sz w:val="20"/>
              </w:rPr>
              <w:t xml:space="preserve"> La demande portait sur </w:t>
            </w:r>
            <w:r>
              <w:rPr>
                <w:rFonts w:ascii="Consolas" w:hAnsi="Consolas"/>
                <w:color w:val="5C6573"/>
                <w:sz w:val="19"/>
              </w:rPr>
              <w:t>dash</w:t>
            </w:r>
            <w:r>
              <w:rPr>
                <w:rFonts w:ascii="Calibri" w:hAnsi="Calibri"/>
                <w:color w:val="5C6573"/>
                <w:sz w:val="20"/>
              </w:rPr>
              <w:t xml:space="preserve"> et </w:t>
            </w:r>
            <w:r>
              <w:rPr>
                <w:rFonts w:ascii="Consolas" w:hAnsi="Consolas"/>
                <w:color w:val="5C6573"/>
                <w:sz w:val="19"/>
              </w:rPr>
              <w:t>Frontend</w:t>
            </w:r>
            <w:r>
              <w:rPr>
                <w:rFonts w:ascii="Calibri" w:hAnsi="Calibri"/>
                <w:color w:val="5C6573"/>
                <w:sz w:val="20"/>
              </w:rPr>
              <w:t xml:space="preserve">, mais la majorité de ces lots — paiements, imports, e-learning, campagnes, chat de groupe, archive des apprenants — a exigé en parallèle des routes, des migrations de base et des envois d'e-mails côté serveur : 131 livraisons supplémentaires sur la même période, hors de ce relevé. </w:t>
            </w:r>
          </w:p>
        </w:tc>
      </w:tr>
    </w:tbl>
    <w:p>
      <w:pPr>
        <w:spacing w:after="120"/>
      </w:pPr>
    </w:p>
    <w:p>
      <w:pPr>
        <w:spacing w:after="20"/>
      </w:pPr>
      <w:r>
        <w:rPr>
          <w:color w:val="8A93A1"/>
          <w:sz w:val="17"/>
        </w:rPr>
        <w:t>Relevé mis à jour le 26 septembre 2026 · période du 05/08/2026 au 26/09/2026</w:t>
      </w:r>
    </w:p>
    <w:p>
      <w:pPr>
        <w:spacing w:after="20"/>
      </w:pPr>
      <w:r>
        <w:rPr>
          <w:color w:val="8A93A1"/>
          <w:sz w:val="17"/>
        </w:rPr>
        <w:t>Source : historique Git du dépôt BET</w:t>
      </w:r>
    </w:p>
    <w:sectPr w:rsidR="00FC693F" w:rsidRPr="0006063C" w:rsidSect="00034616">
      <w:footerReference w:type="default" r:id="rId9"/>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A93A1"/>
        <w:sz w:val="16"/>
      </w:rPr>
      <w:t xml:space="preserve">Relevé de travaux BET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83" w:lineRule="auto"/>
    </w:pPr>
    <w:rPr>
      <w:rFonts w:ascii="Calibri" w:hAnsi="Calibri" w:eastAsia="Calibri"/>
      <w:b w:val="0"/>
      <w:i w:val="0"/>
      <w:color w:val="12161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80"/>
      <w:outlineLvl w:val="0"/>
    </w:pPr>
    <w:rPr>
      <w:rFonts w:asciiTheme="majorHAnsi" w:eastAsiaTheme="majorEastAsia" w:hAnsiTheme="majorHAnsi" w:cstheme="majorBidi" w:ascii="Georgia" w:hAnsi="Georgia" w:eastAsia="Georgia"/>
      <w:b/>
      <w:bCs/>
      <w:i w:val="0"/>
      <w:color w:val="12161D"/>
      <w:sz w:val="34"/>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Georgia" w:hAnsi="Georgia" w:eastAsia="Georgia"/>
      <w:b/>
      <w:bCs/>
      <w:i w:val="0"/>
      <w:color w:val="1B3080"/>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Georgia" w:hAnsi="Georgia" w:eastAsia="Georgia"/>
      <w:b/>
      <w:bCs/>
      <w:i w:val="0"/>
      <w:color w:val="12161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Georgia" w:hAnsi="Georgia" w:eastAsia="Georgia"/>
      <w:b/>
      <w:i w:val="0"/>
      <w:color w:val="12161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Relevé de travaux BET</dc:title>
  <dc:subject>Annexe de facturation — dash &amp; Frontend, 05/08/2026 au 26/09/2026</dc:subject>
  <dc:creator>Binnie's English Training</dc:creator>
  <cp:keywords/>
  <dc:description>generated by python-docx</dc:description>
  <cp:lastModifiedBy/>
  <cp:revision>1</cp:revision>
  <dcterms:created xsi:type="dcterms:W3CDTF">2013-12-23T23:15:00Z</dcterms:created>
  <dcterms:modified xsi:type="dcterms:W3CDTF">2013-12-23T23:15:00Z</dcterms:modified>
  <cp:category/>
</cp:coreProperties>
</file>