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610381">
      <w:pPr>
        <w:spacing w:after="40"/>
      </w:pPr>
      <w:r>
        <w:rPr>
          <w:rFonts w:ascii="Consolas" w:hAnsi="Consolas"/>
          <w:b/>
          <w:i w:val="0"/>
          <w:color w:val="0891B2"/>
          <w:sz w:val="16"/>
        </w:rPr>
        <w:t>BINNIE'S ENGLISH TRAINING · SITE PUBLIC</w:t>
      </w:r>
    </w:p>
    <w:p w14:paraId="3F4D3FF9">
      <w:pPr>
        <w:pStyle w:val="36"/>
        <w:spacing w:after="80"/>
      </w:pPr>
      <w:r>
        <w:t>Inventaire du site public</w:t>
      </w:r>
    </w:p>
    <w:p w14:paraId="2A2F024C">
      <w:pPr>
        <w:spacing w:after="120"/>
      </w:pPr>
      <w:r>
        <w:rPr>
          <w:rFonts w:ascii="Calibri" w:hAnsi="Calibri"/>
          <w:b w:val="0"/>
          <w:i w:val="0"/>
          <w:color w:val="5C6573"/>
          <w:sz w:val="22"/>
        </w:rPr>
        <w:t>Pages, parcours et fonctionnalités du site binniesenglish.net, relevés dans le code source de l'application Frontend.</w:t>
      </w:r>
    </w:p>
    <w:p w14:paraId="58A1044B">
      <w:pPr>
        <w:pBdr>
          <w:bottom w:val="single" w:color="12161D" w:sz="12" w:space="4"/>
        </w:pBdr>
        <w:spacing w:after="320"/>
      </w:pPr>
      <w:r>
        <w:rPr>
          <w:rFonts w:ascii="Consolas" w:hAnsi="Consolas"/>
          <w:b/>
          <w:i w:val="0"/>
          <w:color w:val="12161D"/>
          <w:sz w:val="19"/>
        </w:rPr>
        <w:t>Relevé du 26 septembre 2026  ·  application React  ·  64 fichiers  ·  29 785 lignes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928"/>
        <w:gridCol w:w="1928"/>
        <w:gridCol w:w="1928"/>
        <w:gridCol w:w="1928"/>
      </w:tblGrid>
      <w:tr w14:paraId="670F3278">
        <w:trPr>
          <w:jc w:val="center"/>
        </w:trPr>
        <w:tc>
          <w:tcPr>
            <w:tcW w:w="1928" w:type="dxa"/>
          </w:tcPr>
          <w:p w14:paraId="343C1FE9">
            <w:pPr>
              <w:jc w:val="center"/>
            </w:pPr>
            <w:r>
              <w:rPr>
                <w:rFonts w:ascii="Consolas" w:hAnsi="Consolas"/>
                <w:b/>
                <w:color w:val="1B3080"/>
                <w:sz w:val="38"/>
              </w:rPr>
              <w:t>24</w:t>
            </w:r>
          </w:p>
        </w:tc>
        <w:tc>
          <w:tcPr>
            <w:tcW w:w="1928" w:type="dxa"/>
          </w:tcPr>
          <w:p w14:paraId="5575C707">
            <w:pPr>
              <w:jc w:val="center"/>
            </w:pPr>
            <w:r>
              <w:rPr>
                <w:rFonts w:ascii="Consolas" w:hAnsi="Consolas"/>
                <w:b/>
                <w:color w:val="1B3080"/>
                <w:sz w:val="38"/>
              </w:rPr>
              <w:t>6</w:t>
            </w:r>
          </w:p>
        </w:tc>
        <w:tc>
          <w:tcPr>
            <w:tcW w:w="1928" w:type="dxa"/>
          </w:tcPr>
          <w:p w14:paraId="55B6BBDB">
            <w:pPr>
              <w:jc w:val="center"/>
            </w:pPr>
            <w:r>
              <w:rPr>
                <w:rFonts w:ascii="Consolas" w:hAnsi="Consolas"/>
                <w:b/>
                <w:color w:val="1B3080"/>
                <w:sz w:val="38"/>
              </w:rPr>
              <w:t>70</w:t>
            </w:r>
          </w:p>
        </w:tc>
        <w:tc>
          <w:tcPr>
            <w:tcW w:w="1928" w:type="dxa"/>
          </w:tcPr>
          <w:p w14:paraId="030BAC2E">
            <w:pPr>
              <w:jc w:val="center"/>
            </w:pPr>
            <w:r>
              <w:rPr>
                <w:rFonts w:ascii="Consolas" w:hAnsi="Consolas"/>
                <w:b/>
                <w:color w:val="1B3080"/>
                <w:sz w:val="38"/>
              </w:rPr>
              <w:t>2</w:t>
            </w:r>
          </w:p>
        </w:tc>
        <w:tc>
          <w:tcPr>
            <w:tcW w:w="1928" w:type="dxa"/>
          </w:tcPr>
          <w:p w14:paraId="56024BBF">
            <w:pPr>
              <w:jc w:val="center"/>
            </w:pPr>
            <w:r>
              <w:rPr>
                <w:rFonts w:ascii="Consolas" w:hAnsi="Consolas"/>
                <w:b/>
                <w:color w:val="1B3080"/>
                <w:sz w:val="38"/>
              </w:rPr>
              <w:t>16</w:t>
            </w:r>
          </w:p>
        </w:tc>
      </w:tr>
      <w:tr w14:paraId="0B0C97B6">
        <w:trPr>
          <w:jc w:val="center"/>
        </w:trPr>
        <w:tc>
          <w:tcPr>
            <w:tcW w:w="1928" w:type="dxa"/>
          </w:tcPr>
          <w:p w14:paraId="784B5AAF">
            <w:pPr>
              <w:jc w:val="center"/>
            </w:pPr>
            <w:r>
              <w:rPr>
                <w:color w:val="5C6573"/>
                <w:sz w:val="17"/>
              </w:rPr>
              <w:t>pages publiques</w:t>
            </w:r>
          </w:p>
        </w:tc>
        <w:tc>
          <w:tcPr>
            <w:tcW w:w="1928" w:type="dxa"/>
          </w:tcPr>
          <w:p w14:paraId="47BEFE2C">
            <w:pPr>
              <w:jc w:val="center"/>
            </w:pPr>
            <w:r>
              <w:rPr>
                <w:color w:val="5C6573"/>
                <w:sz w:val="17"/>
              </w:rPr>
              <w:t>parcours guidés</w:t>
            </w:r>
          </w:p>
        </w:tc>
        <w:tc>
          <w:tcPr>
            <w:tcW w:w="1928" w:type="dxa"/>
          </w:tcPr>
          <w:p w14:paraId="6BEDC56A">
            <w:pPr>
              <w:jc w:val="center"/>
            </w:pPr>
            <w:r>
              <w:rPr>
                <w:color w:val="5C6573"/>
                <w:sz w:val="17"/>
              </w:rPr>
              <w:t>points d'API appelés</w:t>
            </w:r>
          </w:p>
        </w:tc>
        <w:tc>
          <w:tcPr>
            <w:tcW w:w="1928" w:type="dxa"/>
          </w:tcPr>
          <w:p w14:paraId="65CEF4BF">
            <w:pPr>
              <w:jc w:val="center"/>
            </w:pPr>
            <w:r>
              <w:rPr>
                <w:color w:val="5C6573"/>
                <w:sz w:val="17"/>
              </w:rPr>
              <w:t>langues</w:t>
            </w:r>
          </w:p>
        </w:tc>
        <w:tc>
          <w:tcPr>
            <w:tcW w:w="1928" w:type="dxa"/>
          </w:tcPr>
          <w:p w14:paraId="4D1E1319">
            <w:pPr>
              <w:jc w:val="center"/>
            </w:pPr>
            <w:r>
              <w:rPr>
                <w:color w:val="5C6573"/>
                <w:sz w:val="17"/>
              </w:rPr>
              <w:t>formulaires</w:t>
            </w:r>
          </w:p>
        </w:tc>
      </w:tr>
    </w:tbl>
    <w:p w14:paraId="43CE6A3F">
      <w:pPr>
        <w:pStyle w:val="2"/>
      </w:pPr>
      <w:r>
        <w:t>1. Les pages</w:t>
      </w:r>
    </w:p>
    <w:p w14:paraId="001554F1">
      <w:pPr>
        <w:spacing w:after="160"/>
      </w:pPr>
      <w:r>
        <w:rPr>
          <w:rFonts w:ascii="Calibri" w:hAnsi="Calibri"/>
          <w:b w:val="0"/>
          <w:i w:val="0"/>
          <w:color w:val="5C6573"/>
          <w:sz w:val="21"/>
        </w:rPr>
        <w:t>Vingt-quatre adresses, dont neuf prennent un paramètre dans l'URL — une fiche de cours, un article, un centre. Le site n'a pas de page d'erreur : une adresse inconnue n'affiche rien.</w:t>
      </w:r>
    </w:p>
    <w:p w14:paraId="65AD8AD6">
      <w:pPr>
        <w:pStyle w:val="3"/>
      </w:pPr>
      <w:r>
        <w:t>Pages de contenu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041"/>
        <w:gridCol w:w="4932"/>
      </w:tblGrid>
      <w:tr w14:paraId="48DBEDDE">
        <w:trPr>
          <w:jc w:val="center"/>
        </w:trPr>
        <w:tc>
          <w:tcPr>
            <w:tcW w:w="2381" w:type="dxa"/>
            <w:shd w:val="clear" w:color="auto" w:fill="F2F4FA"/>
          </w:tcPr>
          <w:p w14:paraId="5A43FEDB">
            <w:r>
              <w:rPr>
                <w:b/>
                <w:color w:val="1B3080"/>
                <w:sz w:val="17"/>
              </w:rPr>
              <w:t>Adresse</w:t>
            </w:r>
          </w:p>
        </w:tc>
        <w:tc>
          <w:tcPr>
            <w:tcW w:w="2041" w:type="dxa"/>
            <w:shd w:val="clear" w:color="auto" w:fill="F2F4FA"/>
          </w:tcPr>
          <w:p w14:paraId="1212360B">
            <w:r>
              <w:rPr>
                <w:b/>
                <w:color w:val="1B3080"/>
                <w:sz w:val="17"/>
              </w:rPr>
              <w:t>Page</w:t>
            </w:r>
          </w:p>
        </w:tc>
        <w:tc>
          <w:tcPr>
            <w:tcW w:w="4932" w:type="dxa"/>
            <w:shd w:val="clear" w:color="auto" w:fill="F2F4FA"/>
          </w:tcPr>
          <w:p w14:paraId="004BC554">
            <w:r>
              <w:rPr>
                <w:b/>
                <w:color w:val="1B3080"/>
                <w:sz w:val="17"/>
              </w:rPr>
              <w:t>Ce qu'on y trouve</w:t>
            </w:r>
          </w:p>
        </w:tc>
      </w:tr>
      <w:tr w14:paraId="09822705">
        <w:trPr>
          <w:jc w:val="center"/>
        </w:trPr>
        <w:tc>
          <w:tcPr>
            <w:tcW w:w="2381" w:type="dxa"/>
          </w:tcPr>
          <w:p w14:paraId="7014AAFC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</w:t>
            </w:r>
          </w:p>
        </w:tc>
        <w:tc>
          <w:tcPr>
            <w:tcW w:w="2041" w:type="dxa"/>
          </w:tcPr>
          <w:p w14:paraId="380BF67E">
            <w:pPr>
              <w:spacing w:after="20"/>
            </w:pPr>
            <w:r>
              <w:rPr>
                <w:rFonts w:ascii="Calibri" w:hAnsi="Calibri"/>
                <w:sz w:val="18"/>
              </w:rPr>
              <w:t>Accueil</w:t>
            </w:r>
          </w:p>
        </w:tc>
        <w:tc>
          <w:tcPr>
            <w:tcW w:w="4932" w:type="dxa"/>
          </w:tcPr>
          <w:p w14:paraId="39E4B749">
            <w:pPr>
              <w:spacing w:after="20"/>
            </w:pPr>
            <w:r>
              <w:rPr>
                <w:rFonts w:ascii="Calibri" w:hAnsi="Calibri"/>
                <w:sz w:val="18"/>
              </w:rPr>
              <w:t>Carrousel administrable, programmes, coachs, équipe administrative, témoignages, blog, partenaires, bandeau catalogue PDF</w:t>
            </w:r>
          </w:p>
        </w:tc>
      </w:tr>
      <w:tr w14:paraId="324A2134">
        <w:trPr>
          <w:jc w:val="center"/>
        </w:trPr>
        <w:tc>
          <w:tcPr>
            <w:tcW w:w="2381" w:type="dxa"/>
          </w:tcPr>
          <w:p w14:paraId="4760DA34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/about</w:t>
            </w:r>
          </w:p>
        </w:tc>
        <w:tc>
          <w:tcPr>
            <w:tcW w:w="2041" w:type="dxa"/>
          </w:tcPr>
          <w:p w14:paraId="461C8086">
            <w:pPr>
              <w:spacing w:after="20"/>
            </w:pPr>
            <w:r>
              <w:rPr>
                <w:rFonts w:ascii="Calibri" w:hAnsi="Calibri"/>
                <w:sz w:val="18"/>
              </w:rPr>
              <w:t>À propos</w:t>
            </w:r>
          </w:p>
        </w:tc>
        <w:tc>
          <w:tcPr>
            <w:tcW w:w="4932" w:type="dxa"/>
          </w:tcPr>
          <w:p w14:paraId="2713112B">
            <w:pPr>
              <w:spacing w:after="20"/>
            </w:pPr>
            <w:r>
              <w:rPr>
                <w:rFonts w:ascii="Calibri" w:hAnsi="Calibri"/>
                <w:sz w:val="18"/>
              </w:rPr>
              <w:t>Présentation de BET, histoire, chiffres, équipe</w:t>
            </w:r>
          </w:p>
        </w:tc>
      </w:tr>
      <w:tr w14:paraId="7BC4A757">
        <w:trPr>
          <w:jc w:val="center"/>
        </w:trPr>
        <w:tc>
          <w:tcPr>
            <w:tcW w:w="2381" w:type="dxa"/>
          </w:tcPr>
          <w:p w14:paraId="4BC8EBE3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/faq</w:t>
            </w:r>
          </w:p>
        </w:tc>
        <w:tc>
          <w:tcPr>
            <w:tcW w:w="2041" w:type="dxa"/>
          </w:tcPr>
          <w:p w14:paraId="5F9390E7">
            <w:pPr>
              <w:spacing w:after="20"/>
            </w:pPr>
            <w:r>
              <w:rPr>
                <w:rFonts w:ascii="Calibri" w:hAnsi="Calibri"/>
                <w:sz w:val="18"/>
              </w:rPr>
              <w:t>FAQ</w:t>
            </w:r>
          </w:p>
        </w:tc>
        <w:tc>
          <w:tcPr>
            <w:tcW w:w="4932" w:type="dxa"/>
          </w:tcPr>
          <w:p w14:paraId="775A558C">
            <w:pPr>
              <w:spacing w:after="20"/>
            </w:pPr>
            <w:r>
              <w:rPr>
                <w:rFonts w:ascii="Calibri" w:hAnsi="Calibri"/>
                <w:sz w:val="18"/>
              </w:rPr>
              <w:t>Questions administrables depuis le back-office, coordonnées de contact</w:t>
            </w:r>
          </w:p>
        </w:tc>
      </w:tr>
      <w:tr w14:paraId="27CB7355">
        <w:trPr>
          <w:jc w:val="center"/>
        </w:trPr>
        <w:tc>
          <w:tcPr>
            <w:tcW w:w="2381" w:type="dxa"/>
          </w:tcPr>
          <w:p w14:paraId="06D3201A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/contact</w:t>
            </w:r>
          </w:p>
        </w:tc>
        <w:tc>
          <w:tcPr>
            <w:tcW w:w="2041" w:type="dxa"/>
          </w:tcPr>
          <w:p w14:paraId="261C997E">
            <w:pPr>
              <w:spacing w:after="20"/>
            </w:pPr>
            <w:r>
              <w:rPr>
                <w:rFonts w:ascii="Calibri" w:hAnsi="Calibri"/>
                <w:sz w:val="18"/>
              </w:rPr>
              <w:t>Contact</w:t>
            </w:r>
          </w:p>
        </w:tc>
        <w:tc>
          <w:tcPr>
            <w:tcW w:w="4932" w:type="dxa"/>
          </w:tcPr>
          <w:p w14:paraId="5E01FAAD">
            <w:pPr>
              <w:spacing w:after="20"/>
            </w:pPr>
            <w:r>
              <w:rPr>
                <w:rFonts w:ascii="Calibri" w:hAnsi="Calibri"/>
                <w:sz w:val="18"/>
              </w:rPr>
              <w:t>Formulaire de contact, coordonnées et numéros WhatsApp lus depuis la configuration serveur</w:t>
            </w:r>
          </w:p>
        </w:tc>
      </w:tr>
      <w:tr w14:paraId="0FF9BDB8">
        <w:trPr>
          <w:jc w:val="center"/>
        </w:trPr>
        <w:tc>
          <w:tcPr>
            <w:tcW w:w="2381" w:type="dxa"/>
          </w:tcPr>
          <w:p w14:paraId="0DF3FD2D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/temoignages</w:t>
            </w:r>
          </w:p>
        </w:tc>
        <w:tc>
          <w:tcPr>
            <w:tcW w:w="2041" w:type="dxa"/>
          </w:tcPr>
          <w:p w14:paraId="1F2415B7">
            <w:pPr>
              <w:spacing w:after="20"/>
            </w:pPr>
            <w:r>
              <w:rPr>
                <w:rFonts w:ascii="Calibri" w:hAnsi="Calibri"/>
                <w:sz w:val="18"/>
              </w:rPr>
              <w:t>Témoignages</w:t>
            </w:r>
          </w:p>
        </w:tc>
        <w:tc>
          <w:tcPr>
            <w:tcW w:w="4932" w:type="dxa"/>
          </w:tcPr>
          <w:p w14:paraId="4574BCED">
            <w:pPr>
              <w:spacing w:after="20"/>
            </w:pPr>
            <w:r>
              <w:rPr>
                <w:rFonts w:ascii="Calibri" w:hAnsi="Calibri"/>
                <w:sz w:val="18"/>
              </w:rPr>
              <w:t>Avis publiés, filtres et recherche</w:t>
            </w:r>
          </w:p>
        </w:tc>
      </w:tr>
      <w:tr w14:paraId="1A5DD588">
        <w:trPr>
          <w:jc w:val="center"/>
        </w:trPr>
        <w:tc>
          <w:tcPr>
            <w:tcW w:w="2381" w:type="dxa"/>
          </w:tcPr>
          <w:p w14:paraId="757A7916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/blog</w:t>
            </w:r>
          </w:p>
        </w:tc>
        <w:tc>
          <w:tcPr>
            <w:tcW w:w="2041" w:type="dxa"/>
          </w:tcPr>
          <w:p w14:paraId="66C0407C">
            <w:pPr>
              <w:spacing w:after="20"/>
            </w:pPr>
            <w:r>
              <w:rPr>
                <w:rFonts w:ascii="Calibri" w:hAnsi="Calibri"/>
                <w:sz w:val="18"/>
              </w:rPr>
              <w:t>Blog — liste</w:t>
            </w:r>
          </w:p>
        </w:tc>
        <w:tc>
          <w:tcPr>
            <w:tcW w:w="4932" w:type="dxa"/>
          </w:tcPr>
          <w:p w14:paraId="46DB4325">
            <w:pPr>
              <w:spacing w:after="20"/>
            </w:pPr>
            <w:r>
              <w:rPr>
                <w:rFonts w:ascii="Calibri" w:hAnsi="Calibri"/>
                <w:sz w:val="18"/>
              </w:rPr>
              <w:t>Articles publiés depuis le back-office</w:t>
            </w:r>
          </w:p>
        </w:tc>
      </w:tr>
      <w:tr w14:paraId="478DEB67">
        <w:trPr>
          <w:jc w:val="center"/>
        </w:trPr>
        <w:tc>
          <w:tcPr>
            <w:tcW w:w="2381" w:type="dxa"/>
          </w:tcPr>
          <w:p w14:paraId="52923C91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/blog/:id</w:t>
            </w:r>
          </w:p>
        </w:tc>
        <w:tc>
          <w:tcPr>
            <w:tcW w:w="2041" w:type="dxa"/>
          </w:tcPr>
          <w:p w14:paraId="25612ED5">
            <w:pPr>
              <w:spacing w:after="20"/>
            </w:pPr>
            <w:r>
              <w:rPr>
                <w:rFonts w:ascii="Calibri" w:hAnsi="Calibri"/>
                <w:sz w:val="18"/>
              </w:rPr>
              <w:t>Blog — article</w:t>
            </w:r>
          </w:p>
        </w:tc>
        <w:tc>
          <w:tcPr>
            <w:tcW w:w="4932" w:type="dxa"/>
          </w:tcPr>
          <w:p w14:paraId="25B36EA6">
            <w:pPr>
              <w:spacing w:after="20"/>
            </w:pPr>
            <w:r>
              <w:rPr>
                <w:rFonts w:ascii="Calibri" w:hAnsi="Calibri"/>
                <w:sz w:val="18"/>
              </w:rPr>
              <w:t>Article complet</w:t>
            </w:r>
          </w:p>
        </w:tc>
      </w:tr>
      <w:tr w14:paraId="5D1B7451">
        <w:trPr>
          <w:jc w:val="center"/>
        </w:trPr>
        <w:tc>
          <w:tcPr>
            <w:tcW w:w="2381" w:type="dxa"/>
          </w:tcPr>
          <w:p w14:paraId="1CD17C6E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/bet-for-business</w:t>
            </w:r>
          </w:p>
        </w:tc>
        <w:tc>
          <w:tcPr>
            <w:tcW w:w="2041" w:type="dxa"/>
          </w:tcPr>
          <w:p w14:paraId="4CD0BA8E">
            <w:pPr>
              <w:spacing w:after="20"/>
            </w:pPr>
            <w:r>
              <w:rPr>
                <w:rFonts w:ascii="Calibri" w:hAnsi="Calibri"/>
                <w:sz w:val="18"/>
              </w:rPr>
              <w:t>BET for Business</w:t>
            </w:r>
          </w:p>
        </w:tc>
        <w:tc>
          <w:tcPr>
            <w:tcW w:w="4932" w:type="dxa"/>
          </w:tcPr>
          <w:p w14:paraId="1C9F3AE5">
            <w:pPr>
              <w:spacing w:after="20"/>
            </w:pPr>
            <w:r>
              <w:rPr>
                <w:rFonts w:ascii="Calibri" w:hAnsi="Calibri"/>
                <w:sz w:val="18"/>
              </w:rPr>
              <w:t>Offre entreprise, clients publics, logos partenaires</w:t>
            </w:r>
          </w:p>
        </w:tc>
      </w:tr>
      <w:tr w14:paraId="278A3F2E">
        <w:trPr>
          <w:jc w:val="center"/>
        </w:trPr>
        <w:tc>
          <w:tcPr>
            <w:tcW w:w="2381" w:type="dxa"/>
          </w:tcPr>
          <w:p w14:paraId="4D8631E2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/boutique</w:t>
            </w:r>
          </w:p>
        </w:tc>
        <w:tc>
          <w:tcPr>
            <w:tcW w:w="2041" w:type="dxa"/>
          </w:tcPr>
          <w:p w14:paraId="42189830">
            <w:pPr>
              <w:spacing w:after="20"/>
            </w:pPr>
            <w:r>
              <w:rPr>
                <w:rFonts w:ascii="Calibri" w:hAnsi="Calibri"/>
                <w:sz w:val="18"/>
              </w:rPr>
              <w:t>Boutique</w:t>
            </w:r>
          </w:p>
        </w:tc>
        <w:tc>
          <w:tcPr>
            <w:tcW w:w="4932" w:type="dxa"/>
          </w:tcPr>
          <w:p w14:paraId="5E0EF6BF">
            <w:pPr>
              <w:spacing w:after="20"/>
            </w:pPr>
            <w:r>
              <w:rPr>
                <w:rFonts w:ascii="Calibri" w:hAnsi="Calibri"/>
                <w:sz w:val="18"/>
              </w:rPr>
              <w:t>Produits actifs, panier, favoris, commandes</w:t>
            </w:r>
          </w:p>
        </w:tc>
      </w:tr>
    </w:tbl>
    <w:p w14:paraId="1640AA68">
      <w:pPr>
        <w:spacing w:after="120"/>
      </w:pPr>
    </w:p>
    <w:p w14:paraId="1CFE712C">
      <w:pPr>
        <w:pStyle w:val="3"/>
      </w:pPr>
      <w:r>
        <w:t>Fiches du catalogue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041"/>
        <w:gridCol w:w="4932"/>
      </w:tblGrid>
      <w:tr w14:paraId="297CFD85">
        <w:trPr>
          <w:jc w:val="center"/>
        </w:trPr>
        <w:tc>
          <w:tcPr>
            <w:tcW w:w="2381" w:type="dxa"/>
            <w:shd w:val="clear" w:color="auto" w:fill="F2F4FA"/>
          </w:tcPr>
          <w:p w14:paraId="2C87FB2E">
            <w:r>
              <w:rPr>
                <w:b/>
                <w:color w:val="1B3080"/>
                <w:sz w:val="17"/>
              </w:rPr>
              <w:t>Adresse</w:t>
            </w:r>
          </w:p>
        </w:tc>
        <w:tc>
          <w:tcPr>
            <w:tcW w:w="2041" w:type="dxa"/>
            <w:shd w:val="clear" w:color="auto" w:fill="F2F4FA"/>
          </w:tcPr>
          <w:p w14:paraId="1C321AC3">
            <w:r>
              <w:rPr>
                <w:b/>
                <w:color w:val="1B3080"/>
                <w:sz w:val="17"/>
              </w:rPr>
              <w:t>Page</w:t>
            </w:r>
          </w:p>
        </w:tc>
        <w:tc>
          <w:tcPr>
            <w:tcW w:w="4932" w:type="dxa"/>
            <w:shd w:val="clear" w:color="auto" w:fill="F2F4FA"/>
          </w:tcPr>
          <w:p w14:paraId="0E9E853D">
            <w:r>
              <w:rPr>
                <w:b/>
                <w:color w:val="1B3080"/>
                <w:sz w:val="17"/>
              </w:rPr>
              <w:t>Ce qu'on y trouve</w:t>
            </w:r>
          </w:p>
        </w:tc>
      </w:tr>
      <w:tr w14:paraId="3C6580B4">
        <w:trPr>
          <w:jc w:val="center"/>
        </w:trPr>
        <w:tc>
          <w:tcPr>
            <w:tcW w:w="2381" w:type="dxa"/>
          </w:tcPr>
          <w:p w14:paraId="020D28E8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/cours/:type</w:t>
            </w:r>
          </w:p>
        </w:tc>
        <w:tc>
          <w:tcPr>
            <w:tcW w:w="2041" w:type="dxa"/>
          </w:tcPr>
          <w:p w14:paraId="7353752B">
            <w:pPr>
              <w:spacing w:after="20"/>
            </w:pPr>
            <w:r>
              <w:rPr>
                <w:rFonts w:ascii="Calibri" w:hAnsi="Calibri"/>
                <w:sz w:val="18"/>
              </w:rPr>
              <w:t>Fiche format de cours</w:t>
            </w:r>
          </w:p>
        </w:tc>
        <w:tc>
          <w:tcPr>
            <w:tcW w:w="4932" w:type="dxa"/>
          </w:tcPr>
          <w:p w14:paraId="4AA8681B">
            <w:pPr>
              <w:spacing w:after="20"/>
            </w:pPr>
            <w:r>
              <w:rPr>
                <w:rFonts w:ascii="Calibri" w:hAnsi="Calibri"/>
                <w:sz w:val="18"/>
              </w:rPr>
              <w:t>En ligne, en cabinet ou à domicile : contenu, formules, avis, codes promo, accès à l'inscription</w:t>
            </w:r>
          </w:p>
        </w:tc>
      </w:tr>
      <w:tr w14:paraId="104E58DB">
        <w:trPr>
          <w:jc w:val="center"/>
        </w:trPr>
        <w:tc>
          <w:tcPr>
            <w:tcW w:w="2381" w:type="dxa"/>
          </w:tcPr>
          <w:p w14:paraId="346B1923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/certification/:certId</w:t>
            </w:r>
          </w:p>
        </w:tc>
        <w:tc>
          <w:tcPr>
            <w:tcW w:w="2041" w:type="dxa"/>
          </w:tcPr>
          <w:p w14:paraId="2B63DCA4">
            <w:pPr>
              <w:spacing w:after="20"/>
            </w:pPr>
            <w:r>
              <w:rPr>
                <w:rFonts w:ascii="Calibri" w:hAnsi="Calibri"/>
                <w:sz w:val="18"/>
              </w:rPr>
              <w:t>Fiche certification</w:t>
            </w:r>
          </w:p>
        </w:tc>
        <w:tc>
          <w:tcPr>
            <w:tcW w:w="4932" w:type="dxa"/>
          </w:tcPr>
          <w:p w14:paraId="795B039A">
            <w:pPr>
              <w:spacing w:after="20"/>
            </w:pPr>
            <w:r>
              <w:rPr>
                <w:rFonts w:ascii="Calibri" w:hAnsi="Calibri"/>
                <w:sz w:val="18"/>
              </w:rPr>
              <w:t>TOEIC, TOEFL, IELTS : préparation, tarifs, avis, codes promo</w:t>
            </w:r>
          </w:p>
        </w:tc>
      </w:tr>
      <w:tr w14:paraId="6DD6E4BF">
        <w:trPr>
          <w:jc w:val="center"/>
        </w:trPr>
        <w:tc>
          <w:tcPr>
            <w:tcW w:w="2381" w:type="dxa"/>
          </w:tcPr>
          <w:p w14:paraId="77923E6C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/centre/:centerId</w:t>
            </w:r>
          </w:p>
        </w:tc>
        <w:tc>
          <w:tcPr>
            <w:tcW w:w="2041" w:type="dxa"/>
          </w:tcPr>
          <w:p w14:paraId="52687A6D">
            <w:pPr>
              <w:spacing w:after="20"/>
            </w:pPr>
            <w:r>
              <w:rPr>
                <w:rFonts w:ascii="Calibri" w:hAnsi="Calibri"/>
                <w:sz w:val="18"/>
              </w:rPr>
              <w:t>Fiche centre</w:t>
            </w:r>
          </w:p>
        </w:tc>
        <w:tc>
          <w:tcPr>
            <w:tcW w:w="4932" w:type="dxa"/>
          </w:tcPr>
          <w:p w14:paraId="1B50F5A0">
            <w:pPr>
              <w:spacing w:after="20"/>
            </w:pPr>
            <w:r>
              <w:rPr>
                <w:rFonts w:ascii="Calibri" w:hAnsi="Calibri"/>
                <w:sz w:val="18"/>
              </w:rPr>
              <w:t>Bouaké, Angré, Abatta, Yopougon, Koumassi, II Plateaux</w:t>
            </w:r>
          </w:p>
        </w:tc>
      </w:tr>
      <w:tr w14:paraId="36D7BE50">
        <w:trPr>
          <w:jc w:val="center"/>
        </w:trPr>
        <w:tc>
          <w:tcPr>
            <w:tcW w:w="2381" w:type="dxa"/>
          </w:tcPr>
          <w:p w14:paraId="68CE735E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/service/:serviceId</w:t>
            </w:r>
          </w:p>
        </w:tc>
        <w:tc>
          <w:tcPr>
            <w:tcW w:w="2041" w:type="dxa"/>
          </w:tcPr>
          <w:p w14:paraId="63BF2FEC">
            <w:pPr>
              <w:spacing w:after="20"/>
            </w:pPr>
            <w:r>
              <w:rPr>
                <w:rFonts w:ascii="Calibri" w:hAnsi="Calibri"/>
                <w:sz w:val="18"/>
              </w:rPr>
              <w:t>Fiche service</w:t>
            </w:r>
          </w:p>
        </w:tc>
        <w:tc>
          <w:tcPr>
            <w:tcW w:w="4932" w:type="dxa"/>
          </w:tcPr>
          <w:p w14:paraId="24A7DB6F">
            <w:pPr>
              <w:spacing w:after="20"/>
            </w:pPr>
            <w:r>
              <w:rPr>
                <w:rFonts w:ascii="Calibri" w:hAnsi="Calibri"/>
                <w:sz w:val="18"/>
              </w:rPr>
              <w:t>Séjour linguistique, préparation d'interviews, plateforme des natifs, interprétariat</w:t>
            </w:r>
          </w:p>
        </w:tc>
      </w:tr>
    </w:tbl>
    <w:p w14:paraId="260E7CD9">
      <w:pPr>
        <w:spacing w:after="120"/>
      </w:pPr>
    </w:p>
    <w:p w14:paraId="25374E07">
      <w:pPr>
        <w:spacing w:after="120"/>
      </w:pPr>
      <w:bookmarkStart w:id="0" w:name="_GoBack"/>
      <w:bookmarkEnd w:id="0"/>
    </w:p>
    <w:p w14:paraId="744B2C24">
      <w:pPr>
        <w:pStyle w:val="3"/>
      </w:pPr>
      <w:r>
        <w:t>Parcours, compte et paiement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041"/>
        <w:gridCol w:w="4932"/>
      </w:tblGrid>
      <w:tr w14:paraId="215CFD87">
        <w:trPr>
          <w:jc w:val="center"/>
        </w:trPr>
        <w:tc>
          <w:tcPr>
            <w:tcW w:w="2381" w:type="dxa"/>
            <w:shd w:val="clear" w:color="auto" w:fill="F2F4FA"/>
          </w:tcPr>
          <w:p w14:paraId="667E4AE4">
            <w:r>
              <w:rPr>
                <w:b/>
                <w:color w:val="1B3080"/>
                <w:sz w:val="17"/>
              </w:rPr>
              <w:t>Adresse</w:t>
            </w:r>
          </w:p>
        </w:tc>
        <w:tc>
          <w:tcPr>
            <w:tcW w:w="2041" w:type="dxa"/>
            <w:shd w:val="clear" w:color="auto" w:fill="F2F4FA"/>
          </w:tcPr>
          <w:p w14:paraId="117F6511">
            <w:r>
              <w:rPr>
                <w:b/>
                <w:color w:val="1B3080"/>
                <w:sz w:val="17"/>
              </w:rPr>
              <w:t>Page</w:t>
            </w:r>
          </w:p>
        </w:tc>
        <w:tc>
          <w:tcPr>
            <w:tcW w:w="4932" w:type="dxa"/>
            <w:shd w:val="clear" w:color="auto" w:fill="F2F4FA"/>
          </w:tcPr>
          <w:p w14:paraId="58A18731">
            <w:r>
              <w:rPr>
                <w:b/>
                <w:color w:val="1B3080"/>
                <w:sz w:val="17"/>
              </w:rPr>
              <w:t>Ce qu'on y trouve</w:t>
            </w:r>
          </w:p>
        </w:tc>
      </w:tr>
      <w:tr w14:paraId="0659E30C">
        <w:trPr>
          <w:jc w:val="center"/>
        </w:trPr>
        <w:tc>
          <w:tcPr>
            <w:tcW w:w="2381" w:type="dxa"/>
          </w:tcPr>
          <w:p w14:paraId="3B25A694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/parcours/particulier</w:t>
            </w:r>
          </w:p>
        </w:tc>
        <w:tc>
          <w:tcPr>
            <w:tcW w:w="2041" w:type="dxa"/>
          </w:tcPr>
          <w:p w14:paraId="7DBB62EF">
            <w:pPr>
              <w:spacing w:after="20"/>
            </w:pPr>
            <w:r>
              <w:rPr>
                <w:rFonts w:ascii="Calibri" w:hAnsi="Calibri"/>
                <w:sz w:val="18"/>
              </w:rPr>
              <w:t>Point d'entrée particulier</w:t>
            </w:r>
          </w:p>
        </w:tc>
        <w:tc>
          <w:tcPr>
            <w:tcW w:w="4932" w:type="dxa"/>
          </w:tcPr>
          <w:p w14:paraId="28BF8EC9">
            <w:pPr>
              <w:spacing w:after="20"/>
            </w:pPr>
            <w:r>
              <w:rPr>
                <w:rFonts w:ascii="Calibri" w:hAnsi="Calibri"/>
                <w:sz w:val="18"/>
              </w:rPr>
              <w:t>Orientation vers le bon parcours, dépôt d'un contact avant inscription complète</w:t>
            </w:r>
          </w:p>
        </w:tc>
      </w:tr>
      <w:tr w14:paraId="13FEC0FC">
        <w:trPr>
          <w:jc w:val="center"/>
        </w:trPr>
        <w:tc>
          <w:tcPr>
            <w:tcW w:w="2381" w:type="dxa"/>
          </w:tcPr>
          <w:p w14:paraId="2FFC9EA2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/parcours/inscription</w:t>
            </w:r>
          </w:p>
        </w:tc>
        <w:tc>
          <w:tcPr>
            <w:tcW w:w="2041" w:type="dxa"/>
          </w:tcPr>
          <w:p w14:paraId="776E7353">
            <w:pPr>
              <w:spacing w:after="20"/>
            </w:pPr>
            <w:r>
              <w:rPr>
                <w:rFonts w:ascii="Calibri" w:hAnsi="Calibri"/>
                <w:sz w:val="18"/>
              </w:rPr>
              <w:t>Tunnel d'inscription</w:t>
            </w:r>
          </w:p>
        </w:tc>
        <w:tc>
          <w:tcPr>
            <w:tcW w:w="4932" w:type="dxa"/>
          </w:tcPr>
          <w:p w14:paraId="0DC5CD02">
            <w:pPr>
              <w:spacing w:after="20"/>
            </w:pPr>
            <w:r>
              <w:rPr>
                <w:rFonts w:ascii="Calibri" w:hAnsi="Calibri"/>
                <w:sz w:val="18"/>
              </w:rPr>
              <w:t>Cinq étapes, du type de coaching aux coordonnées</w:t>
            </w:r>
          </w:p>
        </w:tc>
      </w:tr>
      <w:tr w14:paraId="74BC82CC">
        <w:trPr>
          <w:jc w:val="center"/>
        </w:trPr>
        <w:tc>
          <w:tcPr>
            <w:tcW w:w="2381" w:type="dxa"/>
          </w:tcPr>
          <w:p w14:paraId="0A54D4E0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/test-niveau</w:t>
            </w:r>
          </w:p>
        </w:tc>
        <w:tc>
          <w:tcPr>
            <w:tcW w:w="2041" w:type="dxa"/>
          </w:tcPr>
          <w:p w14:paraId="38E2FD2C">
            <w:pPr>
              <w:spacing w:after="20"/>
            </w:pPr>
            <w:r>
              <w:rPr>
                <w:rFonts w:ascii="Calibri" w:hAnsi="Calibri"/>
                <w:sz w:val="18"/>
              </w:rPr>
              <w:t>Test de niveau gratuit</w:t>
            </w:r>
          </w:p>
        </w:tc>
        <w:tc>
          <w:tcPr>
            <w:tcW w:w="4932" w:type="dxa"/>
          </w:tcPr>
          <w:p w14:paraId="24E6ADE2">
            <w:pPr>
              <w:spacing w:after="20"/>
            </w:pPr>
            <w:r>
              <w:rPr>
                <w:rFonts w:ascii="Calibri" w:hAnsi="Calibri"/>
                <w:sz w:val="18"/>
              </w:rPr>
              <w:t>Le plus gros écran du site : questionnaire chronométré, épreuve orale enregistrée, résultat CECRL</w:t>
            </w:r>
          </w:p>
        </w:tc>
      </w:tr>
      <w:tr w14:paraId="731CC37D">
        <w:trPr>
          <w:jc w:val="center"/>
        </w:trPr>
        <w:tc>
          <w:tcPr>
            <w:tcW w:w="2381" w:type="dxa"/>
          </w:tcPr>
          <w:p w14:paraId="2D059FB6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/mon-espace</w:t>
            </w:r>
          </w:p>
        </w:tc>
        <w:tc>
          <w:tcPr>
            <w:tcW w:w="2041" w:type="dxa"/>
          </w:tcPr>
          <w:p w14:paraId="07D2B0C0">
            <w:pPr>
              <w:spacing w:after="20"/>
            </w:pPr>
            <w:r>
              <w:rPr>
                <w:rFonts w:ascii="Calibri" w:hAnsi="Calibri"/>
                <w:sz w:val="18"/>
              </w:rPr>
              <w:t>Espace personnel</w:t>
            </w:r>
          </w:p>
        </w:tc>
        <w:tc>
          <w:tcPr>
            <w:tcW w:w="4932" w:type="dxa"/>
          </w:tcPr>
          <w:p w14:paraId="2393F782">
            <w:pPr>
              <w:spacing w:after="20"/>
            </w:pPr>
            <w:r>
              <w:rPr>
                <w:rFonts w:ascii="Calibri" w:hAnsi="Calibri"/>
                <w:sz w:val="18"/>
              </w:rPr>
              <w:t>Deux visages : prospect avant inscription, apprenant après</w:t>
            </w:r>
          </w:p>
        </w:tc>
      </w:tr>
      <w:tr w14:paraId="4394D87D">
        <w:trPr>
          <w:jc w:val="center"/>
        </w:trPr>
        <w:tc>
          <w:tcPr>
            <w:tcW w:w="2381" w:type="dxa"/>
          </w:tcPr>
          <w:p w14:paraId="3C516760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/connexion</w:t>
            </w:r>
          </w:p>
        </w:tc>
        <w:tc>
          <w:tcPr>
            <w:tcW w:w="2041" w:type="dxa"/>
          </w:tcPr>
          <w:p w14:paraId="59962E4A">
            <w:pPr>
              <w:spacing w:after="20"/>
            </w:pPr>
            <w:r>
              <w:rPr>
                <w:rFonts w:ascii="Calibri" w:hAnsi="Calibri"/>
                <w:sz w:val="18"/>
              </w:rPr>
              <w:t>Connexion</w:t>
            </w:r>
          </w:p>
        </w:tc>
        <w:tc>
          <w:tcPr>
            <w:tcW w:w="4932" w:type="dxa"/>
          </w:tcPr>
          <w:p w14:paraId="474E75BC">
            <w:pPr>
              <w:spacing w:after="20"/>
            </w:pPr>
            <w:r>
              <w:rPr>
                <w:rFonts w:ascii="Calibri" w:hAnsi="Calibri"/>
                <w:sz w:val="18"/>
              </w:rPr>
              <w:t>Mot de passe ou compte Google</w:t>
            </w:r>
          </w:p>
        </w:tc>
      </w:tr>
      <w:tr w14:paraId="46D56949">
        <w:trPr>
          <w:jc w:val="center"/>
        </w:trPr>
        <w:tc>
          <w:tcPr>
            <w:tcW w:w="2381" w:type="dxa"/>
          </w:tcPr>
          <w:p w14:paraId="4334F9B1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/update-password</w:t>
            </w:r>
          </w:p>
        </w:tc>
        <w:tc>
          <w:tcPr>
            <w:tcW w:w="2041" w:type="dxa"/>
          </w:tcPr>
          <w:p w14:paraId="2B41ACDB">
            <w:pPr>
              <w:spacing w:after="20"/>
            </w:pPr>
            <w:r>
              <w:rPr>
                <w:rFonts w:ascii="Calibri" w:hAnsi="Calibri"/>
                <w:sz w:val="18"/>
              </w:rPr>
              <w:t>Nouveau mot de passe</w:t>
            </w:r>
          </w:p>
        </w:tc>
        <w:tc>
          <w:tcPr>
            <w:tcW w:w="4932" w:type="dxa"/>
          </w:tcPr>
          <w:p w14:paraId="303CD79F">
            <w:pPr>
              <w:spacing w:after="20"/>
            </w:pPr>
            <w:r>
              <w:rPr>
                <w:rFonts w:ascii="Calibri" w:hAnsi="Calibri"/>
                <w:sz w:val="18"/>
              </w:rPr>
              <w:t>Atterrissage du lien reçu par courriel</w:t>
            </w:r>
          </w:p>
        </w:tc>
      </w:tr>
      <w:tr w14:paraId="7016510A">
        <w:trPr>
          <w:jc w:val="center"/>
        </w:trPr>
        <w:tc>
          <w:tcPr>
            <w:tcW w:w="2381" w:type="dxa"/>
          </w:tcPr>
          <w:p w14:paraId="30A860CF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/paiement/retour</w:t>
            </w:r>
          </w:p>
        </w:tc>
        <w:tc>
          <w:tcPr>
            <w:tcW w:w="2041" w:type="dxa"/>
          </w:tcPr>
          <w:p w14:paraId="5615EE64">
            <w:pPr>
              <w:spacing w:after="20"/>
            </w:pPr>
            <w:r>
              <w:rPr>
                <w:rFonts w:ascii="Calibri" w:hAnsi="Calibri"/>
                <w:sz w:val="18"/>
              </w:rPr>
              <w:t>Retour de paiement</w:t>
            </w:r>
          </w:p>
        </w:tc>
        <w:tc>
          <w:tcPr>
            <w:tcW w:w="4932" w:type="dxa"/>
          </w:tcPr>
          <w:p w14:paraId="46590737">
            <w:pPr>
              <w:spacing w:after="20"/>
            </w:pPr>
            <w:r>
              <w:rPr>
                <w:rFonts w:ascii="Calibri" w:hAnsi="Calibri"/>
                <w:sz w:val="18"/>
              </w:rPr>
              <w:t>Résultat de la transaction, reçu téléchargeable en PDF</w:t>
            </w:r>
          </w:p>
        </w:tc>
      </w:tr>
      <w:tr w14:paraId="560390DF">
        <w:trPr>
          <w:jc w:val="center"/>
        </w:trPr>
        <w:tc>
          <w:tcPr>
            <w:tcW w:w="2381" w:type="dxa"/>
          </w:tcPr>
          <w:p w14:paraId="72B2AC80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/paiement/relancer</w:t>
            </w:r>
          </w:p>
        </w:tc>
        <w:tc>
          <w:tcPr>
            <w:tcW w:w="2041" w:type="dxa"/>
          </w:tcPr>
          <w:p w14:paraId="26C09194">
            <w:pPr>
              <w:spacing w:after="20"/>
            </w:pPr>
            <w:r>
              <w:rPr>
                <w:rFonts w:ascii="Calibri" w:hAnsi="Calibri"/>
                <w:sz w:val="18"/>
              </w:rPr>
              <w:t>Relance de paiement</w:t>
            </w:r>
          </w:p>
        </w:tc>
        <w:tc>
          <w:tcPr>
            <w:tcW w:w="4932" w:type="dxa"/>
          </w:tcPr>
          <w:p w14:paraId="5620CA12">
            <w:pPr>
              <w:spacing w:after="20"/>
            </w:pPr>
            <w:r>
              <w:rPr>
                <w:rFonts w:ascii="Calibri" w:hAnsi="Calibri"/>
                <w:sz w:val="18"/>
              </w:rPr>
              <w:t>Reprise d'un paiement interrompu</w:t>
            </w:r>
          </w:p>
        </w:tc>
      </w:tr>
    </w:tbl>
    <w:p w14:paraId="626178BE">
      <w:pPr>
        <w:spacing w:after="120"/>
      </w:pPr>
    </w:p>
    <w:p w14:paraId="5820196B">
      <w:pPr>
        <w:pStyle w:val="3"/>
      </w:pPr>
      <w:r>
        <w:t>Pages de campagne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041"/>
        <w:gridCol w:w="4932"/>
      </w:tblGrid>
      <w:tr w14:paraId="408BFBDF">
        <w:trPr>
          <w:jc w:val="center"/>
        </w:trPr>
        <w:tc>
          <w:tcPr>
            <w:tcW w:w="2381" w:type="dxa"/>
            <w:shd w:val="clear" w:color="auto" w:fill="F2F4FA"/>
          </w:tcPr>
          <w:p w14:paraId="4720A4F5">
            <w:r>
              <w:rPr>
                <w:b/>
                <w:color w:val="1B3080"/>
                <w:sz w:val="17"/>
              </w:rPr>
              <w:t>Adresse</w:t>
            </w:r>
          </w:p>
        </w:tc>
        <w:tc>
          <w:tcPr>
            <w:tcW w:w="2041" w:type="dxa"/>
            <w:shd w:val="clear" w:color="auto" w:fill="F2F4FA"/>
          </w:tcPr>
          <w:p w14:paraId="6714AE30">
            <w:r>
              <w:rPr>
                <w:b/>
                <w:color w:val="1B3080"/>
                <w:sz w:val="17"/>
              </w:rPr>
              <w:t>Page</w:t>
            </w:r>
          </w:p>
        </w:tc>
        <w:tc>
          <w:tcPr>
            <w:tcW w:w="4932" w:type="dxa"/>
            <w:shd w:val="clear" w:color="auto" w:fill="F2F4FA"/>
          </w:tcPr>
          <w:p w14:paraId="1EADA442">
            <w:r>
              <w:rPr>
                <w:b/>
                <w:color w:val="1B3080"/>
                <w:sz w:val="17"/>
              </w:rPr>
              <w:t>Ce qu'on y trouve</w:t>
            </w:r>
          </w:p>
        </w:tc>
      </w:tr>
      <w:tr w14:paraId="567CF3A6">
        <w:trPr>
          <w:jc w:val="center"/>
        </w:trPr>
        <w:tc>
          <w:tcPr>
            <w:tcW w:w="2381" w:type="dxa"/>
          </w:tcPr>
          <w:p w14:paraId="2FBA69DA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/f/:slug</w:t>
            </w:r>
          </w:p>
        </w:tc>
        <w:tc>
          <w:tcPr>
            <w:tcW w:w="2041" w:type="dxa"/>
          </w:tcPr>
          <w:p w14:paraId="6BF5A6EC">
            <w:pPr>
              <w:spacing w:after="20"/>
            </w:pPr>
            <w:r>
              <w:rPr>
                <w:rFonts w:ascii="Calibri" w:hAnsi="Calibri"/>
                <w:sz w:val="18"/>
              </w:rPr>
              <w:t>Formulaire de campagne</w:t>
            </w:r>
          </w:p>
        </w:tc>
        <w:tc>
          <w:tcPr>
            <w:tcW w:w="4932" w:type="dxa"/>
          </w:tcPr>
          <w:p w14:paraId="43B63D07">
            <w:pPr>
              <w:spacing w:after="20"/>
            </w:pPr>
            <w:r>
              <w:rPr>
                <w:rFonts w:ascii="Calibri" w:hAnsi="Calibri"/>
                <w:sz w:val="18"/>
              </w:rPr>
              <w:t>La page qu'ouvre un QR code imprimé. Adresse volontairement courte : elle se dicte à l'oral et tient sur une affiche</w:t>
            </w:r>
          </w:p>
        </w:tc>
      </w:tr>
      <w:tr w14:paraId="4F01A7D1">
        <w:trPr>
          <w:jc w:val="center"/>
        </w:trPr>
        <w:tc>
          <w:tcPr>
            <w:tcW w:w="2381" w:type="dxa"/>
          </w:tcPr>
          <w:p w14:paraId="4CBAC3E9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/lead-magnet/audit-gratuit</w:t>
            </w:r>
          </w:p>
        </w:tc>
        <w:tc>
          <w:tcPr>
            <w:tcW w:w="2041" w:type="dxa"/>
          </w:tcPr>
          <w:p w14:paraId="7E405AEC">
            <w:pPr>
              <w:spacing w:after="20"/>
            </w:pPr>
            <w:r>
              <w:rPr>
                <w:rFonts w:ascii="Calibri" w:hAnsi="Calibri"/>
                <w:sz w:val="18"/>
              </w:rPr>
              <w:t>Audit gratuit</w:t>
            </w:r>
          </w:p>
        </w:tc>
        <w:tc>
          <w:tcPr>
            <w:tcW w:w="4932" w:type="dxa"/>
          </w:tcPr>
          <w:p w14:paraId="13303FB6">
            <w:pPr>
              <w:spacing w:after="20"/>
            </w:pPr>
            <w:r>
              <w:rPr>
                <w:rFonts w:ascii="Calibri" w:hAnsi="Calibri"/>
                <w:sz w:val="18"/>
              </w:rPr>
              <w:t>Formulaire de demande d'audit pour les entreprises</w:t>
            </w:r>
          </w:p>
        </w:tc>
      </w:tr>
      <w:tr w14:paraId="10AB4480">
        <w:trPr>
          <w:jc w:val="center"/>
        </w:trPr>
        <w:tc>
          <w:tcPr>
            <w:tcW w:w="2381" w:type="dxa"/>
          </w:tcPr>
          <w:p w14:paraId="69965134">
            <w:pPr>
              <w:spacing w:after="20"/>
            </w:pPr>
            <w:r>
              <w:rPr>
                <w:rFonts w:ascii="Consolas" w:hAnsi="Consolas"/>
                <w:color w:val="1B3080"/>
                <w:sz w:val="17"/>
              </w:rPr>
              <w:t>/lead-magnet/merci</w:t>
            </w:r>
          </w:p>
        </w:tc>
        <w:tc>
          <w:tcPr>
            <w:tcW w:w="2041" w:type="dxa"/>
          </w:tcPr>
          <w:p w14:paraId="1F930E11">
            <w:pPr>
              <w:spacing w:after="20"/>
            </w:pPr>
            <w:r>
              <w:rPr>
                <w:rFonts w:ascii="Calibri" w:hAnsi="Calibri"/>
                <w:sz w:val="18"/>
              </w:rPr>
              <w:t>Remerciement</w:t>
            </w:r>
          </w:p>
        </w:tc>
        <w:tc>
          <w:tcPr>
            <w:tcW w:w="4932" w:type="dxa"/>
          </w:tcPr>
          <w:p w14:paraId="6DF93E4B">
            <w:pPr>
              <w:spacing w:after="20"/>
            </w:pPr>
            <w:r>
              <w:rPr>
                <w:rFonts w:ascii="Calibri" w:hAnsi="Calibri"/>
                <w:sz w:val="18"/>
              </w:rPr>
              <w:t>Page d'atterrissage après envoi</w:t>
            </w:r>
          </w:p>
        </w:tc>
      </w:tr>
    </w:tbl>
    <w:p w14:paraId="0568BFD0">
      <w:pPr>
        <w:spacing w:after="120"/>
      </w:pPr>
    </w:p>
    <w:p w14:paraId="437FDF46">
      <w:r>
        <w:br w:type="page"/>
      </w:r>
    </w:p>
    <w:p w14:paraId="7CDCCE34">
      <w:pPr>
        <w:pStyle w:val="2"/>
      </w:pPr>
      <w:r>
        <w:t>2. Les parcours</w:t>
      </w:r>
    </w:p>
    <w:p w14:paraId="77356210">
      <w:pPr>
        <w:spacing w:after="160"/>
      </w:pPr>
      <w:r>
        <w:rPr>
          <w:rFonts w:ascii="Calibri" w:hAnsi="Calibri"/>
          <w:b w:val="0"/>
          <w:i w:val="0"/>
          <w:color w:val="5C6573"/>
          <w:sz w:val="21"/>
        </w:rPr>
        <w:t>Six chemins guidés mènent un visiteur de la découverte à l'inscription. Quatre sont des fenêtres ouvertes depuis la navigation, deux sont des pages à part entière.</w:t>
      </w:r>
    </w:p>
    <w:p w14:paraId="632DDCF7">
      <w:pPr>
        <w:pStyle w:val="3"/>
      </w:pPr>
      <w:r>
        <w:t>2.1  Inscription d'un adulte</w:t>
      </w:r>
    </w:p>
    <w:p w14:paraId="71937319">
      <w:pPr>
        <w:spacing w:after="120"/>
      </w:pPr>
      <w:r>
        <w:rPr>
          <w:rFonts w:ascii="Calibri" w:hAnsi="Calibri"/>
          <w:b w:val="0"/>
          <w:i w:val="0"/>
          <w:sz w:val="21"/>
        </w:rPr>
        <w:t>Le chemin se dédouble dès la première question et ne se parcourt pas de la même façon selon la réponse. Onze états distincts existent dans le code, dont plusieurs propres à une branche.</w:t>
      </w:r>
    </w:p>
    <w:p w14:paraId="7B384D00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Type de coaching</w:t>
      </w:r>
      <w:r>
        <w:rPr>
          <w:rFonts w:ascii="Calibri" w:hAnsi="Calibri"/>
          <w:sz w:val="21"/>
        </w:rPr>
        <w:t xml:space="preserve"> — privé ou en groupe, en ligne ou en présentiel</w:t>
      </w:r>
    </w:p>
    <w:p w14:paraId="3B3DE0E3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Offre et formule</w:t>
      </w:r>
      <w:r>
        <w:rPr>
          <w:rFonts w:ascii="Calibri" w:hAnsi="Calibri"/>
          <w:sz w:val="21"/>
        </w:rPr>
        <w:t xml:space="preserve"> — chaque offre porte ses propres formules, avec son tarif</w:t>
      </w:r>
    </w:p>
    <w:p w14:paraId="1F4AACD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Branche présentiel</w:t>
      </w:r>
      <w:r>
        <w:rPr>
          <w:rFonts w:ascii="Calibri" w:hAnsi="Calibri"/>
          <w:sz w:val="21"/>
        </w:rPr>
        <w:t xml:space="preserve"> — choix du centre, </w:t>
      </w:r>
      <w:r>
        <w:rPr>
          <w:rFonts w:ascii="Calibri" w:hAnsi="Calibri"/>
          <w:i/>
          <w:color w:val="5C6573"/>
          <w:sz w:val="21"/>
        </w:rPr>
        <w:t>trié par distance depuis la ville du visiteur</w:t>
      </w:r>
    </w:p>
    <w:p w14:paraId="3A66BAEA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Cours à domicile</w:t>
      </w:r>
      <w:r>
        <w:rPr>
          <w:rFonts w:ascii="Calibri" w:hAnsi="Calibri"/>
          <w:sz w:val="21"/>
        </w:rPr>
        <w:t xml:space="preserve"> — saisie de l'adresse plutôt que d'un centre</w:t>
      </w:r>
    </w:p>
    <w:p w14:paraId="2D7430FF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Choix de l'assistante</w:t>
      </w:r>
      <w:r>
        <w:rPr>
          <w:rFonts w:ascii="Calibri" w:hAnsi="Calibri"/>
          <w:sz w:val="21"/>
        </w:rPr>
        <w:t xml:space="preserve"> — parmi celles réellement disponibles ; un message explicite s'il n'y en a aucune</w:t>
      </w:r>
    </w:p>
    <w:p w14:paraId="0A0B242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Connexion facultative</w:t>
      </w:r>
      <w:r>
        <w:rPr>
          <w:rFonts w:ascii="Calibri" w:hAnsi="Calibri"/>
          <w:sz w:val="21"/>
        </w:rPr>
        <w:t xml:space="preserve"> — « Connectez-vous pour pré-remplir vos coordonnées »</w:t>
      </w:r>
    </w:p>
    <w:p w14:paraId="69D894BC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Récapitulatif</w:t>
      </w:r>
      <w:r>
        <w:rPr>
          <w:rFonts w:ascii="Calibri" w:hAnsi="Calibri"/>
          <w:sz w:val="21"/>
        </w:rPr>
        <w:t xml:space="preserve"> puis confirmation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507BA25F">
        <w:trPr>
          <w:jc w:val="center"/>
        </w:trPr>
        <w:tc>
          <w:tcPr>
            <w:tcW w:w="9638" w:type="dxa"/>
            <w:tcBorders>
              <w:top w:val="single" w:color="E4E1D9" w:sz="4" w:space="0"/>
              <w:left w:val="single" w:color="8A93A1" w:sz="18" w:space="0"/>
              <w:bottom w:val="single" w:color="E4E1D9" w:sz="4" w:space="0"/>
              <w:right w:val="single" w:color="E4E1D9" w:sz="4" w:space="0"/>
            </w:tcBorders>
            <w:shd w:val="clear" w:color="auto" w:fill="F7F7F4"/>
          </w:tcPr>
          <w:p w14:paraId="5E2CB94E">
            <w:pPr>
              <w:spacing w:after="60"/>
            </w:pPr>
            <w:r>
              <w:rPr>
                <w:color w:val="5C6573"/>
                <w:sz w:val="20"/>
              </w:rPr>
              <w:t>La progression est conservée : un visiteur interrompu retrouve son parcours là où il l'avait laissé, sans avoir à ressaisir.</w:t>
            </w:r>
          </w:p>
        </w:tc>
      </w:tr>
    </w:tbl>
    <w:p w14:paraId="15B3530A">
      <w:pPr>
        <w:spacing w:after="120"/>
      </w:pPr>
    </w:p>
    <w:p w14:paraId="47F1A0D4">
      <w:pPr>
        <w:pStyle w:val="3"/>
      </w:pPr>
      <w:r>
        <w:t>2.2  Inscription d'un enfant</w:t>
      </w:r>
    </w:p>
    <w:p w14:paraId="6AEAFAAD">
      <w:pPr>
        <w:spacing w:after="120"/>
      </w:pPr>
      <w:r>
        <w:rPr>
          <w:rFonts w:ascii="Calibri" w:hAnsi="Calibri"/>
          <w:color w:val="5C6573"/>
          <w:sz w:val="19"/>
        </w:rPr>
        <w:t xml:space="preserve">Fenêtre ouverte depuis « Inscription » · </w:t>
      </w:r>
      <w:r>
        <w:rPr>
          <w:rFonts w:ascii="Consolas" w:hAnsi="Consolas"/>
          <w:color w:val="1B3080"/>
          <w:sz w:val="18"/>
        </w:rPr>
        <w:t>1 286 lignes</w:t>
      </w:r>
      <w:r>
        <w:rPr>
          <w:rFonts w:ascii="Calibri" w:hAnsi="Calibri"/>
          <w:color w:val="5C6573"/>
          <w:sz w:val="19"/>
        </w:rPr>
        <w:t xml:space="preserve"> · six étapes</w:t>
      </w:r>
    </w:p>
    <w:p w14:paraId="3151DE44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Informations sur l'enfant</w:t>
      </w:r>
      <w:r>
        <w:rPr>
          <w:rFonts w:ascii="Calibri" w:hAnsi="Calibri"/>
          <w:sz w:val="21"/>
        </w:rPr>
        <w:t xml:space="preserve"> — prénom, âge</w:t>
      </w:r>
    </w:p>
    <w:p w14:paraId="22757B27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Informations du parent</w:t>
      </w:r>
      <w:r>
        <w:rPr>
          <w:rFonts w:ascii="Calibri" w:hAnsi="Calibri"/>
          <w:sz w:val="21"/>
        </w:rPr>
        <w:t xml:space="preserve"> — identité et contact du responsable</w:t>
      </w:r>
    </w:p>
    <w:p w14:paraId="6287BE93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Offre et formule</w:t>
      </w:r>
      <w:r>
        <w:rPr>
          <w:rFonts w:ascii="Calibri" w:hAnsi="Calibri"/>
          <w:sz w:val="21"/>
        </w:rPr>
        <w:t xml:space="preserve"> — le catalogue est filtré sur les offres pertinentes pour un enfant</w:t>
      </w:r>
    </w:p>
    <w:p w14:paraId="6671BFCB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Modalité</w:t>
      </w:r>
      <w:r>
        <w:rPr>
          <w:rFonts w:ascii="Calibri" w:hAnsi="Calibri"/>
          <w:sz w:val="21"/>
        </w:rPr>
        <w:t xml:space="preserve"> — en ligne ou présentiel, puis centre ou adresse</w:t>
      </w:r>
    </w:p>
    <w:p w14:paraId="2062483D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Récapitulatif</w:t>
      </w:r>
      <w:r>
        <w:rPr>
          <w:rFonts w:ascii="Calibri" w:hAnsi="Calibri"/>
          <w:sz w:val="21"/>
        </w:rPr>
        <w:t xml:space="preserve"> — relecture avant envoi</w:t>
      </w:r>
    </w:p>
    <w:p w14:paraId="6A35C59F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Confirmation</w:t>
      </w:r>
      <w:r>
        <w:rPr>
          <w:rFonts w:ascii="Calibri" w:hAnsi="Calibri"/>
          <w:sz w:val="21"/>
        </w:rPr>
        <w:t xml:space="preserve"> — « Inscription envoyée »</w:t>
      </w:r>
    </w:p>
    <w:p w14:paraId="2E2FA3E7">
      <w:pPr>
        <w:pStyle w:val="3"/>
      </w:pPr>
      <w:r>
        <w:t>2.3  Demande d'une entreprise</w:t>
      </w:r>
    </w:p>
    <w:p w14:paraId="7DB793FD">
      <w:pPr>
        <w:spacing w:after="120"/>
      </w:pPr>
      <w:r>
        <w:rPr>
          <w:rFonts w:ascii="Calibri" w:hAnsi="Calibri"/>
          <w:color w:val="5C6573"/>
          <w:sz w:val="19"/>
        </w:rPr>
        <w:t xml:space="preserve">Fenêtre ouverte depuis « BET for Business » · </w:t>
      </w:r>
      <w:r>
        <w:rPr>
          <w:rFonts w:ascii="Consolas" w:hAnsi="Consolas"/>
          <w:color w:val="1B3080"/>
          <w:sz w:val="18"/>
        </w:rPr>
        <w:t>503 lignes</w:t>
      </w:r>
      <w:r>
        <w:rPr>
          <w:rFonts w:ascii="Calibri" w:hAnsi="Calibri"/>
          <w:color w:val="5C6573"/>
          <w:sz w:val="19"/>
        </w:rPr>
        <w:t xml:space="preserve"> · trois étapes annoncées au visiteur</w:t>
      </w:r>
    </w:p>
    <w:p w14:paraId="234823EB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Votre entreprise</w:t>
      </w:r>
      <w:r>
        <w:rPr>
          <w:rFonts w:ascii="Calibri" w:hAnsi="Calibri"/>
          <w:sz w:val="21"/>
        </w:rPr>
        <w:t xml:space="preserve"> — raison sociale, contact, effectif à former</w:t>
      </w:r>
    </w:p>
    <w:p w14:paraId="4139A74B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Niveau &amp; objectifs</w:t>
      </w:r>
      <w:r>
        <w:rPr>
          <w:rFonts w:ascii="Calibri" w:hAnsi="Calibri"/>
          <w:sz w:val="21"/>
        </w:rPr>
        <w:t xml:space="preserve"> — niveaux CECRL visés, besoins : anglais professionnel, communication interne, missions à l'étranger</w:t>
      </w:r>
    </w:p>
    <w:p w14:paraId="21536C8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Format &amp; rythme</w:t>
      </w:r>
      <w:r>
        <w:rPr>
          <w:rFonts w:ascii="Calibri" w:hAnsi="Calibri"/>
          <w:sz w:val="21"/>
        </w:rPr>
        <w:t xml:space="preserve"> — organisation souhaitée</w:t>
      </w:r>
    </w:p>
    <w:p w14:paraId="1CA5AFF9">
      <w:pPr>
        <w:pStyle w:val="3"/>
      </w:pPr>
      <w:r>
        <w:t>2.4  Centres en ligne</w:t>
      </w:r>
    </w:p>
    <w:p w14:paraId="18C22258">
      <w:pPr>
        <w:spacing w:after="120"/>
      </w:pPr>
      <w:r>
        <w:rPr>
          <w:rFonts w:ascii="Calibri" w:hAnsi="Calibri"/>
          <w:color w:val="5C6573"/>
          <w:sz w:val="19"/>
        </w:rPr>
        <w:t xml:space="preserve">Fenêtre dédiée · </w:t>
      </w:r>
      <w:r>
        <w:rPr>
          <w:rFonts w:ascii="Consolas" w:hAnsi="Consolas"/>
          <w:color w:val="1B3080"/>
          <w:sz w:val="18"/>
        </w:rPr>
        <w:t>1 180 lignes</w:t>
      </w:r>
      <w:r>
        <w:rPr>
          <w:rFonts w:ascii="Calibri" w:hAnsi="Calibri"/>
          <w:color w:val="5C6573"/>
          <w:sz w:val="19"/>
        </w:rPr>
        <w:t xml:space="preserve"> · pour qui veut apprendre à distance</w:t>
      </w:r>
    </w:p>
    <w:p w14:paraId="11F8F62F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Offres</w:t>
      </w:r>
      <w:r>
        <w:rPr>
          <w:rFonts w:ascii="Calibri" w:hAnsi="Calibri"/>
          <w:sz w:val="21"/>
        </w:rPr>
        <w:t xml:space="preserve"> puis </w:t>
      </w:r>
      <w:r>
        <w:rPr>
          <w:rFonts w:ascii="Calibri" w:hAnsi="Calibri"/>
          <w:b/>
          <w:sz w:val="21"/>
        </w:rPr>
        <w:t>choix de la formule</w:t>
      </w:r>
    </w:p>
    <w:p w14:paraId="75CF9410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Connexion obligatoire</w:t>
      </w:r>
      <w:r>
        <w:rPr>
          <w:rFonts w:ascii="Calibri" w:hAnsi="Calibri"/>
          <w:sz w:val="21"/>
        </w:rPr>
        <w:t xml:space="preserve"> à cette étape — c'est ce que le code appelle l'« authgate »</w:t>
      </w:r>
    </w:p>
    <w:p w14:paraId="7175B69E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Récapitulatif</w:t>
      </w:r>
      <w:r>
        <w:rPr>
          <w:rFonts w:ascii="Calibri" w:hAnsi="Calibri"/>
          <w:sz w:val="21"/>
        </w:rPr>
        <w:t xml:space="preserve"> puis « Votre demande a bien été reçue »</w:t>
      </w:r>
    </w:p>
    <w:p w14:paraId="41270AE1">
      <w:pPr>
        <w:pStyle w:val="3"/>
      </w:pPr>
      <w:r>
        <w:br w:type="textWrapping"/>
      </w:r>
      <w:r>
        <w:t>2.5  Tunnel d'inscription</w:t>
      </w:r>
    </w:p>
    <w:p w14:paraId="6DAC1C8F">
      <w:pPr>
        <w:spacing w:after="120"/>
      </w:pPr>
      <w:r>
        <w:rPr>
          <w:rFonts w:ascii="Calibri" w:hAnsi="Calibri"/>
          <w:color w:val="5C6573"/>
          <w:sz w:val="19"/>
        </w:rPr>
        <w:t xml:space="preserve">Page </w:t>
      </w:r>
      <w:r>
        <w:rPr>
          <w:rFonts w:ascii="Consolas" w:hAnsi="Consolas"/>
          <w:color w:val="1B3080"/>
          <w:sz w:val="18"/>
        </w:rPr>
        <w:t>/parcours/inscription</w:t>
      </w:r>
      <w:r>
        <w:rPr>
          <w:rFonts w:ascii="Calibri" w:hAnsi="Calibri"/>
          <w:color w:val="5C6573"/>
          <w:sz w:val="19"/>
        </w:rPr>
        <w:t xml:space="preserve"> · cinq étapes linéaires</w:t>
      </w:r>
    </w:p>
    <w:p w14:paraId="4960E7DF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Quel type de coaching ?</w:t>
      </w:r>
      <w:r>
        <w:rPr>
          <w:rFonts w:ascii="Calibri" w:hAnsi="Calibri"/>
          <w:sz w:val="21"/>
        </w:rPr>
        <w:t xml:space="preserve"> — groupe ou suivi individuel</w:t>
      </w:r>
    </w:p>
    <w:p w14:paraId="5D56558A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Comment souhaitez-vous apprendre ?</w:t>
      </w:r>
      <w:r>
        <w:rPr>
          <w:rFonts w:ascii="Calibri" w:hAnsi="Calibri"/>
          <w:sz w:val="21"/>
        </w:rPr>
        <w:t xml:space="preserve"> — en ligne ou en présentiel</w:t>
      </w:r>
    </w:p>
    <w:p w14:paraId="4DA27701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Où ?</w:t>
      </w:r>
      <w:r>
        <w:rPr>
          <w:rFonts w:ascii="Calibri" w:hAnsi="Calibri"/>
          <w:sz w:val="21"/>
        </w:rPr>
        <w:t xml:space="preserve"> — « Quel cabinet vous convient ? » ou le centre le plus proche</w:t>
      </w:r>
    </w:p>
    <w:p w14:paraId="2E701A32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Choisissez votre assistante</w:t>
      </w:r>
      <w:r>
        <w:rPr>
          <w:rFonts w:ascii="Calibri" w:hAnsi="Calibri"/>
          <w:sz w:val="21"/>
        </w:rPr>
        <w:t xml:space="preserve"> — avec sa photo</w:t>
      </w:r>
    </w:p>
    <w:p w14:paraId="154F5C91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Vos coordonnées</w:t>
      </w:r>
      <w:r>
        <w:rPr>
          <w:rFonts w:ascii="Calibri" w:hAnsi="Calibri"/>
          <w:sz w:val="21"/>
        </w:rPr>
        <w:t xml:space="preserve"> puis envoi</w:t>
      </w:r>
    </w:p>
    <w:p w14:paraId="414A2C58">
      <w:pPr>
        <w:pStyle w:val="3"/>
      </w:pPr>
      <w:r>
        <w:t>2.6  Test de niveau gratuit</w:t>
      </w:r>
    </w:p>
    <w:p w14:paraId="70CC3B73">
      <w:pPr>
        <w:spacing w:after="120"/>
      </w:pPr>
      <w:r>
        <w:rPr>
          <w:rFonts w:ascii="Calibri" w:hAnsi="Calibri"/>
          <w:color w:val="5C6573"/>
          <w:sz w:val="19"/>
        </w:rPr>
        <w:t xml:space="preserve">Page </w:t>
      </w:r>
      <w:r>
        <w:rPr>
          <w:rFonts w:ascii="Consolas" w:hAnsi="Consolas"/>
          <w:color w:val="1B3080"/>
          <w:sz w:val="18"/>
        </w:rPr>
        <w:t>/test-niveau</w:t>
      </w:r>
      <w:r>
        <w:rPr>
          <w:rFonts w:ascii="Calibri" w:hAnsi="Calibri"/>
          <w:color w:val="5C6573"/>
          <w:sz w:val="19"/>
        </w:rPr>
        <w:t xml:space="preserve"> · </w:t>
      </w:r>
      <w:r>
        <w:rPr>
          <w:rFonts w:ascii="Consolas" w:hAnsi="Consolas"/>
          <w:color w:val="1B3080"/>
          <w:sz w:val="18"/>
        </w:rPr>
        <w:t>2 973 lignes</w:t>
      </w:r>
      <w:r>
        <w:rPr>
          <w:rFonts w:ascii="Calibri" w:hAnsi="Calibri"/>
          <w:color w:val="5C6573"/>
          <w:sz w:val="19"/>
        </w:rPr>
        <w:t xml:space="preserve"> · l'écran le plus lourd du site</w:t>
      </w:r>
    </w:p>
    <w:p w14:paraId="6DA82F30">
      <w:pPr>
        <w:spacing w:after="120"/>
      </w:pPr>
      <w:r>
        <w:rPr>
          <w:rFonts w:ascii="Calibri" w:hAnsi="Calibri"/>
          <w:b w:val="0"/>
          <w:i w:val="0"/>
          <w:sz w:val="21"/>
        </w:rPr>
        <w:t>Six écrans se succèdent, et l'avancement est enregistré sur le serveur à chaque réponse : une coupure de connexion ne fait pas perdre le test.</w:t>
      </w:r>
    </w:p>
    <w:p w14:paraId="6CC2F04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Formulaire</w:t>
      </w:r>
      <w:r>
        <w:rPr>
          <w:rFonts w:ascii="Calibri" w:hAnsi="Calibri"/>
          <w:sz w:val="21"/>
        </w:rPr>
        <w:t xml:space="preserve"> — identité et contact du candidat</w:t>
      </w:r>
    </w:p>
    <w:p w14:paraId="6D1DDA5A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Questionnaire</w:t>
      </w:r>
      <w:r>
        <w:rPr>
          <w:rFonts w:ascii="Calibri" w:hAnsi="Calibri"/>
          <w:sz w:val="21"/>
        </w:rPr>
        <w:t xml:space="preserve"> — questions à choix multiple </w:t>
      </w:r>
      <w:r>
        <w:rPr>
          <w:rFonts w:ascii="Calibri" w:hAnsi="Calibri"/>
          <w:i/>
          <w:color w:val="5C6573"/>
          <w:sz w:val="21"/>
        </w:rPr>
        <w:t>chronométrées</w:t>
      </w:r>
      <w:r>
        <w:rPr>
          <w:rFonts w:ascii="Calibri" w:hAnsi="Calibri"/>
          <w:sz w:val="21"/>
        </w:rPr>
        <w:t>, niveaux A1 à C2</w:t>
      </w:r>
    </w:p>
    <w:p w14:paraId="67707040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Épreuve orale</w:t>
      </w:r>
      <w:r>
        <w:rPr>
          <w:rFonts w:ascii="Calibri" w:hAnsi="Calibri"/>
          <w:sz w:val="21"/>
        </w:rPr>
        <w:t xml:space="preserve"> — enregistrement au microphone, envoyé au serveur</w:t>
      </w:r>
    </w:p>
    <w:p w14:paraId="640BB2FC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Projet</w:t>
      </w:r>
      <w:r>
        <w:rPr>
          <w:rFonts w:ascii="Calibri" w:hAnsi="Calibri"/>
          <w:sz w:val="21"/>
        </w:rPr>
        <w:t xml:space="preserve"> — expression écrite</w:t>
      </w:r>
    </w:p>
    <w:p w14:paraId="2F6E9E2C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Choix du conseiller</w:t>
      </w:r>
      <w:r>
        <w:rPr>
          <w:rFonts w:ascii="Calibri" w:hAnsi="Calibri"/>
          <w:sz w:val="21"/>
        </w:rPr>
        <w:t xml:space="preserve"> — parmi les commerciaux du centre retenu</w:t>
      </w:r>
    </w:p>
    <w:p w14:paraId="309A1156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Attente puis résultat</w:t>
      </w:r>
      <w:r>
        <w:rPr>
          <w:rFonts w:ascii="Calibri" w:hAnsi="Calibri"/>
          <w:sz w:val="21"/>
        </w:rPr>
        <w:t xml:space="preserve"> — niveau CECRL détecté, transmis à l'assistante</w:t>
      </w:r>
    </w:p>
    <w:p w14:paraId="52CB95C1">
      <w:pPr>
        <w:pStyle w:val="3"/>
      </w:pPr>
      <w:r>
        <w:t>2.7  Paiement en ligne</w:t>
      </w:r>
    </w:p>
    <w:p w14:paraId="0241CA1F">
      <w:pPr>
        <w:spacing w:after="120"/>
      </w:pPr>
      <w:r>
        <w:rPr>
          <w:rFonts w:ascii="Calibri" w:hAnsi="Calibri"/>
          <w:color w:val="5C6573"/>
          <w:sz w:val="19"/>
        </w:rPr>
        <w:t xml:space="preserve">Prestataire </w:t>
      </w:r>
      <w:r>
        <w:rPr>
          <w:rFonts w:ascii="Calibri" w:hAnsi="Calibri"/>
          <w:b/>
          <w:sz w:val="19"/>
        </w:rPr>
        <w:t>TouchPoint</w:t>
      </w:r>
      <w:r>
        <w:rPr>
          <w:rFonts w:ascii="Calibri" w:hAnsi="Calibri"/>
          <w:color w:val="5C6573"/>
          <w:sz w:val="19"/>
        </w:rPr>
        <w:t xml:space="preserve"> — mobile money et carte. A remplacé CinetPay.</w:t>
      </w:r>
    </w:p>
    <w:p w14:paraId="27941F43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Ouverture</w:t>
      </w:r>
      <w:r>
        <w:rPr>
          <w:rFonts w:ascii="Calibri" w:hAnsi="Calibri"/>
          <w:sz w:val="21"/>
        </w:rPr>
        <w:t xml:space="preserve"> — le serveur prépare la transaction et renvoie les paramètres marchands</w:t>
      </w:r>
    </w:p>
    <w:p w14:paraId="489E7FB6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Paiement</w:t>
      </w:r>
      <w:r>
        <w:rPr>
          <w:rFonts w:ascii="Calibri" w:hAnsi="Calibri"/>
          <w:sz w:val="21"/>
        </w:rPr>
        <w:t xml:space="preserve"> — hors du site, chez le prestataire</w:t>
      </w:r>
    </w:p>
    <w:p w14:paraId="09DD0113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Retour</w:t>
      </w:r>
      <w:r>
        <w:rPr>
          <w:rFonts w:ascii="Calibri" w:hAnsi="Calibri"/>
          <w:sz w:val="21"/>
        </w:rPr>
        <w:t xml:space="preserve"> — page </w:t>
      </w:r>
      <w:r>
        <w:rPr>
          <w:rFonts w:ascii="Consolas" w:hAnsi="Consolas"/>
          <w:color w:val="1B3080"/>
          <w:sz w:val="20"/>
        </w:rPr>
        <w:t>/paiement/retour</w:t>
      </w:r>
      <w:r>
        <w:rPr>
          <w:rFonts w:ascii="Calibri" w:hAnsi="Calibri"/>
          <w:sz w:val="21"/>
        </w:rPr>
        <w:t xml:space="preserve"> : résultat affiché, reçu téléchargeable en PDF</w:t>
      </w:r>
    </w:p>
    <w:p w14:paraId="2CB8E768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Double filet</w:t>
      </w:r>
      <w:r>
        <w:rPr>
          <w:rFonts w:ascii="Calibri" w:hAnsi="Calibri"/>
          <w:sz w:val="21"/>
        </w:rPr>
        <w:t xml:space="preserve"> — la confirmation est reconnue par le serveur </w:t>
      </w:r>
      <w:r>
        <w:rPr>
          <w:rFonts w:ascii="Calibri" w:hAnsi="Calibri"/>
          <w:i/>
          <w:color w:val="5C6573"/>
          <w:sz w:val="21"/>
        </w:rPr>
        <w:t>et</w:t>
      </w:r>
      <w:r>
        <w:rPr>
          <w:rFonts w:ascii="Calibri" w:hAnsi="Calibri"/>
          <w:sz w:val="21"/>
        </w:rPr>
        <w:t xml:space="preserve"> par la redirection du navigateur, pour qu'un appel perdu ne perde pas un paiement</w:t>
      </w:r>
    </w:p>
    <w:p w14:paraId="682505B9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Relance</w:t>
      </w:r>
      <w:r>
        <w:rPr>
          <w:rFonts w:ascii="Calibri" w:hAnsi="Calibri"/>
          <w:sz w:val="21"/>
        </w:rPr>
        <w:t xml:space="preserve"> — page </w:t>
      </w:r>
      <w:r>
        <w:rPr>
          <w:rFonts w:ascii="Consolas" w:hAnsi="Consolas"/>
          <w:color w:val="1B3080"/>
          <w:sz w:val="20"/>
        </w:rPr>
        <w:t>/paiement/relancer</w:t>
      </w:r>
      <w:r>
        <w:rPr>
          <w:rFonts w:ascii="Calibri" w:hAnsi="Calibri"/>
          <w:sz w:val="21"/>
        </w:rPr>
        <w:t xml:space="preserve"> pour un règlement interrompu</w:t>
      </w:r>
    </w:p>
    <w:p w14:paraId="4B67CD62">
      <w:pPr>
        <w:pStyle w:val="3"/>
      </w:pPr>
      <w:r>
        <w:t>2.8  Espace personnel</w:t>
      </w:r>
    </w:p>
    <w:p w14:paraId="5C180F73">
      <w:pPr>
        <w:spacing w:after="120"/>
      </w:pPr>
      <w:r>
        <w:rPr>
          <w:rFonts w:ascii="Calibri" w:hAnsi="Calibri"/>
          <w:color w:val="5C6573"/>
          <w:sz w:val="19"/>
        </w:rPr>
        <w:t xml:space="preserve">Page </w:t>
      </w:r>
      <w:r>
        <w:rPr>
          <w:rFonts w:ascii="Consolas" w:hAnsi="Consolas"/>
          <w:color w:val="1B3080"/>
          <w:sz w:val="18"/>
        </w:rPr>
        <w:t>/mon-espace</w:t>
      </w:r>
      <w:r>
        <w:rPr>
          <w:rFonts w:ascii="Calibri" w:hAnsi="Calibri"/>
          <w:color w:val="5C6573"/>
          <w:sz w:val="19"/>
        </w:rPr>
        <w:t xml:space="preserve"> · deux jeux d'onglets, selon que la personne est inscrite ou non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9"/>
        <w:gridCol w:w="4649"/>
      </w:tblGrid>
      <w:tr w14:paraId="42370071">
        <w:trPr>
          <w:jc w:val="center"/>
        </w:trPr>
        <w:tc>
          <w:tcPr>
            <w:tcW w:w="4649" w:type="dxa"/>
            <w:shd w:val="clear" w:color="auto" w:fill="F2F4FA"/>
          </w:tcPr>
          <w:p w14:paraId="3C9E9AAB">
            <w:r>
              <w:rPr>
                <w:b/>
                <w:color w:val="1B3080"/>
                <w:sz w:val="17"/>
              </w:rPr>
              <w:t>Avant l'inscription — prospect</w:t>
            </w:r>
          </w:p>
        </w:tc>
        <w:tc>
          <w:tcPr>
            <w:tcW w:w="4649" w:type="dxa"/>
            <w:shd w:val="clear" w:color="auto" w:fill="F2F4FA"/>
          </w:tcPr>
          <w:p w14:paraId="6F38C687">
            <w:r>
              <w:rPr>
                <w:b/>
                <w:color w:val="1B3080"/>
                <w:sz w:val="17"/>
              </w:rPr>
              <w:t>Après l'inscription — apprenant</w:t>
            </w:r>
          </w:p>
        </w:tc>
      </w:tr>
      <w:tr w14:paraId="2EC327E6">
        <w:trPr>
          <w:jc w:val="center"/>
        </w:trPr>
        <w:tc>
          <w:tcPr>
            <w:tcW w:w="4649" w:type="dxa"/>
          </w:tcPr>
          <w:p w14:paraId="795CA2C1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Mon test de niveau</w:t>
            </w:r>
          </w:p>
        </w:tc>
        <w:tc>
          <w:tcPr>
            <w:tcW w:w="4649" w:type="dxa"/>
          </w:tcPr>
          <w:p w14:paraId="4DC849DF">
            <w:pPr>
              <w:spacing w:after="20"/>
            </w:pPr>
            <w:r>
              <w:rPr>
                <w:rFonts w:ascii="Calibri" w:hAnsi="Calibri"/>
                <w:sz w:val="18"/>
              </w:rPr>
              <w:t>Planning</w:t>
            </w:r>
          </w:p>
        </w:tc>
      </w:tr>
      <w:tr w14:paraId="4935BEB3">
        <w:trPr>
          <w:jc w:val="center"/>
        </w:trPr>
        <w:tc>
          <w:tcPr>
            <w:tcW w:w="4649" w:type="dxa"/>
          </w:tcPr>
          <w:p w14:paraId="1EB21D02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Conseillère &amp; Contact</w:t>
            </w:r>
          </w:p>
        </w:tc>
        <w:tc>
          <w:tcPr>
            <w:tcW w:w="4649" w:type="dxa"/>
          </w:tcPr>
          <w:p w14:paraId="54A5CE5F">
            <w:pPr>
              <w:spacing w:after="20"/>
            </w:pPr>
            <w:r>
              <w:rPr>
                <w:rFonts w:ascii="Calibri" w:hAnsi="Calibri"/>
                <w:sz w:val="18"/>
              </w:rPr>
              <w:t>Mes sessions</w:t>
            </w:r>
          </w:p>
        </w:tc>
      </w:tr>
      <w:tr w14:paraId="0795CF8E">
        <w:trPr>
          <w:jc w:val="center"/>
        </w:trPr>
        <w:tc>
          <w:tcPr>
            <w:tcW w:w="4649" w:type="dxa"/>
          </w:tcPr>
          <w:p w14:paraId="067DDD24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Catalogue formations</w:t>
            </w:r>
          </w:p>
        </w:tc>
        <w:tc>
          <w:tcPr>
            <w:tcW w:w="4649" w:type="dxa"/>
          </w:tcPr>
          <w:p w14:paraId="3EAE975F">
            <w:pPr>
              <w:spacing w:after="20"/>
            </w:pPr>
            <w:r>
              <w:rPr>
                <w:rFonts w:ascii="Calibri" w:hAnsi="Calibri"/>
                <w:sz w:val="18"/>
              </w:rPr>
              <w:t>Présences</w:t>
            </w:r>
          </w:p>
        </w:tc>
      </w:tr>
      <w:tr w14:paraId="19D1C62F">
        <w:trPr>
          <w:jc w:val="center"/>
        </w:trPr>
        <w:tc>
          <w:tcPr>
            <w:tcW w:w="4649" w:type="dxa"/>
          </w:tcPr>
          <w:p w14:paraId="25A4EEC7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Paiement</w:t>
            </w:r>
          </w:p>
        </w:tc>
        <w:tc>
          <w:tcPr>
            <w:tcW w:w="4649" w:type="dxa"/>
          </w:tcPr>
          <w:p w14:paraId="6BF5AF44">
            <w:pPr>
              <w:spacing w:after="20"/>
            </w:pPr>
            <w:r>
              <w:rPr>
                <w:rFonts w:ascii="Calibri" w:hAnsi="Calibri"/>
                <w:sz w:val="18"/>
              </w:rPr>
              <w:t>Ressources</w:t>
            </w:r>
          </w:p>
        </w:tc>
      </w:tr>
      <w:tr w14:paraId="79F3796D">
        <w:trPr>
          <w:jc w:val="center"/>
        </w:trPr>
        <w:tc>
          <w:tcPr>
            <w:tcW w:w="4649" w:type="dxa"/>
          </w:tcPr>
          <w:p w14:paraId="73332A6B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Mon profil</w:t>
            </w:r>
          </w:p>
        </w:tc>
        <w:tc>
          <w:tcPr>
            <w:tcW w:w="4649" w:type="dxa"/>
          </w:tcPr>
          <w:p w14:paraId="5D77FF92">
            <w:pPr>
              <w:spacing w:after="20"/>
            </w:pPr>
            <w:r>
              <w:rPr>
                <w:rFonts w:ascii="Calibri" w:hAnsi="Calibri"/>
                <w:sz w:val="18"/>
              </w:rPr>
              <w:t>Paiement</w:t>
            </w:r>
          </w:p>
        </w:tc>
      </w:tr>
      <w:tr w14:paraId="7E7D3DE8">
        <w:trPr>
          <w:jc w:val="center"/>
        </w:trPr>
        <w:tc>
          <w:tcPr>
            <w:tcW w:w="4649" w:type="dxa"/>
          </w:tcPr>
          <w:p w14:paraId="29540C18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Paramètres</w:t>
            </w:r>
          </w:p>
        </w:tc>
        <w:tc>
          <w:tcPr>
            <w:tcW w:w="4649" w:type="dxa"/>
          </w:tcPr>
          <w:p w14:paraId="2821E158">
            <w:pPr>
              <w:spacing w:after="20"/>
            </w:pPr>
            <w:r>
              <w:rPr>
                <w:rFonts w:ascii="Calibri" w:hAnsi="Calibri"/>
                <w:sz w:val="18"/>
              </w:rPr>
              <w:t>Mon coach</w:t>
            </w:r>
          </w:p>
        </w:tc>
      </w:tr>
    </w:tbl>
    <w:p w14:paraId="5BA55134">
      <w:pPr>
        <w:spacing w:after="120"/>
      </w:pPr>
    </w:p>
    <w:p w14:paraId="1DFD7F94">
      <w:pPr>
        <w:spacing w:after="160"/>
      </w:pPr>
      <w:r>
        <w:rPr>
          <w:rFonts w:ascii="Calibri" w:hAnsi="Calibri"/>
          <w:b w:val="0"/>
          <w:i w:val="0"/>
          <w:color w:val="5C6573"/>
          <w:sz w:val="20"/>
        </w:rPr>
        <w:t>L'espace permet aussi de changer sa photo de profil, de déposer un témoignage et de répondre au sondage « Comment nous avez-vous connu ? ».</w:t>
      </w:r>
    </w:p>
    <w:p w14:paraId="54180532">
      <w:pPr>
        <w:pStyle w:val="3"/>
      </w:pPr>
      <w:r>
        <w:t>2.9  Boutique</w:t>
      </w:r>
    </w:p>
    <w:p w14:paraId="2A78B40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Produits actifs</w:t>
      </w:r>
      <w:r>
        <w:rPr>
          <w:rFonts w:ascii="Calibri" w:hAnsi="Calibri"/>
          <w:sz w:val="21"/>
        </w:rPr>
        <w:t xml:space="preserve"> — lus depuis le back-office, avec filtres</w:t>
      </w:r>
    </w:p>
    <w:p w14:paraId="758B1A8E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Panier et favoris</w:t>
      </w:r>
      <w:r>
        <w:rPr>
          <w:rFonts w:ascii="Calibri" w:hAnsi="Calibri"/>
          <w:sz w:val="21"/>
        </w:rPr>
        <w:t xml:space="preserve"> — conservés pendant la visite</w:t>
      </w:r>
    </w:p>
    <w:p w14:paraId="6F73041E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Commande</w:t>
      </w:r>
      <w:r>
        <w:rPr>
          <w:rFonts w:ascii="Calibri" w:hAnsi="Calibri"/>
          <w:sz w:val="21"/>
        </w:rPr>
        <w:t xml:space="preserve"> — passage de commande et consultation de ses commandes</w:t>
      </w:r>
    </w:p>
    <w:p w14:paraId="74CDB4C0">
      <w:pPr>
        <w:pStyle w:val="3"/>
      </w:pPr>
      <w:r>
        <w:t>2.10  Formulaire de campagne</w:t>
      </w:r>
    </w:p>
    <w:p w14:paraId="3AF798E0">
      <w:pPr>
        <w:spacing w:after="120"/>
      </w:pPr>
      <w:r>
        <w:rPr>
          <w:rFonts w:ascii="Calibri" w:hAnsi="Calibri"/>
          <w:color w:val="5C6573"/>
          <w:sz w:val="19"/>
        </w:rPr>
        <w:t xml:space="preserve">Page </w:t>
      </w:r>
      <w:r>
        <w:rPr>
          <w:rFonts w:ascii="Consolas" w:hAnsi="Consolas"/>
          <w:color w:val="1B3080"/>
          <w:sz w:val="18"/>
        </w:rPr>
        <w:t>/f/:slug</w:t>
      </w:r>
      <w:r>
        <w:rPr>
          <w:rFonts w:ascii="Calibri" w:hAnsi="Calibri"/>
          <w:color w:val="5C6573"/>
          <w:sz w:val="19"/>
        </w:rPr>
        <w:t xml:space="preserve"> — celle qu'ouvre un QR code imprimé</w:t>
      </w:r>
    </w:p>
    <w:p w14:paraId="13837D06">
      <w:pPr>
        <w:spacing w:after="160"/>
        <w:rPr>
          <w:rFonts w:ascii="Calibri" w:hAnsi="Calibri"/>
          <w:b w:val="0"/>
          <w:i w:val="0"/>
          <w:sz w:val="21"/>
        </w:rPr>
      </w:pPr>
      <w:r>
        <w:rPr>
          <w:rFonts w:ascii="Calibri" w:hAnsi="Calibri"/>
          <w:b w:val="0"/>
          <w:i w:val="0"/>
          <w:sz w:val="21"/>
        </w:rPr>
        <w:t>Chaque campagne a son adresse courte et son formulaire propre, défini côté back-office : bannière, illustration, questions. Les réponses alimentent ensuite les campagnes de courriel et de diffusion WhatsApp.</w:t>
      </w:r>
    </w:p>
    <w:p w14:paraId="3B96DFAF">
      <w:pPr>
        <w:spacing w:after="160"/>
      </w:pPr>
      <w:r>
        <w:t>3. Fonctionnalités transverses</w:t>
      </w:r>
    </w:p>
    <w:p w14:paraId="737C4C1D">
      <w:pPr>
        <w:spacing w:after="160"/>
      </w:pPr>
      <w:r>
        <w:rPr>
          <w:rFonts w:ascii="Calibri" w:hAnsi="Calibri"/>
          <w:b w:val="0"/>
          <w:i w:val="0"/>
          <w:color w:val="5C6573"/>
          <w:sz w:val="21"/>
        </w:rPr>
        <w:t>Présentes sur toutes les pages, indépendamment du parcours.</w:t>
      </w:r>
    </w:p>
    <w:p w14:paraId="7346913C">
      <w:pPr>
        <w:pStyle w:val="4"/>
      </w:pPr>
      <w:r>
        <w:t>Navigation et comptes</w:t>
      </w:r>
    </w:p>
    <w:p w14:paraId="27A6FE72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Barre de navigation</w:t>
      </w:r>
      <w:r>
        <w:rPr>
          <w:rFonts w:ascii="Calibri" w:hAnsi="Calibri"/>
          <w:sz w:val="21"/>
        </w:rPr>
        <w:t xml:space="preserve"> — Accueil, Apprenez l'anglais, Certifications, Centres physiques, BET for Business, Boutique, FAQ, Contact, Mon espace. C'est elle qui héberge les quatre fenêtres d'inscription.</w:t>
      </w:r>
    </w:p>
    <w:p w14:paraId="59E10051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Recherche</w:t>
      </w:r>
      <w:r>
        <w:rPr>
          <w:rFonts w:ascii="Calibri" w:hAnsi="Calibri"/>
          <w:sz w:val="21"/>
        </w:rPr>
        <w:t xml:space="preserve"> dans le catalogue, depuis la barre</w:t>
      </w:r>
    </w:p>
    <w:p w14:paraId="7484493C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Connexion</w:t>
      </w:r>
      <w:r>
        <w:rPr>
          <w:rFonts w:ascii="Calibri" w:hAnsi="Calibri"/>
          <w:sz w:val="21"/>
        </w:rPr>
        <w:t xml:space="preserve"> — mot de passe ou </w:t>
      </w:r>
      <w:r>
        <w:rPr>
          <w:rFonts w:ascii="Calibri" w:hAnsi="Calibri"/>
          <w:b/>
          <w:sz w:val="21"/>
        </w:rPr>
        <w:t>compte Google</w:t>
      </w:r>
      <w:r>
        <w:rPr>
          <w:rFonts w:ascii="Calibri" w:hAnsi="Calibri"/>
          <w:sz w:val="21"/>
        </w:rPr>
        <w:t xml:space="preserve"> ; mot de passe oublié et renouvellement par courriel</w:t>
      </w:r>
    </w:p>
    <w:p w14:paraId="1C7350A9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Bandeau de session active</w:t>
      </w:r>
      <w:r>
        <w:rPr>
          <w:rFonts w:ascii="Calibri" w:hAnsi="Calibri"/>
          <w:sz w:val="21"/>
        </w:rPr>
        <w:t xml:space="preserve"> — signale une session déjà ouverte</w:t>
      </w:r>
    </w:p>
    <w:p w14:paraId="13121A31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Bilingue</w:t>
      </w:r>
      <w:r>
        <w:rPr>
          <w:rFonts w:ascii="Calibri" w:hAnsi="Calibri"/>
          <w:sz w:val="21"/>
        </w:rPr>
        <w:t xml:space="preserve"> — français et anglais, bascule depuis la barre</w:t>
      </w:r>
    </w:p>
    <w:p w14:paraId="2A3C8E79">
      <w:pPr>
        <w:pStyle w:val="4"/>
      </w:pPr>
      <w:r>
        <w:t>Contact et conversation</w:t>
      </w:r>
    </w:p>
    <w:p w14:paraId="76C3EA19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Chat avec son assistante</w:t>
      </w:r>
      <w:r>
        <w:rPr>
          <w:rFonts w:ascii="Calibri" w:hAnsi="Calibri"/>
          <w:sz w:val="21"/>
        </w:rPr>
        <w:t xml:space="preserve"> — bouton flottant portant </w:t>
      </w:r>
      <w:r>
        <w:rPr>
          <w:rFonts w:ascii="Calibri" w:hAnsi="Calibri"/>
          <w:i/>
          <w:color w:val="5C6573"/>
          <w:sz w:val="21"/>
        </w:rPr>
        <w:t>la photo de l'assistante attitrée</w:t>
      </w:r>
      <w:r>
        <w:rPr>
          <w:rFonts w:ascii="Calibri" w:hAnsi="Calibri"/>
          <w:sz w:val="21"/>
        </w:rPr>
        <w:t>. Messages en temps réel, signal sonore à la réception. Le conseiller retrouve la même conversation depuis son tableau de bord.</w:t>
      </w:r>
    </w:p>
    <w:p w14:paraId="769E9748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Bouton WhatsApp</w:t>
      </w:r>
      <w:r>
        <w:rPr>
          <w:rFonts w:ascii="Calibri" w:hAnsi="Calibri"/>
          <w:sz w:val="21"/>
        </w:rPr>
        <w:t xml:space="preserve"> — numéros lus depuis la configuration serveur, jamais écrits en dur</w:t>
      </w:r>
    </w:p>
    <w:p w14:paraId="0B14ADA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Liens cliquables</w:t>
      </w:r>
      <w:r>
        <w:rPr>
          <w:rFonts w:ascii="Calibri" w:hAnsi="Calibri"/>
          <w:sz w:val="21"/>
        </w:rPr>
        <w:t xml:space="preserve"> — les adresses saisies dans un message le deviennent automatiquement</w:t>
      </w:r>
    </w:p>
    <w:p w14:paraId="7CA2D4AD">
      <w:pPr>
        <w:pStyle w:val="4"/>
      </w:pPr>
      <w:r>
        <w:t>Commerce et promotions</w:t>
      </w:r>
    </w:p>
    <w:p w14:paraId="4D3BE1A6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Codes promo</w:t>
      </w:r>
      <w:r>
        <w:rPr>
          <w:rFonts w:ascii="Calibri" w:hAnsi="Calibri"/>
          <w:sz w:val="21"/>
        </w:rPr>
        <w:t xml:space="preserve"> — saisis et validés par le serveur sur les fiches de cours, les certifications et les parcours d'inscription</w:t>
      </w:r>
    </w:p>
    <w:p w14:paraId="5FBA0258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Bandeau de promotions</w:t>
      </w:r>
      <w:r>
        <w:rPr>
          <w:rFonts w:ascii="Calibri" w:hAnsi="Calibri"/>
          <w:sz w:val="21"/>
        </w:rPr>
        <w:t xml:space="preserve"> — promotions actives affichées automatiquement</w:t>
      </w:r>
    </w:p>
    <w:p w14:paraId="197557CE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Bandeau déroulant</w:t>
      </w:r>
      <w:r>
        <w:rPr>
          <w:rFonts w:ascii="Calibri" w:hAnsi="Calibri"/>
          <w:sz w:val="21"/>
        </w:rPr>
        <w:t xml:space="preserve"> et </w:t>
      </w:r>
      <w:r>
        <w:rPr>
          <w:rFonts w:ascii="Calibri" w:hAnsi="Calibri"/>
          <w:b/>
          <w:sz w:val="21"/>
        </w:rPr>
        <w:t>carrousel d'accueil</w:t>
      </w:r>
      <w:r>
        <w:rPr>
          <w:rFonts w:ascii="Calibri" w:hAnsi="Calibri"/>
          <w:sz w:val="21"/>
        </w:rPr>
        <w:t xml:space="preserve"> — administrables, avec une durée d'affichage réglable par photo</w:t>
      </w:r>
    </w:p>
    <w:p w14:paraId="6FF24F84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Catalogue PDF</w:t>
      </w:r>
      <w:r>
        <w:rPr>
          <w:rFonts w:ascii="Calibri" w:hAnsi="Calibri"/>
          <w:sz w:val="21"/>
        </w:rPr>
        <w:t xml:space="preserve"> — bandeau de téléchargement du catalogue BET</w:t>
      </w:r>
    </w:p>
    <w:p w14:paraId="447C4312">
      <w:pPr>
        <w:pStyle w:val="4"/>
      </w:pPr>
      <w:r>
        <w:t>Avis, contenus et newsletter</w:t>
      </w:r>
    </w:p>
    <w:p w14:paraId="41CD8342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Avis</w:t>
      </w:r>
      <w:r>
        <w:rPr>
          <w:rFonts w:ascii="Calibri" w:hAnsi="Calibri"/>
          <w:sz w:val="21"/>
        </w:rPr>
        <w:t xml:space="preserve"> — déposés et affichés sur les fiches de cours et de certification</w:t>
      </w:r>
    </w:p>
    <w:p w14:paraId="5FA1E847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Témoignages</w:t>
      </w:r>
      <w:r>
        <w:rPr>
          <w:rFonts w:ascii="Calibri" w:hAnsi="Calibri"/>
          <w:sz w:val="21"/>
        </w:rPr>
        <w:t xml:space="preserve"> — page dédiée avec filtres et recherche ; un apprenant en dépose depuis son espace</w:t>
      </w:r>
    </w:p>
    <w:p w14:paraId="294EAEFF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Blog</w:t>
      </w:r>
      <w:r>
        <w:rPr>
          <w:rFonts w:ascii="Calibri" w:hAnsi="Calibri"/>
          <w:sz w:val="21"/>
        </w:rPr>
        <w:t xml:space="preserve"> — articles administrés depuis le back-office</w:t>
      </w:r>
    </w:p>
    <w:p w14:paraId="3709DCCC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Photos d'équipe</w:t>
      </w:r>
      <w:r>
        <w:rPr>
          <w:rFonts w:ascii="Calibri" w:hAnsi="Calibri"/>
          <w:sz w:val="21"/>
        </w:rPr>
        <w:t xml:space="preserve"> — coachs et équipe administrative, défilement à vitesse réglable</w:t>
      </w:r>
    </w:p>
    <w:p w14:paraId="39ABB8A2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Newsletter</w:t>
      </w:r>
      <w:r>
        <w:rPr>
          <w:rFonts w:ascii="Calibri" w:hAnsi="Calibri"/>
          <w:sz w:val="21"/>
        </w:rPr>
        <w:t xml:space="preserve"> — inscription depuis le pied de page et depuis le blog. La désinscription, elle, </w:t>
      </w:r>
      <w:r>
        <w:rPr>
          <w:rFonts w:ascii="Calibri" w:hAnsi="Calibri"/>
          <w:i/>
          <w:color w:val="5C6573"/>
          <w:sz w:val="21"/>
        </w:rPr>
        <w:t>passe par le serveur et non par le site</w:t>
      </w:r>
      <w:r>
        <w:rPr>
          <w:rFonts w:ascii="Calibri" w:hAnsi="Calibri"/>
          <w:sz w:val="21"/>
        </w:rPr>
        <w:t xml:space="preserve"> : le lien doit fonctionner depuis un logiciel de messagerie.</w:t>
      </w:r>
    </w:p>
    <w:p w14:paraId="65036494">
      <w:pPr>
        <w:pStyle w:val="4"/>
      </w:pPr>
      <w:r>
        <w:t>Référencement et mesure d'audience</w:t>
      </w:r>
    </w:p>
    <w:p w14:paraId="23307715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Balises SEO</w:t>
      </w:r>
      <w:r>
        <w:rPr>
          <w:rFonts w:ascii="Calibri" w:hAnsi="Calibri"/>
          <w:sz w:val="21"/>
        </w:rPr>
        <w:t xml:space="preserve"> par page, et balisage </w:t>
      </w:r>
      <w:r>
        <w:rPr>
          <w:rFonts w:ascii="Consolas" w:hAnsi="Consolas"/>
          <w:color w:val="1B3080"/>
          <w:sz w:val="20"/>
        </w:rPr>
        <w:t>OrganizationSchema</w:t>
      </w:r>
      <w:r>
        <w:rPr>
          <w:rFonts w:ascii="Calibri" w:hAnsi="Calibri"/>
          <w:sz w:val="21"/>
        </w:rPr>
        <w:t xml:space="preserve"> pour les moteurs de recherche</w:t>
      </w:r>
    </w:p>
    <w:p w14:paraId="626B247B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Google Analytics 4</w:t>
      </w:r>
      <w:r>
        <w:rPr>
          <w:rFonts w:ascii="Calibri" w:hAnsi="Calibri"/>
          <w:sz w:val="21"/>
        </w:rPr>
        <w:t xml:space="preserve"> — treize événements suivis, dont </w:t>
      </w:r>
      <w:r>
        <w:rPr>
          <w:rFonts w:ascii="Consolas" w:hAnsi="Consolas"/>
          <w:color w:val="1B3080"/>
          <w:sz w:val="20"/>
        </w:rPr>
        <w:t>generate_lead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1B3080"/>
          <w:sz w:val="20"/>
        </w:rPr>
        <w:t>begin_checkout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1B3080"/>
          <w:sz w:val="20"/>
        </w:rPr>
        <w:t>purchase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1B3080"/>
          <w:sz w:val="20"/>
        </w:rPr>
        <w:t>test_niveau_commence</w:t>
      </w:r>
      <w:r>
        <w:rPr>
          <w:rFonts w:ascii="Calibri" w:hAnsi="Calibri"/>
          <w:sz w:val="21"/>
        </w:rPr>
        <w:t xml:space="preserve"> et </w:t>
      </w:r>
      <w:r>
        <w:rPr>
          <w:rFonts w:ascii="Consolas" w:hAnsi="Consolas"/>
          <w:color w:val="1B3080"/>
          <w:sz w:val="20"/>
        </w:rPr>
        <w:t>test_niveau_termine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1B3080"/>
          <w:sz w:val="20"/>
        </w:rPr>
        <w:t>contact_whatsapp</w:t>
      </w:r>
    </w:p>
    <w:p w14:paraId="0012A14F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Paramètres de campagne</w:t>
      </w:r>
      <w:r>
        <w:rPr>
          <w:rFonts w:ascii="Calibri" w:hAnsi="Calibri"/>
          <w:sz w:val="21"/>
        </w:rPr>
        <w:t xml:space="preserve"> — les UTM sont capturés à l'arrivée et conservés jusqu'à la conversion, pour savoir d'où vient réellement un inscrit</w:t>
      </w:r>
    </w:p>
    <w:p w14:paraId="04B543EB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Vues comptées côté serveur</w:t>
      </w:r>
      <w:r>
        <w:rPr>
          <w:rFonts w:ascii="Calibri" w:hAnsi="Calibri"/>
          <w:sz w:val="21"/>
        </w:rPr>
        <w:t xml:space="preserve"> — en plus de GA4, pour ne pas dépendre des bloqueurs</w:t>
      </w:r>
    </w:p>
    <w:p w14:paraId="2146F7D4">
      <w:pPr>
        <w:pStyle w:val="4"/>
      </w:pPr>
      <w:r>
        <w:t>Confort de navigation</w:t>
      </w:r>
    </w:p>
    <w:p w14:paraId="28459A8B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Écran d'accueil</w:t>
      </w:r>
      <w:r>
        <w:rPr>
          <w:rFonts w:ascii="Calibri" w:hAnsi="Calibri"/>
          <w:sz w:val="21"/>
        </w:rPr>
        <w:t xml:space="preserve"> au chargement, en fondu</w:t>
      </w:r>
    </w:p>
    <w:p w14:paraId="03306B1E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Remontée en haut de page</w:t>
      </w:r>
      <w:r>
        <w:rPr>
          <w:rFonts w:ascii="Calibri" w:hAnsi="Calibri"/>
          <w:sz w:val="21"/>
        </w:rPr>
        <w:t xml:space="preserve"> à chaque changement d'écran</w:t>
      </w:r>
    </w:p>
    <w:p w14:paraId="2F55E7D2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Chargement différé</w:t>
      </w:r>
      <w:r>
        <w:rPr>
          <w:rFonts w:ascii="Calibri" w:hAnsi="Calibri"/>
          <w:sz w:val="21"/>
        </w:rPr>
        <w:t xml:space="preserve"> des pages — seule celle qu'on regarde est téléchargée</w:t>
      </w:r>
    </w:p>
    <w:p w14:paraId="09FD55D9">
      <w:pPr>
        <w:pStyle w:val="23"/>
        <w:spacing w:after="40"/>
        <w:ind w:left="454"/>
      </w:pPr>
      <w:r>
        <w:rPr>
          <w:rFonts w:ascii="Calibri" w:hAnsi="Calibri"/>
          <w:b/>
          <w:sz w:val="21"/>
        </w:rPr>
        <w:t>Notifications</w:t>
      </w:r>
      <w:r>
        <w:rPr>
          <w:rFonts w:ascii="Calibri" w:hAnsi="Calibri"/>
          <w:sz w:val="21"/>
        </w:rPr>
        <w:t xml:space="preserve"> — messages de confirmation et d'erreur en haut à droite</w:t>
      </w:r>
    </w:p>
    <w:p w14:paraId="49BE7DB8">
      <w:pPr>
        <w:pStyle w:val="2"/>
      </w:pPr>
      <w:r>
        <w:t>4. Le catalogue présenté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46972363">
        <w:trPr>
          <w:jc w:val="center"/>
        </w:trPr>
        <w:tc>
          <w:tcPr>
            <w:tcW w:w="2551" w:type="dxa"/>
            <w:shd w:val="clear" w:color="auto" w:fill="F2F4FA"/>
          </w:tcPr>
          <w:p w14:paraId="7F3A0888">
            <w:r>
              <w:rPr>
                <w:b/>
                <w:color w:val="1B3080"/>
                <w:sz w:val="17"/>
              </w:rPr>
              <w:t>Famille</w:t>
            </w:r>
          </w:p>
        </w:tc>
        <w:tc>
          <w:tcPr>
            <w:tcW w:w="6803" w:type="dxa"/>
            <w:shd w:val="clear" w:color="auto" w:fill="F2F4FA"/>
          </w:tcPr>
          <w:p w14:paraId="098118ED">
            <w:r>
              <w:rPr>
                <w:b/>
                <w:color w:val="1B3080"/>
                <w:sz w:val="17"/>
              </w:rPr>
              <w:t>Contenu</w:t>
            </w:r>
          </w:p>
        </w:tc>
      </w:tr>
      <w:tr w14:paraId="38F7786F">
        <w:trPr>
          <w:jc w:val="center"/>
        </w:trPr>
        <w:tc>
          <w:tcPr>
            <w:tcW w:w="2551" w:type="dxa"/>
          </w:tcPr>
          <w:p w14:paraId="0DC2EDBC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Formats de cours</w:t>
            </w:r>
          </w:p>
        </w:tc>
        <w:tc>
          <w:tcPr>
            <w:tcW w:w="6803" w:type="dxa"/>
          </w:tcPr>
          <w:p w14:paraId="29F84733">
            <w:pPr>
              <w:spacing w:after="20"/>
            </w:pPr>
            <w:r>
              <w:rPr>
                <w:rFonts w:ascii="Calibri" w:hAnsi="Calibri"/>
                <w:sz w:val="18"/>
              </w:rPr>
              <w:t>Cours en ligne · Cours aux cabinets · Cours à domicile</w:t>
            </w:r>
          </w:p>
        </w:tc>
      </w:tr>
      <w:tr w14:paraId="4180AAFB">
        <w:trPr>
          <w:jc w:val="center"/>
        </w:trPr>
        <w:tc>
          <w:tcPr>
            <w:tcW w:w="2551" w:type="dxa"/>
          </w:tcPr>
          <w:p w14:paraId="47416CE2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Certifications</w:t>
            </w:r>
          </w:p>
        </w:tc>
        <w:tc>
          <w:tcPr>
            <w:tcW w:w="6803" w:type="dxa"/>
          </w:tcPr>
          <w:p w14:paraId="0C9E0775">
            <w:pPr>
              <w:spacing w:after="20"/>
            </w:pPr>
            <w:r>
              <w:rPr>
                <w:rFonts w:ascii="Calibri" w:hAnsi="Calibri"/>
                <w:sz w:val="18"/>
              </w:rPr>
              <w:t>TOEIC · TOEFL · IELTS</w:t>
            </w:r>
          </w:p>
        </w:tc>
      </w:tr>
      <w:tr w14:paraId="19404A81">
        <w:trPr>
          <w:jc w:val="center"/>
        </w:trPr>
        <w:tc>
          <w:tcPr>
            <w:tcW w:w="2551" w:type="dxa"/>
          </w:tcPr>
          <w:p w14:paraId="75224702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Centres</w:t>
            </w:r>
          </w:p>
        </w:tc>
        <w:tc>
          <w:tcPr>
            <w:tcW w:w="6803" w:type="dxa"/>
          </w:tcPr>
          <w:p w14:paraId="7B7ACFF7">
            <w:pPr>
              <w:spacing w:after="20"/>
            </w:pPr>
            <w:r>
              <w:rPr>
                <w:rFonts w:ascii="Calibri" w:hAnsi="Calibri"/>
                <w:sz w:val="18"/>
              </w:rPr>
              <w:t>BET Bouaké · Angré · Abatta · Yopougon · Koumassi · II Plateaux</w:t>
            </w:r>
          </w:p>
        </w:tc>
      </w:tr>
      <w:tr w14:paraId="0E80151E">
        <w:trPr>
          <w:jc w:val="center"/>
        </w:trPr>
        <w:tc>
          <w:tcPr>
            <w:tcW w:w="2551" w:type="dxa"/>
          </w:tcPr>
          <w:p w14:paraId="26C957F7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Services</w:t>
            </w:r>
          </w:p>
        </w:tc>
        <w:tc>
          <w:tcPr>
            <w:tcW w:w="6803" w:type="dxa"/>
          </w:tcPr>
          <w:p w14:paraId="7C81497E">
            <w:pPr>
              <w:spacing w:after="20"/>
            </w:pPr>
            <w:r>
              <w:rPr>
                <w:rFonts w:ascii="Calibri" w:hAnsi="Calibri"/>
                <w:sz w:val="18"/>
              </w:rPr>
              <w:t>Séjour linguistique · Préparation d'interviews · Plateforme des natifs · Interprétariat</w:t>
            </w:r>
          </w:p>
        </w:tc>
      </w:tr>
    </w:tbl>
    <w:p w14:paraId="1DEB8113">
      <w:pPr>
        <w:spacing w:after="120"/>
      </w:pP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5A8BF14B">
        <w:trPr>
          <w:jc w:val="center"/>
        </w:trPr>
        <w:tc>
          <w:tcPr>
            <w:tcW w:w="9638" w:type="dxa"/>
            <w:tcBorders>
              <w:top w:val="single" w:color="E4E1D9" w:sz="4" w:space="0"/>
              <w:left w:val="single" w:color="0891B2" w:sz="18" w:space="0"/>
              <w:bottom w:val="single" w:color="E4E1D9" w:sz="4" w:space="0"/>
              <w:right w:val="single" w:color="E4E1D9" w:sz="4" w:space="0"/>
            </w:tcBorders>
            <w:shd w:val="clear" w:color="auto" w:fill="F4F6FB"/>
          </w:tcPr>
          <w:p w14:paraId="7D3EE059">
            <w:pPr>
              <w:spacing w:after="60"/>
            </w:pPr>
          </w:p>
        </w:tc>
      </w:tr>
    </w:tbl>
    <w:p w14:paraId="4B5E52F1">
      <w:pPr>
        <w:spacing w:after="120"/>
      </w:pPr>
    </w:p>
    <w:p w14:paraId="23D86B58">
      <w:pPr>
        <w:pStyle w:val="2"/>
      </w:pPr>
      <w:r>
        <w:t>5. Services extérieurs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087"/>
      </w:tblGrid>
      <w:tr w14:paraId="2174D9F3">
        <w:trPr>
          <w:jc w:val="center"/>
        </w:trPr>
        <w:tc>
          <w:tcPr>
            <w:tcW w:w="2268" w:type="dxa"/>
            <w:shd w:val="clear" w:color="auto" w:fill="F2F4FA"/>
          </w:tcPr>
          <w:p w14:paraId="54CE7848">
            <w:r>
              <w:rPr>
                <w:b/>
                <w:color w:val="1B3080"/>
                <w:sz w:val="17"/>
              </w:rPr>
              <w:t>Service</w:t>
            </w:r>
          </w:p>
        </w:tc>
        <w:tc>
          <w:tcPr>
            <w:tcW w:w="7087" w:type="dxa"/>
            <w:shd w:val="clear" w:color="auto" w:fill="F2F4FA"/>
          </w:tcPr>
          <w:p w14:paraId="31DCAF2C">
            <w:r>
              <w:rPr>
                <w:b/>
                <w:color w:val="1B3080"/>
                <w:sz w:val="17"/>
              </w:rPr>
              <w:t>Ce qu'il assure sur le site public</w:t>
            </w:r>
          </w:p>
        </w:tc>
      </w:tr>
      <w:tr w14:paraId="15681C69">
        <w:trPr>
          <w:jc w:val="center"/>
        </w:trPr>
        <w:tc>
          <w:tcPr>
            <w:tcW w:w="2268" w:type="dxa"/>
          </w:tcPr>
          <w:p w14:paraId="4793F6F9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API BET</w:t>
            </w:r>
          </w:p>
        </w:tc>
        <w:tc>
          <w:tcPr>
            <w:tcW w:w="7087" w:type="dxa"/>
          </w:tcPr>
          <w:p w14:paraId="2720B2B3">
            <w:pPr>
              <w:spacing w:after="20"/>
            </w:pPr>
            <w:r>
              <w:rPr>
                <w:rFonts w:ascii="Calibri" w:hAnsi="Calibri"/>
                <w:sz w:val="18"/>
              </w:rPr>
              <w:t>Le serveur de la plateforme : 70 points d'entrée appelés depuis ce seul site</w:t>
            </w:r>
          </w:p>
        </w:tc>
      </w:tr>
      <w:tr w14:paraId="15639E99">
        <w:trPr>
          <w:jc w:val="center"/>
        </w:trPr>
        <w:tc>
          <w:tcPr>
            <w:tcW w:w="2268" w:type="dxa"/>
          </w:tcPr>
          <w:p w14:paraId="10810853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Supabase</w:t>
            </w:r>
          </w:p>
        </w:tc>
        <w:tc>
          <w:tcPr>
            <w:tcW w:w="7087" w:type="dxa"/>
          </w:tcPr>
          <w:p w14:paraId="30981F0C">
            <w:pPr>
              <w:spacing w:after="20"/>
            </w:pPr>
            <w:r>
              <w:rPr>
                <w:rFonts w:ascii="Calibri" w:hAnsi="Calibri"/>
                <w:sz w:val="18"/>
              </w:rPr>
              <w:t>Comptes et sessions : connexion par mot de passe, compte Google, renouvellement</w:t>
            </w:r>
          </w:p>
        </w:tc>
      </w:tr>
      <w:tr w14:paraId="56350BAC">
        <w:trPr>
          <w:jc w:val="center"/>
        </w:trPr>
        <w:tc>
          <w:tcPr>
            <w:tcW w:w="2268" w:type="dxa"/>
          </w:tcPr>
          <w:p w14:paraId="5E3768C4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Firebase</w:t>
            </w:r>
          </w:p>
        </w:tc>
        <w:tc>
          <w:tcPr>
            <w:tcW w:w="7087" w:type="dxa"/>
          </w:tcPr>
          <w:p w14:paraId="57C96EB2">
            <w:pPr>
              <w:spacing w:after="20"/>
            </w:pPr>
            <w:r>
              <w:rPr>
                <w:rFonts w:ascii="Calibri" w:hAnsi="Calibri"/>
                <w:sz w:val="18"/>
              </w:rPr>
              <w:t>La conversation en temps réel entre le prospect et son assistante</w:t>
            </w:r>
          </w:p>
        </w:tc>
      </w:tr>
      <w:tr w14:paraId="59BD8729">
        <w:trPr>
          <w:jc w:val="center"/>
        </w:trPr>
        <w:tc>
          <w:tcPr>
            <w:tcW w:w="2268" w:type="dxa"/>
          </w:tcPr>
          <w:p w14:paraId="14A49E5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TouchPoint</w:t>
            </w:r>
          </w:p>
        </w:tc>
        <w:tc>
          <w:tcPr>
            <w:tcW w:w="7087" w:type="dxa"/>
          </w:tcPr>
          <w:p w14:paraId="087A1F95">
            <w:pPr>
              <w:spacing w:after="20"/>
            </w:pPr>
            <w:r>
              <w:rPr>
                <w:rFonts w:ascii="Calibri" w:hAnsi="Calibri"/>
                <w:sz w:val="18"/>
              </w:rPr>
              <w:t>Paiement en ligne — mobile money et carte</w:t>
            </w:r>
          </w:p>
        </w:tc>
      </w:tr>
      <w:tr w14:paraId="32E292CA">
        <w:trPr>
          <w:jc w:val="center"/>
        </w:trPr>
        <w:tc>
          <w:tcPr>
            <w:tcW w:w="2268" w:type="dxa"/>
          </w:tcPr>
          <w:p w14:paraId="1F8C440D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Cloudinary</w:t>
            </w:r>
          </w:p>
        </w:tc>
        <w:tc>
          <w:tcPr>
            <w:tcW w:w="7087" w:type="dxa"/>
          </w:tcPr>
          <w:p w14:paraId="1EB827FA">
            <w:pPr>
              <w:spacing w:after="20"/>
            </w:pPr>
            <w:r>
              <w:rPr>
                <w:rFonts w:ascii="Calibri" w:hAnsi="Calibri"/>
                <w:sz w:val="18"/>
              </w:rPr>
              <w:t>Images, pièces jointes et enregistrements audio du test de niveau</w:t>
            </w:r>
          </w:p>
        </w:tc>
      </w:tr>
      <w:tr w14:paraId="218BFE96">
        <w:trPr>
          <w:jc w:val="center"/>
        </w:trPr>
        <w:tc>
          <w:tcPr>
            <w:tcW w:w="2268" w:type="dxa"/>
          </w:tcPr>
          <w:p w14:paraId="46B83CFC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Google Analytics 4</w:t>
            </w:r>
          </w:p>
        </w:tc>
        <w:tc>
          <w:tcPr>
            <w:tcW w:w="7087" w:type="dxa"/>
          </w:tcPr>
          <w:p w14:paraId="3B1870CB">
            <w:pPr>
              <w:spacing w:after="20"/>
            </w:pPr>
            <w:r>
              <w:rPr>
                <w:rFonts w:ascii="Calibri" w:hAnsi="Calibri"/>
                <w:sz w:val="18"/>
              </w:rPr>
              <w:t>Mesure d'audience et suivi du tunnel</w:t>
            </w:r>
          </w:p>
        </w:tc>
      </w:tr>
    </w:tbl>
    <w:p w14:paraId="1A44EEA6">
      <w:pPr>
        <w:spacing w:after="120"/>
      </w:pPr>
    </w:p>
    <w:p w14:paraId="44BA470D">
      <w:pPr>
        <w:spacing w:after="160"/>
      </w:pPr>
    </w:p>
    <w:sectPr>
      <w:footerReference r:id="rId5" w:type="default"/>
      <w:pgSz w:w="11906" w:h="16838"/>
      <w:pgMar w:top="1247" w:right="1134" w:bottom="124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04D6CC">
    <w:pPr>
      <w:pStyle w:val="18"/>
      <w:jc w:val="center"/>
    </w:pPr>
    <w:r>
      <w:rPr>
        <w:color w:val="8A93A1"/>
        <w:sz w:val="16"/>
      </w:rPr>
      <w:t xml:space="preserve">Inventaire du site public BET · 26 septembre 2026 · 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73C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Calibri" w:hAnsi="Calibri" w:eastAsia="Calibri" w:cstheme="minorBidi"/>
      <w:color w:val="12161D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40" w:after="100"/>
      <w:outlineLvl w:val="0"/>
    </w:pPr>
    <w:rPr>
      <w:rFonts w:asciiTheme="majorHAnsi" w:hAnsiTheme="majorHAnsi" w:eastAsiaTheme="majorEastAsia" w:cstheme="majorBidi"/>
      <w:b/>
      <w:bCs/>
      <w:color w:val="12161D"/>
      <w:sz w:val="34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80" w:after="100"/>
      <w:outlineLvl w:val="1"/>
    </w:pPr>
    <w:rPr>
      <w:rFonts w:asciiTheme="majorHAnsi" w:hAnsiTheme="majorHAnsi" w:eastAsiaTheme="majorEastAsia" w:cstheme="majorBidi"/>
      <w:b/>
      <w:bCs/>
      <w:color w:val="1B3080"/>
      <w:sz w:val="25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20" w:after="60"/>
      <w:outlineLvl w:val="2"/>
    </w:pPr>
    <w:rPr>
      <w:rFonts w:asciiTheme="majorHAnsi" w:hAnsiTheme="majorHAnsi" w:eastAsiaTheme="majorEastAsia" w:cstheme="majorBidi"/>
      <w:b/>
      <w:bCs/>
      <w:color w:val="12161D"/>
      <w:sz w:val="22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2161D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Binnie's English Training</dc:creator>
  <dc:description>generated by python-docx</dc:description>
  <cp:lastModifiedBy>fode doumbia</cp:lastModifiedBy>
  <dcterms:modified xsi:type="dcterms:W3CDTF">2026-09-26T16:35:29Z</dcterms:modified>
  <dc:subject>Pages, parcours et fonctionnalités — relevé du 26 septembre 2026</dc:subject>
  <dc:title>Inventaire du site public BET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0D69F9E326D6ABAE51F4B76A0531FBFE_42</vt:lpwstr>
  </property>
</Properties>
</file>