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i w:val="0"/>
          <w:color w:val="0891B2"/>
          <w:sz w:val="16"/>
        </w:rPr>
        <w:t>BINNIE'S ENGLISH TRAINING · SITE PUBLIC</w:t>
      </w:r>
    </w:p>
    <w:p>
      <w:pPr>
        <w:pStyle w:val="Title"/>
        <w:spacing w:after="80"/>
      </w:pPr>
      <w:r>
        <w:t>Inventaire du site public</w:t>
      </w:r>
    </w:p>
    <w:p>
      <w:pPr>
        <w:spacing w:after="120"/>
      </w:pPr>
      <w:r>
        <w:rPr>
          <w:rFonts w:ascii="Calibri" w:hAnsi="Calibri"/>
          <w:b w:val="0"/>
          <w:i w:val="0"/>
          <w:color w:val="5C6573"/>
          <w:sz w:val="22"/>
        </w:rPr>
        <w:t>Pages, parcours et fonctionnalités du site binniesenglish.net, relevés dans le code source de l'application Frontend.</w:t>
      </w:r>
    </w:p>
    <w:p>
      <w:pPr>
        <w:spacing w:after="320"/>
        <w:pBdr>
          <w:bottom w:val="single" w:sz="12" w:space="4" w:color="12161D"/>
        </w:pBdr>
      </w:pPr>
      <w:r>
        <w:rPr>
          <w:rFonts w:ascii="Consolas" w:hAnsi="Consolas"/>
          <w:b/>
          <w:i w:val="0"/>
          <w:color w:val="12161D"/>
          <w:sz w:val="19"/>
        </w:rPr>
        <w:t>Relevé du 26 septembre 2026  ·  application React  ·  64 fichiers  ·  29 785 lignes</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tcPr>
          <w:p>
            <w:pPr>
              <w:jc w:val="center"/>
            </w:pPr>
            <w:r>
              <w:rPr>
                <w:rFonts w:ascii="Consolas" w:hAnsi="Consolas"/>
                <w:b/>
                <w:color w:val="1B3080"/>
                <w:sz w:val="38"/>
              </w:rPr>
              <w:t>24</w:t>
            </w:r>
          </w:p>
        </w:tc>
        <w:tc>
          <w:tcPr>
            <w:tcW w:type="dxa" w:w="1928"/>
          </w:tcPr>
          <w:p>
            <w:pPr>
              <w:jc w:val="center"/>
            </w:pPr>
            <w:r>
              <w:rPr>
                <w:rFonts w:ascii="Consolas" w:hAnsi="Consolas"/>
                <w:b/>
                <w:color w:val="1B3080"/>
                <w:sz w:val="38"/>
              </w:rPr>
              <w:t>6</w:t>
            </w:r>
          </w:p>
        </w:tc>
        <w:tc>
          <w:tcPr>
            <w:tcW w:type="dxa" w:w="1928"/>
          </w:tcPr>
          <w:p>
            <w:pPr>
              <w:jc w:val="center"/>
            </w:pPr>
            <w:r>
              <w:rPr>
                <w:rFonts w:ascii="Consolas" w:hAnsi="Consolas"/>
                <w:b/>
                <w:color w:val="1B3080"/>
                <w:sz w:val="38"/>
              </w:rPr>
              <w:t>70</w:t>
            </w:r>
          </w:p>
        </w:tc>
        <w:tc>
          <w:tcPr>
            <w:tcW w:type="dxa" w:w="1928"/>
          </w:tcPr>
          <w:p>
            <w:pPr>
              <w:jc w:val="center"/>
            </w:pPr>
            <w:r>
              <w:rPr>
                <w:rFonts w:ascii="Consolas" w:hAnsi="Consolas"/>
                <w:b/>
                <w:color w:val="1B3080"/>
                <w:sz w:val="38"/>
              </w:rPr>
              <w:t>2</w:t>
            </w:r>
          </w:p>
        </w:tc>
        <w:tc>
          <w:tcPr>
            <w:tcW w:type="dxa" w:w="1928"/>
          </w:tcPr>
          <w:p>
            <w:pPr>
              <w:jc w:val="center"/>
            </w:pPr>
            <w:r>
              <w:rPr>
                <w:rFonts w:ascii="Consolas" w:hAnsi="Consolas"/>
                <w:b/>
                <w:color w:val="1B3080"/>
                <w:sz w:val="38"/>
              </w:rPr>
              <w:t>16</w:t>
            </w:r>
          </w:p>
        </w:tc>
      </w:tr>
      <w:tr>
        <w:tc>
          <w:tcPr>
            <w:tcW w:type="dxa" w:w="1928"/>
          </w:tcPr>
          <w:p>
            <w:pPr>
              <w:jc w:val="center"/>
            </w:pPr>
            <w:r>
              <w:rPr>
                <w:color w:val="5C6573"/>
                <w:sz w:val="17"/>
              </w:rPr>
              <w:t>pages publiques</w:t>
            </w:r>
          </w:p>
        </w:tc>
        <w:tc>
          <w:tcPr>
            <w:tcW w:type="dxa" w:w="1928"/>
          </w:tcPr>
          <w:p>
            <w:pPr>
              <w:jc w:val="center"/>
            </w:pPr>
            <w:r>
              <w:rPr>
                <w:color w:val="5C6573"/>
                <w:sz w:val="17"/>
              </w:rPr>
              <w:t>parcours guidés</w:t>
            </w:r>
          </w:p>
        </w:tc>
        <w:tc>
          <w:tcPr>
            <w:tcW w:type="dxa" w:w="1928"/>
          </w:tcPr>
          <w:p>
            <w:pPr>
              <w:jc w:val="center"/>
            </w:pPr>
            <w:r>
              <w:rPr>
                <w:color w:val="5C6573"/>
                <w:sz w:val="17"/>
              </w:rPr>
              <w:t>points d'API appelés</w:t>
            </w:r>
          </w:p>
        </w:tc>
        <w:tc>
          <w:tcPr>
            <w:tcW w:type="dxa" w:w="1928"/>
          </w:tcPr>
          <w:p>
            <w:pPr>
              <w:jc w:val="center"/>
            </w:pPr>
            <w:r>
              <w:rPr>
                <w:color w:val="5C6573"/>
                <w:sz w:val="17"/>
              </w:rPr>
              <w:t>langues</w:t>
            </w:r>
          </w:p>
        </w:tc>
        <w:tc>
          <w:tcPr>
            <w:tcW w:type="dxa" w:w="1928"/>
          </w:tcPr>
          <w:p>
            <w:pPr>
              <w:jc w:val="center"/>
            </w:pPr>
            <w:r>
              <w:rPr>
                <w:color w:val="5C6573"/>
                <w:sz w:val="17"/>
              </w:rPr>
              <w:t>formulaires</w:t>
            </w:r>
          </w:p>
        </w:tc>
      </w:tr>
    </w:tbl>
    <w:p>
      <w:pPr>
        <w:spacing w:after="160"/>
      </w:pPr>
    </w:p>
    <w:tbl>
      <w:tblPr>
        <w:tblW w:type="auto" w:w="0"/>
        <w:jc w:val="center"/>
        <w:tblLook w:firstColumn="1" w:firstRow="1" w:lastColumn="0" w:lastRow="0" w:noHBand="0" w:noVBand="1" w:val="04A0"/>
      </w:tblPr>
      <w:tblGrid>
        <w:gridCol w:w="9638"/>
      </w:tblGrid>
      <w:tr>
        <w:tc>
          <w:tcPr>
            <w:tcW w:type="dxa" w:w="9638"/>
            <w:shd w:val="clear" w:fill="ECF7FA"/>
            <w:tcBorders>
              <w:top w:val="single" w:sz="4" w:color="E4E1D9"/>
              <w:left w:val="single" w:sz="18" w:color="0891B2"/>
              <w:bottom w:val="single" w:sz="4" w:color="E4E1D9"/>
              <w:right w:val="single" w:sz="4" w:color="E4E1D9"/>
            </w:tcBorders>
          </w:tcPr>
          <w:p>
            <w:pPr>
              <w:spacing w:after="80"/>
            </w:pPr>
            <w:r>
              <w:rPr>
                <w:rFonts w:ascii="Georgia" w:hAnsi="Georgia"/>
                <w:b/>
                <w:sz w:val="22"/>
              </w:rPr>
              <w:t>Comment cet inventaire a été établi</w:t>
            </w:r>
          </w:p>
          <w:p>
            <w:pPr>
              <w:spacing w:after="60"/>
            </w:pPr>
            <w:r>
              <w:rPr>
                <w:color w:val="5C6573"/>
                <w:sz w:val="20"/>
              </w:rPr>
              <w:t>Il est relevé dans le code, pas en naviguant sur le site : la liste des pages vient du routeur de l'application, celle des fonctionnalités des appels que le code adresse au serveur. C'est donc l'inventaire de ce qui EXISTE — y compris des pages qu'aucun menu ne propose, et qui ne s'atteignent qu'en connaissant leur adresse.</w:t>
            </w:r>
          </w:p>
          <w:p>
            <w:pPr>
              <w:spacing w:after="60"/>
            </w:pPr>
            <w:r>
              <w:rPr>
                <w:color w:val="5C6573"/>
                <w:sz w:val="20"/>
              </w:rPr>
              <w:t>Ne sont pas couverts : les 16 tableaux de bord métier (application « dash »), la plateforme e-learning, et le serveur. Ce dernier est pourtant sollicité par 70 points d'entrée différents depuis ce seul site.</w:t>
            </w:r>
          </w:p>
        </w:tc>
      </w:tr>
    </w:tbl>
    <w:p>
      <w:pPr>
        <w:spacing w:after="120"/>
      </w:pPr>
    </w:p>
    <w:p>
      <w:pPr>
        <w:pStyle w:val="Heading1"/>
      </w:pPr>
      <w:r>
        <w:t>1. Les pages</w:t>
      </w:r>
    </w:p>
    <w:p>
      <w:pPr>
        <w:spacing w:after="160"/>
      </w:pPr>
      <w:r>
        <w:rPr>
          <w:rFonts w:ascii="Calibri" w:hAnsi="Calibri"/>
          <w:b w:val="0"/>
          <w:i w:val="0"/>
          <w:color w:val="5C6573"/>
          <w:sz w:val="21"/>
        </w:rPr>
        <w:t>Vingt-quatre adresses, dont neuf prennent un paramètre dans l'URL — une fiche de cours, un article, un centre. Le site n'a pas de page d'erreur : une adresse inconnue n'affiche rien.</w:t>
      </w:r>
    </w:p>
    <w:p>
      <w:pPr>
        <w:pStyle w:val="Heading2"/>
      </w:pPr>
      <w:r>
        <w:t>Pages de contenu</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fill="F2F4FA"/>
          </w:tcPr>
          <w:p>
            <w:r>
              <w:rPr>
                <w:b/>
                <w:color w:val="1B3080"/>
                <w:sz w:val="17"/>
              </w:rPr>
              <w:t>Adresse</w:t>
            </w:r>
          </w:p>
        </w:tc>
        <w:tc>
          <w:tcPr>
            <w:tcW w:type="dxa" w:w="2041"/>
            <w:shd w:val="clear" w:fill="F2F4FA"/>
          </w:tcPr>
          <w:p>
            <w:r>
              <w:rPr>
                <w:b/>
                <w:color w:val="1B3080"/>
                <w:sz w:val="17"/>
              </w:rPr>
              <w:t>Page</w:t>
            </w:r>
          </w:p>
        </w:tc>
        <w:tc>
          <w:tcPr>
            <w:tcW w:type="dxa" w:w="4932"/>
            <w:shd w:val="clear" w:fill="F2F4FA"/>
          </w:tcPr>
          <w:p>
            <w:r>
              <w:rPr>
                <w:b/>
                <w:color w:val="1B3080"/>
                <w:sz w:val="17"/>
              </w:rPr>
              <w:t>Ce qu'on y trouve</w:t>
            </w:r>
          </w:p>
        </w:tc>
      </w:tr>
      <w:tr>
        <w:tc>
          <w:tcPr>
            <w:tcW w:type="dxa" w:w="2381"/>
          </w:tcPr>
          <w:p>
            <w:pPr>
              <w:spacing w:after="20"/>
            </w:pPr>
            <w:r>
              <w:rPr>
                <w:rFonts w:ascii="Consolas" w:hAnsi="Consolas"/>
                <w:color w:val="1B3080"/>
                <w:sz w:val="17"/>
              </w:rPr>
              <w:t>/</w:t>
            </w:r>
          </w:p>
        </w:tc>
        <w:tc>
          <w:tcPr>
            <w:tcW w:type="dxa" w:w="2041"/>
          </w:tcPr>
          <w:p>
            <w:pPr>
              <w:spacing w:after="20"/>
            </w:pPr>
            <w:r>
              <w:rPr>
                <w:rFonts w:ascii="Calibri" w:hAnsi="Calibri"/>
                <w:sz w:val="18"/>
              </w:rPr>
              <w:t>Accueil</w:t>
            </w:r>
          </w:p>
        </w:tc>
        <w:tc>
          <w:tcPr>
            <w:tcW w:type="dxa" w:w="4932"/>
          </w:tcPr>
          <w:p>
            <w:pPr>
              <w:spacing w:after="20"/>
            </w:pPr>
            <w:r>
              <w:rPr>
                <w:rFonts w:ascii="Calibri" w:hAnsi="Calibri"/>
                <w:sz w:val="18"/>
              </w:rPr>
              <w:t>Carrousel administrable, programmes, coachs, équipe administrative, témoignages, blog, partenaires, bandeau catalogue PDF</w:t>
            </w:r>
          </w:p>
        </w:tc>
      </w:tr>
      <w:tr>
        <w:tc>
          <w:tcPr>
            <w:tcW w:type="dxa" w:w="2381"/>
          </w:tcPr>
          <w:p>
            <w:pPr>
              <w:spacing w:after="20"/>
            </w:pPr>
            <w:r>
              <w:rPr>
                <w:rFonts w:ascii="Consolas" w:hAnsi="Consolas"/>
                <w:color w:val="1B3080"/>
                <w:sz w:val="17"/>
              </w:rPr>
              <w:t>/about</w:t>
            </w:r>
          </w:p>
        </w:tc>
        <w:tc>
          <w:tcPr>
            <w:tcW w:type="dxa" w:w="2041"/>
          </w:tcPr>
          <w:p>
            <w:pPr>
              <w:spacing w:after="20"/>
            </w:pPr>
            <w:r>
              <w:rPr>
                <w:rFonts w:ascii="Calibri" w:hAnsi="Calibri"/>
                <w:sz w:val="18"/>
              </w:rPr>
              <w:t>À propos</w:t>
            </w:r>
          </w:p>
        </w:tc>
        <w:tc>
          <w:tcPr>
            <w:tcW w:type="dxa" w:w="4932"/>
          </w:tcPr>
          <w:p>
            <w:pPr>
              <w:spacing w:after="20"/>
            </w:pPr>
            <w:r>
              <w:rPr>
                <w:rFonts w:ascii="Calibri" w:hAnsi="Calibri"/>
                <w:sz w:val="18"/>
              </w:rPr>
              <w:t>Présentation de BET, histoire, chiffres, équipe</w:t>
            </w:r>
          </w:p>
        </w:tc>
      </w:tr>
      <w:tr>
        <w:tc>
          <w:tcPr>
            <w:tcW w:type="dxa" w:w="2381"/>
          </w:tcPr>
          <w:p>
            <w:pPr>
              <w:spacing w:after="20"/>
            </w:pPr>
            <w:r>
              <w:rPr>
                <w:rFonts w:ascii="Consolas" w:hAnsi="Consolas"/>
                <w:color w:val="1B3080"/>
                <w:sz w:val="17"/>
              </w:rPr>
              <w:t>/faq</w:t>
            </w:r>
          </w:p>
        </w:tc>
        <w:tc>
          <w:tcPr>
            <w:tcW w:type="dxa" w:w="2041"/>
          </w:tcPr>
          <w:p>
            <w:pPr>
              <w:spacing w:after="20"/>
            </w:pPr>
            <w:r>
              <w:rPr>
                <w:rFonts w:ascii="Calibri" w:hAnsi="Calibri"/>
                <w:sz w:val="18"/>
              </w:rPr>
              <w:t>FAQ</w:t>
            </w:r>
          </w:p>
        </w:tc>
        <w:tc>
          <w:tcPr>
            <w:tcW w:type="dxa" w:w="4932"/>
          </w:tcPr>
          <w:p>
            <w:pPr>
              <w:spacing w:after="20"/>
            </w:pPr>
            <w:r>
              <w:rPr>
                <w:rFonts w:ascii="Calibri" w:hAnsi="Calibri"/>
                <w:sz w:val="18"/>
              </w:rPr>
              <w:t>Questions administrables depuis le back-office, coordonnées de contact</w:t>
            </w:r>
          </w:p>
        </w:tc>
      </w:tr>
      <w:tr>
        <w:tc>
          <w:tcPr>
            <w:tcW w:type="dxa" w:w="2381"/>
          </w:tcPr>
          <w:p>
            <w:pPr>
              <w:spacing w:after="20"/>
            </w:pPr>
            <w:r>
              <w:rPr>
                <w:rFonts w:ascii="Consolas" w:hAnsi="Consolas"/>
                <w:color w:val="1B3080"/>
                <w:sz w:val="17"/>
              </w:rPr>
              <w:t>/contact</w:t>
            </w:r>
          </w:p>
        </w:tc>
        <w:tc>
          <w:tcPr>
            <w:tcW w:type="dxa" w:w="2041"/>
          </w:tcPr>
          <w:p>
            <w:pPr>
              <w:spacing w:after="20"/>
            </w:pPr>
            <w:r>
              <w:rPr>
                <w:rFonts w:ascii="Calibri" w:hAnsi="Calibri"/>
                <w:sz w:val="18"/>
              </w:rPr>
              <w:t>Contact</w:t>
            </w:r>
          </w:p>
        </w:tc>
        <w:tc>
          <w:tcPr>
            <w:tcW w:type="dxa" w:w="4932"/>
          </w:tcPr>
          <w:p>
            <w:pPr>
              <w:spacing w:after="20"/>
            </w:pPr>
            <w:r>
              <w:rPr>
                <w:rFonts w:ascii="Calibri" w:hAnsi="Calibri"/>
                <w:sz w:val="18"/>
              </w:rPr>
              <w:t>Formulaire de contact, coordonnées et numéros WhatsApp lus depuis la configuration serveur</w:t>
            </w:r>
          </w:p>
        </w:tc>
      </w:tr>
      <w:tr>
        <w:tc>
          <w:tcPr>
            <w:tcW w:type="dxa" w:w="2381"/>
          </w:tcPr>
          <w:p>
            <w:pPr>
              <w:spacing w:after="20"/>
            </w:pPr>
            <w:r>
              <w:rPr>
                <w:rFonts w:ascii="Consolas" w:hAnsi="Consolas"/>
                <w:color w:val="1B3080"/>
                <w:sz w:val="17"/>
              </w:rPr>
              <w:t>/temoignages</w:t>
            </w:r>
          </w:p>
        </w:tc>
        <w:tc>
          <w:tcPr>
            <w:tcW w:type="dxa" w:w="2041"/>
          </w:tcPr>
          <w:p>
            <w:pPr>
              <w:spacing w:after="20"/>
            </w:pPr>
            <w:r>
              <w:rPr>
                <w:rFonts w:ascii="Calibri" w:hAnsi="Calibri"/>
                <w:sz w:val="18"/>
              </w:rPr>
              <w:t>Témoignages</w:t>
            </w:r>
          </w:p>
        </w:tc>
        <w:tc>
          <w:tcPr>
            <w:tcW w:type="dxa" w:w="4932"/>
          </w:tcPr>
          <w:p>
            <w:pPr>
              <w:spacing w:after="20"/>
            </w:pPr>
            <w:r>
              <w:rPr>
                <w:rFonts w:ascii="Calibri" w:hAnsi="Calibri"/>
                <w:sz w:val="18"/>
              </w:rPr>
              <w:t>Avis publiés, filtres et recherche</w:t>
            </w:r>
          </w:p>
        </w:tc>
      </w:tr>
      <w:tr>
        <w:tc>
          <w:tcPr>
            <w:tcW w:type="dxa" w:w="2381"/>
          </w:tcPr>
          <w:p>
            <w:pPr>
              <w:spacing w:after="20"/>
            </w:pPr>
            <w:r>
              <w:rPr>
                <w:rFonts w:ascii="Consolas" w:hAnsi="Consolas"/>
                <w:color w:val="1B3080"/>
                <w:sz w:val="17"/>
              </w:rPr>
              <w:t>/blog</w:t>
            </w:r>
          </w:p>
        </w:tc>
        <w:tc>
          <w:tcPr>
            <w:tcW w:type="dxa" w:w="2041"/>
          </w:tcPr>
          <w:p>
            <w:pPr>
              <w:spacing w:after="20"/>
            </w:pPr>
            <w:r>
              <w:rPr>
                <w:rFonts w:ascii="Calibri" w:hAnsi="Calibri"/>
                <w:sz w:val="18"/>
              </w:rPr>
              <w:t>Blog — liste</w:t>
            </w:r>
          </w:p>
        </w:tc>
        <w:tc>
          <w:tcPr>
            <w:tcW w:type="dxa" w:w="4932"/>
          </w:tcPr>
          <w:p>
            <w:pPr>
              <w:spacing w:after="20"/>
            </w:pPr>
            <w:r>
              <w:rPr>
                <w:rFonts w:ascii="Calibri" w:hAnsi="Calibri"/>
                <w:sz w:val="18"/>
              </w:rPr>
              <w:t>Articles publiés depuis le back-office</w:t>
            </w:r>
          </w:p>
        </w:tc>
      </w:tr>
      <w:tr>
        <w:tc>
          <w:tcPr>
            <w:tcW w:type="dxa" w:w="2381"/>
          </w:tcPr>
          <w:p>
            <w:pPr>
              <w:spacing w:after="20"/>
            </w:pPr>
            <w:r>
              <w:rPr>
                <w:rFonts w:ascii="Consolas" w:hAnsi="Consolas"/>
                <w:color w:val="1B3080"/>
                <w:sz w:val="17"/>
              </w:rPr>
              <w:t>/blog/:id</w:t>
            </w:r>
          </w:p>
        </w:tc>
        <w:tc>
          <w:tcPr>
            <w:tcW w:type="dxa" w:w="2041"/>
          </w:tcPr>
          <w:p>
            <w:pPr>
              <w:spacing w:after="20"/>
            </w:pPr>
            <w:r>
              <w:rPr>
                <w:rFonts w:ascii="Calibri" w:hAnsi="Calibri"/>
                <w:sz w:val="18"/>
              </w:rPr>
              <w:t>Blog — article</w:t>
            </w:r>
          </w:p>
        </w:tc>
        <w:tc>
          <w:tcPr>
            <w:tcW w:type="dxa" w:w="4932"/>
          </w:tcPr>
          <w:p>
            <w:pPr>
              <w:spacing w:after="20"/>
            </w:pPr>
            <w:r>
              <w:rPr>
                <w:rFonts w:ascii="Calibri" w:hAnsi="Calibri"/>
                <w:sz w:val="18"/>
              </w:rPr>
              <w:t>Article complet</w:t>
            </w:r>
          </w:p>
        </w:tc>
      </w:tr>
      <w:tr>
        <w:tc>
          <w:tcPr>
            <w:tcW w:type="dxa" w:w="2381"/>
          </w:tcPr>
          <w:p>
            <w:pPr>
              <w:spacing w:after="20"/>
            </w:pPr>
            <w:r>
              <w:rPr>
                <w:rFonts w:ascii="Consolas" w:hAnsi="Consolas"/>
                <w:color w:val="1B3080"/>
                <w:sz w:val="17"/>
              </w:rPr>
              <w:t>/bet-for-business</w:t>
            </w:r>
          </w:p>
        </w:tc>
        <w:tc>
          <w:tcPr>
            <w:tcW w:type="dxa" w:w="2041"/>
          </w:tcPr>
          <w:p>
            <w:pPr>
              <w:spacing w:after="20"/>
            </w:pPr>
            <w:r>
              <w:rPr>
                <w:rFonts w:ascii="Calibri" w:hAnsi="Calibri"/>
                <w:sz w:val="18"/>
              </w:rPr>
              <w:t>BET for Business</w:t>
            </w:r>
          </w:p>
        </w:tc>
        <w:tc>
          <w:tcPr>
            <w:tcW w:type="dxa" w:w="4932"/>
          </w:tcPr>
          <w:p>
            <w:pPr>
              <w:spacing w:after="20"/>
            </w:pPr>
            <w:r>
              <w:rPr>
                <w:rFonts w:ascii="Calibri" w:hAnsi="Calibri"/>
                <w:sz w:val="18"/>
              </w:rPr>
              <w:t>Offre entreprise, clients publics, logos partenaires</w:t>
            </w:r>
          </w:p>
        </w:tc>
      </w:tr>
      <w:tr>
        <w:tc>
          <w:tcPr>
            <w:tcW w:type="dxa" w:w="2381"/>
          </w:tcPr>
          <w:p>
            <w:pPr>
              <w:spacing w:after="20"/>
            </w:pPr>
            <w:r>
              <w:rPr>
                <w:rFonts w:ascii="Consolas" w:hAnsi="Consolas"/>
                <w:color w:val="1B3080"/>
                <w:sz w:val="17"/>
              </w:rPr>
              <w:t>/boutique</w:t>
            </w:r>
          </w:p>
        </w:tc>
        <w:tc>
          <w:tcPr>
            <w:tcW w:type="dxa" w:w="2041"/>
          </w:tcPr>
          <w:p>
            <w:pPr>
              <w:spacing w:after="20"/>
            </w:pPr>
            <w:r>
              <w:rPr>
                <w:rFonts w:ascii="Calibri" w:hAnsi="Calibri"/>
                <w:sz w:val="18"/>
              </w:rPr>
              <w:t>Boutique</w:t>
            </w:r>
          </w:p>
        </w:tc>
        <w:tc>
          <w:tcPr>
            <w:tcW w:type="dxa" w:w="4932"/>
          </w:tcPr>
          <w:p>
            <w:pPr>
              <w:spacing w:after="20"/>
            </w:pPr>
            <w:r>
              <w:rPr>
                <w:rFonts w:ascii="Calibri" w:hAnsi="Calibri"/>
                <w:sz w:val="18"/>
              </w:rPr>
              <w:t>Produits actifs, panier, favoris, commandes</w:t>
            </w:r>
          </w:p>
        </w:tc>
      </w:tr>
    </w:tbl>
    <w:p>
      <w:pPr>
        <w:spacing w:after="120"/>
      </w:pPr>
    </w:p>
    <w:p>
      <w:pPr>
        <w:pStyle w:val="Heading2"/>
      </w:pPr>
      <w:r>
        <w:t>Fiches du catalogue</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fill="F2F4FA"/>
          </w:tcPr>
          <w:p>
            <w:r>
              <w:rPr>
                <w:b/>
                <w:color w:val="1B3080"/>
                <w:sz w:val="17"/>
              </w:rPr>
              <w:t>Adresse</w:t>
            </w:r>
          </w:p>
        </w:tc>
        <w:tc>
          <w:tcPr>
            <w:tcW w:type="dxa" w:w="2041"/>
            <w:shd w:val="clear" w:fill="F2F4FA"/>
          </w:tcPr>
          <w:p>
            <w:r>
              <w:rPr>
                <w:b/>
                <w:color w:val="1B3080"/>
                <w:sz w:val="17"/>
              </w:rPr>
              <w:t>Page</w:t>
            </w:r>
          </w:p>
        </w:tc>
        <w:tc>
          <w:tcPr>
            <w:tcW w:type="dxa" w:w="4932"/>
            <w:shd w:val="clear" w:fill="F2F4FA"/>
          </w:tcPr>
          <w:p>
            <w:r>
              <w:rPr>
                <w:b/>
                <w:color w:val="1B3080"/>
                <w:sz w:val="17"/>
              </w:rPr>
              <w:t>Ce qu'on y trouve</w:t>
            </w:r>
          </w:p>
        </w:tc>
      </w:tr>
      <w:tr>
        <w:tc>
          <w:tcPr>
            <w:tcW w:type="dxa" w:w="2381"/>
          </w:tcPr>
          <w:p>
            <w:pPr>
              <w:spacing w:after="20"/>
            </w:pPr>
            <w:r>
              <w:rPr>
                <w:rFonts w:ascii="Consolas" w:hAnsi="Consolas"/>
                <w:color w:val="1B3080"/>
                <w:sz w:val="17"/>
              </w:rPr>
              <w:t>/cours/:type</w:t>
            </w:r>
          </w:p>
        </w:tc>
        <w:tc>
          <w:tcPr>
            <w:tcW w:type="dxa" w:w="2041"/>
          </w:tcPr>
          <w:p>
            <w:pPr>
              <w:spacing w:after="20"/>
            </w:pPr>
            <w:r>
              <w:rPr>
                <w:rFonts w:ascii="Calibri" w:hAnsi="Calibri"/>
                <w:sz w:val="18"/>
              </w:rPr>
              <w:t>Fiche format de cours</w:t>
            </w:r>
          </w:p>
        </w:tc>
        <w:tc>
          <w:tcPr>
            <w:tcW w:type="dxa" w:w="4932"/>
          </w:tcPr>
          <w:p>
            <w:pPr>
              <w:spacing w:after="20"/>
            </w:pPr>
            <w:r>
              <w:rPr>
                <w:rFonts w:ascii="Calibri" w:hAnsi="Calibri"/>
                <w:sz w:val="18"/>
              </w:rPr>
              <w:t>En ligne, en cabinet ou à domicile : contenu, formules, avis, codes promo, accès à l'inscription</w:t>
            </w:r>
          </w:p>
        </w:tc>
      </w:tr>
      <w:tr>
        <w:tc>
          <w:tcPr>
            <w:tcW w:type="dxa" w:w="2381"/>
          </w:tcPr>
          <w:p>
            <w:pPr>
              <w:spacing w:after="20"/>
            </w:pPr>
            <w:r>
              <w:rPr>
                <w:rFonts w:ascii="Consolas" w:hAnsi="Consolas"/>
                <w:color w:val="1B3080"/>
                <w:sz w:val="17"/>
              </w:rPr>
              <w:t>/certification/:certId</w:t>
            </w:r>
          </w:p>
        </w:tc>
        <w:tc>
          <w:tcPr>
            <w:tcW w:type="dxa" w:w="2041"/>
          </w:tcPr>
          <w:p>
            <w:pPr>
              <w:spacing w:after="20"/>
            </w:pPr>
            <w:r>
              <w:rPr>
                <w:rFonts w:ascii="Calibri" w:hAnsi="Calibri"/>
                <w:sz w:val="18"/>
              </w:rPr>
              <w:t>Fiche certification</w:t>
            </w:r>
          </w:p>
        </w:tc>
        <w:tc>
          <w:tcPr>
            <w:tcW w:type="dxa" w:w="4932"/>
          </w:tcPr>
          <w:p>
            <w:pPr>
              <w:spacing w:after="20"/>
            </w:pPr>
            <w:r>
              <w:rPr>
                <w:rFonts w:ascii="Calibri" w:hAnsi="Calibri"/>
                <w:sz w:val="18"/>
              </w:rPr>
              <w:t>TOEIC, TOEFL, IELTS : préparation, tarifs, avis, codes promo</w:t>
            </w:r>
          </w:p>
        </w:tc>
      </w:tr>
      <w:tr>
        <w:tc>
          <w:tcPr>
            <w:tcW w:type="dxa" w:w="2381"/>
          </w:tcPr>
          <w:p>
            <w:pPr>
              <w:spacing w:after="20"/>
            </w:pPr>
            <w:r>
              <w:rPr>
                <w:rFonts w:ascii="Consolas" w:hAnsi="Consolas"/>
                <w:color w:val="1B3080"/>
                <w:sz w:val="17"/>
              </w:rPr>
              <w:t>/centre/:centerId</w:t>
            </w:r>
          </w:p>
        </w:tc>
        <w:tc>
          <w:tcPr>
            <w:tcW w:type="dxa" w:w="2041"/>
          </w:tcPr>
          <w:p>
            <w:pPr>
              <w:spacing w:after="20"/>
            </w:pPr>
            <w:r>
              <w:rPr>
                <w:rFonts w:ascii="Calibri" w:hAnsi="Calibri"/>
                <w:sz w:val="18"/>
              </w:rPr>
              <w:t>Fiche centre</w:t>
            </w:r>
          </w:p>
        </w:tc>
        <w:tc>
          <w:tcPr>
            <w:tcW w:type="dxa" w:w="4932"/>
          </w:tcPr>
          <w:p>
            <w:pPr>
              <w:spacing w:after="20"/>
            </w:pPr>
            <w:r>
              <w:rPr>
                <w:rFonts w:ascii="Calibri" w:hAnsi="Calibri"/>
                <w:sz w:val="18"/>
              </w:rPr>
              <w:t>Bouaké, Angré, Abatta, Yopougon, Koumassi, II Plateaux</w:t>
            </w:r>
          </w:p>
        </w:tc>
      </w:tr>
      <w:tr>
        <w:tc>
          <w:tcPr>
            <w:tcW w:type="dxa" w:w="2381"/>
          </w:tcPr>
          <w:p>
            <w:pPr>
              <w:spacing w:after="20"/>
            </w:pPr>
            <w:r>
              <w:rPr>
                <w:rFonts w:ascii="Consolas" w:hAnsi="Consolas"/>
                <w:color w:val="1B3080"/>
                <w:sz w:val="17"/>
              </w:rPr>
              <w:t>/service/:serviceId</w:t>
            </w:r>
          </w:p>
        </w:tc>
        <w:tc>
          <w:tcPr>
            <w:tcW w:type="dxa" w:w="2041"/>
          </w:tcPr>
          <w:p>
            <w:pPr>
              <w:spacing w:after="20"/>
            </w:pPr>
            <w:r>
              <w:rPr>
                <w:rFonts w:ascii="Calibri" w:hAnsi="Calibri"/>
                <w:sz w:val="18"/>
              </w:rPr>
              <w:t>Fiche service</w:t>
            </w:r>
          </w:p>
        </w:tc>
        <w:tc>
          <w:tcPr>
            <w:tcW w:type="dxa" w:w="4932"/>
          </w:tcPr>
          <w:p>
            <w:pPr>
              <w:spacing w:after="20"/>
            </w:pPr>
            <w:r>
              <w:rPr>
                <w:rFonts w:ascii="Calibri" w:hAnsi="Calibri"/>
                <w:sz w:val="18"/>
              </w:rPr>
              <w:t>Séjour linguistique, préparation d'interviews, plateforme des natifs, interprétariat</w:t>
            </w:r>
          </w:p>
        </w:tc>
      </w:tr>
    </w:tbl>
    <w:p>
      <w:pPr>
        <w:spacing w:after="120"/>
      </w:pPr>
    </w:p>
    <w:p>
      <w:pPr>
        <w:pStyle w:val="Heading2"/>
      </w:pPr>
      <w:r>
        <w:t>Parcours, compte et paiement</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fill="F2F4FA"/>
          </w:tcPr>
          <w:p>
            <w:r>
              <w:rPr>
                <w:b/>
                <w:color w:val="1B3080"/>
                <w:sz w:val="17"/>
              </w:rPr>
              <w:t>Adresse</w:t>
            </w:r>
          </w:p>
        </w:tc>
        <w:tc>
          <w:tcPr>
            <w:tcW w:type="dxa" w:w="2041"/>
            <w:shd w:val="clear" w:fill="F2F4FA"/>
          </w:tcPr>
          <w:p>
            <w:r>
              <w:rPr>
                <w:b/>
                <w:color w:val="1B3080"/>
                <w:sz w:val="17"/>
              </w:rPr>
              <w:t>Page</w:t>
            </w:r>
          </w:p>
        </w:tc>
        <w:tc>
          <w:tcPr>
            <w:tcW w:type="dxa" w:w="4932"/>
            <w:shd w:val="clear" w:fill="F2F4FA"/>
          </w:tcPr>
          <w:p>
            <w:r>
              <w:rPr>
                <w:b/>
                <w:color w:val="1B3080"/>
                <w:sz w:val="17"/>
              </w:rPr>
              <w:t>Ce qu'on y trouve</w:t>
            </w:r>
          </w:p>
        </w:tc>
      </w:tr>
      <w:tr>
        <w:tc>
          <w:tcPr>
            <w:tcW w:type="dxa" w:w="2381"/>
          </w:tcPr>
          <w:p>
            <w:pPr>
              <w:spacing w:after="20"/>
            </w:pPr>
            <w:r>
              <w:rPr>
                <w:rFonts w:ascii="Consolas" w:hAnsi="Consolas"/>
                <w:color w:val="1B3080"/>
                <w:sz w:val="17"/>
              </w:rPr>
              <w:t>/parcours/particulier</w:t>
            </w:r>
          </w:p>
        </w:tc>
        <w:tc>
          <w:tcPr>
            <w:tcW w:type="dxa" w:w="2041"/>
          </w:tcPr>
          <w:p>
            <w:pPr>
              <w:spacing w:after="20"/>
            </w:pPr>
            <w:r>
              <w:rPr>
                <w:rFonts w:ascii="Calibri" w:hAnsi="Calibri"/>
                <w:sz w:val="18"/>
              </w:rPr>
              <w:t>Point d'entrée particulier</w:t>
            </w:r>
          </w:p>
        </w:tc>
        <w:tc>
          <w:tcPr>
            <w:tcW w:type="dxa" w:w="4932"/>
          </w:tcPr>
          <w:p>
            <w:pPr>
              <w:spacing w:after="20"/>
            </w:pPr>
            <w:r>
              <w:rPr>
                <w:rFonts w:ascii="Calibri" w:hAnsi="Calibri"/>
                <w:sz w:val="18"/>
              </w:rPr>
              <w:t>Orientation vers le bon parcours, dépôt d'un contact avant inscription complète</w:t>
            </w:r>
          </w:p>
        </w:tc>
      </w:tr>
      <w:tr>
        <w:tc>
          <w:tcPr>
            <w:tcW w:type="dxa" w:w="2381"/>
          </w:tcPr>
          <w:p>
            <w:pPr>
              <w:spacing w:after="20"/>
            </w:pPr>
            <w:r>
              <w:rPr>
                <w:rFonts w:ascii="Consolas" w:hAnsi="Consolas"/>
                <w:color w:val="1B3080"/>
                <w:sz w:val="17"/>
              </w:rPr>
              <w:t>/parcours/inscription</w:t>
            </w:r>
          </w:p>
        </w:tc>
        <w:tc>
          <w:tcPr>
            <w:tcW w:type="dxa" w:w="2041"/>
          </w:tcPr>
          <w:p>
            <w:pPr>
              <w:spacing w:after="20"/>
            </w:pPr>
            <w:r>
              <w:rPr>
                <w:rFonts w:ascii="Calibri" w:hAnsi="Calibri"/>
                <w:sz w:val="18"/>
              </w:rPr>
              <w:t>Tunnel d'inscription</w:t>
            </w:r>
          </w:p>
        </w:tc>
        <w:tc>
          <w:tcPr>
            <w:tcW w:type="dxa" w:w="4932"/>
          </w:tcPr>
          <w:p>
            <w:pPr>
              <w:spacing w:after="20"/>
            </w:pPr>
            <w:r>
              <w:rPr>
                <w:rFonts w:ascii="Calibri" w:hAnsi="Calibri"/>
                <w:sz w:val="18"/>
              </w:rPr>
              <w:t>Cinq étapes, du type de coaching aux coordonnées</w:t>
            </w:r>
          </w:p>
        </w:tc>
      </w:tr>
      <w:tr>
        <w:tc>
          <w:tcPr>
            <w:tcW w:type="dxa" w:w="2381"/>
          </w:tcPr>
          <w:p>
            <w:pPr>
              <w:spacing w:after="20"/>
            </w:pPr>
            <w:r>
              <w:rPr>
                <w:rFonts w:ascii="Consolas" w:hAnsi="Consolas"/>
                <w:color w:val="1B3080"/>
                <w:sz w:val="17"/>
              </w:rPr>
              <w:t>/test-niveau</w:t>
            </w:r>
          </w:p>
        </w:tc>
        <w:tc>
          <w:tcPr>
            <w:tcW w:type="dxa" w:w="2041"/>
          </w:tcPr>
          <w:p>
            <w:pPr>
              <w:spacing w:after="20"/>
            </w:pPr>
            <w:r>
              <w:rPr>
                <w:rFonts w:ascii="Calibri" w:hAnsi="Calibri"/>
                <w:sz w:val="18"/>
              </w:rPr>
              <w:t>Test de niveau gratuit</w:t>
            </w:r>
          </w:p>
        </w:tc>
        <w:tc>
          <w:tcPr>
            <w:tcW w:type="dxa" w:w="4932"/>
          </w:tcPr>
          <w:p>
            <w:pPr>
              <w:spacing w:after="20"/>
            </w:pPr>
            <w:r>
              <w:rPr>
                <w:rFonts w:ascii="Calibri" w:hAnsi="Calibri"/>
                <w:sz w:val="18"/>
              </w:rPr>
              <w:t>Le plus gros écran du site : questionnaire chronométré, épreuve orale enregistrée, résultat CECRL</w:t>
            </w:r>
          </w:p>
        </w:tc>
      </w:tr>
      <w:tr>
        <w:tc>
          <w:tcPr>
            <w:tcW w:type="dxa" w:w="2381"/>
          </w:tcPr>
          <w:p>
            <w:pPr>
              <w:spacing w:after="20"/>
            </w:pPr>
            <w:r>
              <w:rPr>
                <w:rFonts w:ascii="Consolas" w:hAnsi="Consolas"/>
                <w:color w:val="1B3080"/>
                <w:sz w:val="17"/>
              </w:rPr>
              <w:t>/mon-espace</w:t>
            </w:r>
          </w:p>
        </w:tc>
        <w:tc>
          <w:tcPr>
            <w:tcW w:type="dxa" w:w="2041"/>
          </w:tcPr>
          <w:p>
            <w:pPr>
              <w:spacing w:after="20"/>
            </w:pPr>
            <w:r>
              <w:rPr>
                <w:rFonts w:ascii="Calibri" w:hAnsi="Calibri"/>
                <w:sz w:val="18"/>
              </w:rPr>
              <w:t>Espace personnel</w:t>
            </w:r>
          </w:p>
        </w:tc>
        <w:tc>
          <w:tcPr>
            <w:tcW w:type="dxa" w:w="4932"/>
          </w:tcPr>
          <w:p>
            <w:pPr>
              <w:spacing w:after="20"/>
            </w:pPr>
            <w:r>
              <w:rPr>
                <w:rFonts w:ascii="Calibri" w:hAnsi="Calibri"/>
                <w:sz w:val="18"/>
              </w:rPr>
              <w:t>Deux visages : prospect avant inscription, apprenant après</w:t>
            </w:r>
          </w:p>
        </w:tc>
      </w:tr>
      <w:tr>
        <w:tc>
          <w:tcPr>
            <w:tcW w:type="dxa" w:w="2381"/>
          </w:tcPr>
          <w:p>
            <w:pPr>
              <w:spacing w:after="20"/>
            </w:pPr>
            <w:r>
              <w:rPr>
                <w:rFonts w:ascii="Consolas" w:hAnsi="Consolas"/>
                <w:color w:val="1B3080"/>
                <w:sz w:val="17"/>
              </w:rPr>
              <w:t>/connexion</w:t>
            </w:r>
          </w:p>
        </w:tc>
        <w:tc>
          <w:tcPr>
            <w:tcW w:type="dxa" w:w="2041"/>
          </w:tcPr>
          <w:p>
            <w:pPr>
              <w:spacing w:after="20"/>
            </w:pPr>
            <w:r>
              <w:rPr>
                <w:rFonts w:ascii="Calibri" w:hAnsi="Calibri"/>
                <w:sz w:val="18"/>
              </w:rPr>
              <w:t>Connexion</w:t>
            </w:r>
          </w:p>
        </w:tc>
        <w:tc>
          <w:tcPr>
            <w:tcW w:type="dxa" w:w="4932"/>
          </w:tcPr>
          <w:p>
            <w:pPr>
              <w:spacing w:after="20"/>
            </w:pPr>
            <w:r>
              <w:rPr>
                <w:rFonts w:ascii="Calibri" w:hAnsi="Calibri"/>
                <w:sz w:val="18"/>
              </w:rPr>
              <w:t>Mot de passe ou compte Google</w:t>
            </w:r>
          </w:p>
        </w:tc>
      </w:tr>
      <w:tr>
        <w:tc>
          <w:tcPr>
            <w:tcW w:type="dxa" w:w="2381"/>
          </w:tcPr>
          <w:p>
            <w:pPr>
              <w:spacing w:after="20"/>
            </w:pPr>
            <w:r>
              <w:rPr>
                <w:rFonts w:ascii="Consolas" w:hAnsi="Consolas"/>
                <w:color w:val="1B3080"/>
                <w:sz w:val="17"/>
              </w:rPr>
              <w:t>/update-password</w:t>
            </w:r>
          </w:p>
        </w:tc>
        <w:tc>
          <w:tcPr>
            <w:tcW w:type="dxa" w:w="2041"/>
          </w:tcPr>
          <w:p>
            <w:pPr>
              <w:spacing w:after="20"/>
            </w:pPr>
            <w:r>
              <w:rPr>
                <w:rFonts w:ascii="Calibri" w:hAnsi="Calibri"/>
                <w:sz w:val="18"/>
              </w:rPr>
              <w:t>Nouveau mot de passe</w:t>
            </w:r>
          </w:p>
        </w:tc>
        <w:tc>
          <w:tcPr>
            <w:tcW w:type="dxa" w:w="4932"/>
          </w:tcPr>
          <w:p>
            <w:pPr>
              <w:spacing w:after="20"/>
            </w:pPr>
            <w:r>
              <w:rPr>
                <w:rFonts w:ascii="Calibri" w:hAnsi="Calibri"/>
                <w:sz w:val="18"/>
              </w:rPr>
              <w:t>Atterrissage du lien reçu par courriel</w:t>
            </w:r>
          </w:p>
        </w:tc>
      </w:tr>
      <w:tr>
        <w:tc>
          <w:tcPr>
            <w:tcW w:type="dxa" w:w="2381"/>
          </w:tcPr>
          <w:p>
            <w:pPr>
              <w:spacing w:after="20"/>
            </w:pPr>
            <w:r>
              <w:rPr>
                <w:rFonts w:ascii="Consolas" w:hAnsi="Consolas"/>
                <w:color w:val="1B3080"/>
                <w:sz w:val="17"/>
              </w:rPr>
              <w:t>/paiement/retour</w:t>
            </w:r>
          </w:p>
        </w:tc>
        <w:tc>
          <w:tcPr>
            <w:tcW w:type="dxa" w:w="2041"/>
          </w:tcPr>
          <w:p>
            <w:pPr>
              <w:spacing w:after="20"/>
            </w:pPr>
            <w:r>
              <w:rPr>
                <w:rFonts w:ascii="Calibri" w:hAnsi="Calibri"/>
                <w:sz w:val="18"/>
              </w:rPr>
              <w:t>Retour de paiement</w:t>
            </w:r>
          </w:p>
        </w:tc>
        <w:tc>
          <w:tcPr>
            <w:tcW w:type="dxa" w:w="4932"/>
          </w:tcPr>
          <w:p>
            <w:pPr>
              <w:spacing w:after="20"/>
            </w:pPr>
            <w:r>
              <w:rPr>
                <w:rFonts w:ascii="Calibri" w:hAnsi="Calibri"/>
                <w:sz w:val="18"/>
              </w:rPr>
              <w:t>Résultat de la transaction, reçu téléchargeable en PDF</w:t>
            </w:r>
          </w:p>
        </w:tc>
      </w:tr>
      <w:tr>
        <w:tc>
          <w:tcPr>
            <w:tcW w:type="dxa" w:w="2381"/>
          </w:tcPr>
          <w:p>
            <w:pPr>
              <w:spacing w:after="20"/>
            </w:pPr>
            <w:r>
              <w:rPr>
                <w:rFonts w:ascii="Consolas" w:hAnsi="Consolas"/>
                <w:color w:val="1B3080"/>
                <w:sz w:val="17"/>
              </w:rPr>
              <w:t>/paiement/relancer</w:t>
            </w:r>
          </w:p>
        </w:tc>
        <w:tc>
          <w:tcPr>
            <w:tcW w:type="dxa" w:w="2041"/>
          </w:tcPr>
          <w:p>
            <w:pPr>
              <w:spacing w:after="20"/>
            </w:pPr>
            <w:r>
              <w:rPr>
                <w:rFonts w:ascii="Calibri" w:hAnsi="Calibri"/>
                <w:sz w:val="18"/>
              </w:rPr>
              <w:t>Relance de paiement</w:t>
            </w:r>
          </w:p>
        </w:tc>
        <w:tc>
          <w:tcPr>
            <w:tcW w:type="dxa" w:w="4932"/>
          </w:tcPr>
          <w:p>
            <w:pPr>
              <w:spacing w:after="20"/>
            </w:pPr>
            <w:r>
              <w:rPr>
                <w:rFonts w:ascii="Calibri" w:hAnsi="Calibri"/>
                <w:sz w:val="18"/>
              </w:rPr>
              <w:t>Reprise d'un paiement interrompu</w:t>
            </w:r>
          </w:p>
        </w:tc>
      </w:tr>
    </w:tbl>
    <w:p>
      <w:pPr>
        <w:spacing w:after="120"/>
      </w:pPr>
    </w:p>
    <w:p>
      <w:pPr>
        <w:pStyle w:val="Heading2"/>
      </w:pPr>
      <w:r>
        <w:t>Pages de campagne</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fill="F2F4FA"/>
          </w:tcPr>
          <w:p>
            <w:r>
              <w:rPr>
                <w:b/>
                <w:color w:val="1B3080"/>
                <w:sz w:val="17"/>
              </w:rPr>
              <w:t>Adresse</w:t>
            </w:r>
          </w:p>
        </w:tc>
        <w:tc>
          <w:tcPr>
            <w:tcW w:type="dxa" w:w="2041"/>
            <w:shd w:val="clear" w:fill="F2F4FA"/>
          </w:tcPr>
          <w:p>
            <w:r>
              <w:rPr>
                <w:b/>
                <w:color w:val="1B3080"/>
                <w:sz w:val="17"/>
              </w:rPr>
              <w:t>Page</w:t>
            </w:r>
          </w:p>
        </w:tc>
        <w:tc>
          <w:tcPr>
            <w:tcW w:type="dxa" w:w="4932"/>
            <w:shd w:val="clear" w:fill="F2F4FA"/>
          </w:tcPr>
          <w:p>
            <w:r>
              <w:rPr>
                <w:b/>
                <w:color w:val="1B3080"/>
                <w:sz w:val="17"/>
              </w:rPr>
              <w:t>Ce qu'on y trouve</w:t>
            </w:r>
          </w:p>
        </w:tc>
      </w:tr>
      <w:tr>
        <w:tc>
          <w:tcPr>
            <w:tcW w:type="dxa" w:w="2381"/>
          </w:tcPr>
          <w:p>
            <w:pPr>
              <w:spacing w:after="20"/>
            </w:pPr>
            <w:r>
              <w:rPr>
                <w:rFonts w:ascii="Consolas" w:hAnsi="Consolas"/>
                <w:color w:val="1B3080"/>
                <w:sz w:val="17"/>
              </w:rPr>
              <w:t>/f/:slug</w:t>
            </w:r>
          </w:p>
        </w:tc>
        <w:tc>
          <w:tcPr>
            <w:tcW w:type="dxa" w:w="2041"/>
          </w:tcPr>
          <w:p>
            <w:pPr>
              <w:spacing w:after="20"/>
            </w:pPr>
            <w:r>
              <w:rPr>
                <w:rFonts w:ascii="Calibri" w:hAnsi="Calibri"/>
                <w:sz w:val="18"/>
              </w:rPr>
              <w:t>Formulaire de campagne</w:t>
            </w:r>
          </w:p>
        </w:tc>
        <w:tc>
          <w:tcPr>
            <w:tcW w:type="dxa" w:w="4932"/>
          </w:tcPr>
          <w:p>
            <w:pPr>
              <w:spacing w:after="20"/>
            </w:pPr>
            <w:r>
              <w:rPr>
                <w:rFonts w:ascii="Calibri" w:hAnsi="Calibri"/>
                <w:sz w:val="18"/>
              </w:rPr>
              <w:t>La page qu'ouvre un QR code imprimé. Adresse volontairement courte : elle se dicte à l'oral et tient sur une affiche</w:t>
            </w:r>
          </w:p>
        </w:tc>
      </w:tr>
      <w:tr>
        <w:tc>
          <w:tcPr>
            <w:tcW w:type="dxa" w:w="2381"/>
          </w:tcPr>
          <w:p>
            <w:pPr>
              <w:spacing w:after="20"/>
            </w:pPr>
            <w:r>
              <w:rPr>
                <w:rFonts w:ascii="Consolas" w:hAnsi="Consolas"/>
                <w:color w:val="1B3080"/>
                <w:sz w:val="17"/>
              </w:rPr>
              <w:t>/lead-magnet/audit-gratuit</w:t>
            </w:r>
          </w:p>
        </w:tc>
        <w:tc>
          <w:tcPr>
            <w:tcW w:type="dxa" w:w="2041"/>
          </w:tcPr>
          <w:p>
            <w:pPr>
              <w:spacing w:after="20"/>
            </w:pPr>
            <w:r>
              <w:rPr>
                <w:rFonts w:ascii="Calibri" w:hAnsi="Calibri"/>
                <w:sz w:val="18"/>
              </w:rPr>
              <w:t>Audit gratuit</w:t>
            </w:r>
          </w:p>
        </w:tc>
        <w:tc>
          <w:tcPr>
            <w:tcW w:type="dxa" w:w="4932"/>
          </w:tcPr>
          <w:p>
            <w:pPr>
              <w:spacing w:after="20"/>
            </w:pPr>
            <w:r>
              <w:rPr>
                <w:rFonts w:ascii="Calibri" w:hAnsi="Calibri"/>
                <w:sz w:val="18"/>
              </w:rPr>
              <w:t>Formulaire de demande d'audit pour les entreprises</w:t>
            </w:r>
          </w:p>
        </w:tc>
      </w:tr>
      <w:tr>
        <w:tc>
          <w:tcPr>
            <w:tcW w:type="dxa" w:w="2381"/>
          </w:tcPr>
          <w:p>
            <w:pPr>
              <w:spacing w:after="20"/>
            </w:pPr>
            <w:r>
              <w:rPr>
                <w:rFonts w:ascii="Consolas" w:hAnsi="Consolas"/>
                <w:color w:val="1B3080"/>
                <w:sz w:val="17"/>
              </w:rPr>
              <w:t>/lead-magnet/merci</w:t>
            </w:r>
          </w:p>
        </w:tc>
        <w:tc>
          <w:tcPr>
            <w:tcW w:type="dxa" w:w="2041"/>
          </w:tcPr>
          <w:p>
            <w:pPr>
              <w:spacing w:after="20"/>
            </w:pPr>
            <w:r>
              <w:rPr>
                <w:rFonts w:ascii="Calibri" w:hAnsi="Calibri"/>
                <w:sz w:val="18"/>
              </w:rPr>
              <w:t>Remerciement</w:t>
            </w:r>
          </w:p>
        </w:tc>
        <w:tc>
          <w:tcPr>
            <w:tcW w:type="dxa" w:w="4932"/>
          </w:tcPr>
          <w:p>
            <w:pPr>
              <w:spacing w:after="20"/>
            </w:pPr>
            <w:r>
              <w:rPr>
                <w:rFonts w:ascii="Calibri" w:hAnsi="Calibri"/>
                <w:sz w:val="18"/>
              </w:rPr>
              <w:t>Page d'atterrissage après envoi</w:t>
            </w:r>
          </w:p>
        </w:tc>
      </w:tr>
    </w:tbl>
    <w:p>
      <w:pPr>
        <w:spacing w:after="120"/>
      </w:pPr>
    </w:p>
    <w:p>
      <w:r>
        <w:br w:type="page"/>
      </w:r>
    </w:p>
    <w:p>
      <w:pPr>
        <w:pStyle w:val="Heading1"/>
      </w:pPr>
      <w:r>
        <w:t>2. Les parcours</w:t>
      </w:r>
    </w:p>
    <w:p>
      <w:pPr>
        <w:spacing w:after="160"/>
      </w:pPr>
      <w:r>
        <w:rPr>
          <w:rFonts w:ascii="Calibri" w:hAnsi="Calibri"/>
          <w:b w:val="0"/>
          <w:i w:val="0"/>
          <w:color w:val="5C6573"/>
          <w:sz w:val="21"/>
        </w:rPr>
        <w:t>Six chemins guidés mènent un visiteur de la découverte à l'inscription. Quatre sont des fenêtres ouvertes depuis la navigation, deux sont des pages à part entière.</w:t>
      </w:r>
    </w:p>
    <w:p>
      <w:pPr>
        <w:pStyle w:val="Heading2"/>
      </w:pPr>
      <w:r>
        <w:t>2.1  Inscription d'un adulte</w:t>
      </w:r>
    </w:p>
    <w:p>
      <w:pPr>
        <w:spacing w:after="120"/>
      </w:pPr>
      <w:r>
        <w:rPr>
          <w:rFonts w:ascii="Calibri" w:hAnsi="Calibri"/>
          <w:color w:val="5C6573"/>
          <w:sz w:val="19"/>
        </w:rPr>
        <w:t xml:space="preserve">Fenêtre ouverte depuis « Inscription » · </w:t>
      </w:r>
      <w:r>
        <w:rPr>
          <w:rFonts w:ascii="Consolas" w:hAnsi="Consolas"/>
          <w:color w:val="1B3080"/>
          <w:sz w:val="18"/>
        </w:rPr>
        <w:t>2 009 lignes</w:t>
      </w:r>
      <w:r>
        <w:rPr>
          <w:rFonts w:ascii="Calibri" w:hAnsi="Calibri"/>
          <w:color w:val="5C6573"/>
          <w:sz w:val="19"/>
        </w:rPr>
        <w:t xml:space="preserve"> · le parcours le plus ramifié du site.</w:t>
      </w:r>
    </w:p>
    <w:p>
      <w:pPr>
        <w:spacing w:after="120"/>
      </w:pPr>
      <w:r>
        <w:rPr>
          <w:rFonts w:ascii="Calibri" w:hAnsi="Calibri"/>
          <w:b w:val="0"/>
          <w:i w:val="0"/>
          <w:sz w:val="21"/>
        </w:rPr>
        <w:t>Le chemin se dédouble dès la première question et ne se parcourt pas de la même façon selon la réponse. Onze états distincts existent dans le code, dont plusieurs propres à une branche.</w:t>
      </w:r>
    </w:p>
    <w:p>
      <w:pPr>
        <w:pStyle w:val="ListBullet"/>
        <w:spacing w:after="40"/>
        <w:ind w:left="454"/>
      </w:pPr>
      <w:r>
        <w:rPr>
          <w:rFonts w:ascii="Calibri" w:hAnsi="Calibri"/>
          <w:b/>
          <w:sz w:val="21"/>
        </w:rPr>
        <w:t>Type de coaching</w:t>
      </w:r>
      <w:r>
        <w:rPr>
          <w:rFonts w:ascii="Calibri" w:hAnsi="Calibri"/>
          <w:sz w:val="21"/>
        </w:rPr>
        <w:t xml:space="preserve"> — privé ou en groupe, en ligne ou en présentiel</w:t>
      </w:r>
    </w:p>
    <w:p>
      <w:pPr>
        <w:pStyle w:val="ListBullet"/>
        <w:spacing w:after="40"/>
        <w:ind w:left="454"/>
      </w:pPr>
      <w:r>
        <w:rPr>
          <w:rFonts w:ascii="Calibri" w:hAnsi="Calibri"/>
          <w:b/>
          <w:sz w:val="21"/>
        </w:rPr>
        <w:t>Offre et formule</w:t>
      </w:r>
      <w:r>
        <w:rPr>
          <w:rFonts w:ascii="Calibri" w:hAnsi="Calibri"/>
          <w:sz w:val="21"/>
        </w:rPr>
        <w:t xml:space="preserve"> — chaque offre porte ses propres formules, avec son tarif</w:t>
      </w:r>
    </w:p>
    <w:p>
      <w:pPr>
        <w:pStyle w:val="ListBullet"/>
        <w:spacing w:after="40"/>
        <w:ind w:left="454"/>
      </w:pPr>
      <w:r>
        <w:rPr>
          <w:rFonts w:ascii="Calibri" w:hAnsi="Calibri"/>
          <w:b/>
          <w:sz w:val="21"/>
        </w:rPr>
        <w:t>Branche présentiel</w:t>
      </w:r>
      <w:r>
        <w:rPr>
          <w:rFonts w:ascii="Calibri" w:hAnsi="Calibri"/>
          <w:sz w:val="21"/>
        </w:rPr>
        <w:t xml:space="preserve"> — choix du centre, </w:t>
      </w:r>
      <w:r>
        <w:rPr>
          <w:rFonts w:ascii="Calibri" w:hAnsi="Calibri"/>
          <w:i/>
          <w:color w:val="5C6573"/>
          <w:sz w:val="21"/>
        </w:rPr>
        <w:t>trié par distance depuis la ville du visiteur</w:t>
      </w:r>
    </w:p>
    <w:p>
      <w:pPr>
        <w:pStyle w:val="ListBullet"/>
        <w:spacing w:after="40"/>
        <w:ind w:left="454"/>
      </w:pPr>
      <w:r>
        <w:rPr>
          <w:rFonts w:ascii="Calibri" w:hAnsi="Calibri"/>
          <w:b/>
          <w:sz w:val="21"/>
        </w:rPr>
        <w:t>Cours à domicile</w:t>
      </w:r>
      <w:r>
        <w:rPr>
          <w:rFonts w:ascii="Calibri" w:hAnsi="Calibri"/>
          <w:sz w:val="21"/>
        </w:rPr>
        <w:t xml:space="preserve"> — saisie de l'adresse plutôt que d'un centre</w:t>
      </w:r>
    </w:p>
    <w:p>
      <w:pPr>
        <w:pStyle w:val="ListBullet"/>
        <w:spacing w:after="40"/>
        <w:ind w:left="454"/>
      </w:pPr>
      <w:r>
        <w:rPr>
          <w:rFonts w:ascii="Calibri" w:hAnsi="Calibri"/>
          <w:b/>
          <w:sz w:val="21"/>
        </w:rPr>
        <w:t>Choix de l'assistante</w:t>
      </w:r>
      <w:r>
        <w:rPr>
          <w:rFonts w:ascii="Calibri" w:hAnsi="Calibri"/>
          <w:sz w:val="21"/>
        </w:rPr>
        <w:t xml:space="preserve"> — parmi celles réellement disponibles ; un message explicite s'il n'y en a aucune</w:t>
      </w:r>
    </w:p>
    <w:p>
      <w:pPr>
        <w:pStyle w:val="ListBullet"/>
        <w:spacing w:after="40"/>
        <w:ind w:left="454"/>
      </w:pPr>
      <w:r>
        <w:rPr>
          <w:rFonts w:ascii="Calibri" w:hAnsi="Calibri"/>
          <w:b/>
          <w:sz w:val="21"/>
        </w:rPr>
        <w:t>Connexion facultative</w:t>
      </w:r>
      <w:r>
        <w:rPr>
          <w:rFonts w:ascii="Calibri" w:hAnsi="Calibri"/>
          <w:sz w:val="21"/>
        </w:rPr>
        <w:t xml:space="preserve"> — « Connectez-vous pour pré-remplir vos coordonnées »</w:t>
      </w:r>
    </w:p>
    <w:p>
      <w:pPr>
        <w:pStyle w:val="ListBullet"/>
        <w:spacing w:after="40"/>
        <w:ind w:left="454"/>
      </w:pPr>
      <w:r>
        <w:rPr>
          <w:rFonts w:ascii="Calibri" w:hAnsi="Calibri"/>
          <w:b/>
          <w:sz w:val="21"/>
        </w:rPr>
        <w:t>Récapitulatif</w:t>
      </w:r>
      <w:r>
        <w:rPr>
          <w:rFonts w:ascii="Calibri" w:hAnsi="Calibri"/>
          <w:sz w:val="21"/>
        </w:rPr>
        <w:t xml:space="preserve"> puis confirmation</w:t>
      </w:r>
    </w:p>
    <w:tbl>
      <w:tblPr>
        <w:tblW w:type="auto" w:w="0"/>
        <w:jc w:val="center"/>
        <w:tblLook w:firstColumn="1" w:firstRow="1" w:lastColumn="0" w:lastRow="0" w:noHBand="0" w:noVBand="1" w:val="04A0"/>
      </w:tblPr>
      <w:tblGrid>
        <w:gridCol w:w="9638"/>
      </w:tblGrid>
      <w:tr>
        <w:tc>
          <w:tcPr>
            <w:tcW w:type="dxa" w:w="9638"/>
            <w:shd w:val="clear" w:fill="F7F7F4"/>
            <w:tcBorders>
              <w:top w:val="single" w:sz="4" w:color="E4E1D9"/>
              <w:left w:val="single" w:sz="18" w:color="8A93A1"/>
              <w:bottom w:val="single" w:sz="4" w:color="E4E1D9"/>
              <w:right w:val="single" w:sz="4" w:color="E4E1D9"/>
            </w:tcBorders>
          </w:tcPr>
          <w:p>
            <w:pPr>
              <w:spacing w:after="60"/>
            </w:pPr>
            <w:r>
              <w:rPr>
                <w:color w:val="5C6573"/>
                <w:sz w:val="20"/>
              </w:rPr>
              <w:t>La progression est conservée : un visiteur interrompu retrouve son parcours là où il l'avait laissé, sans avoir à ressaisir.</w:t>
            </w:r>
          </w:p>
        </w:tc>
      </w:tr>
    </w:tbl>
    <w:p>
      <w:pPr>
        <w:spacing w:after="120"/>
      </w:pPr>
    </w:p>
    <w:p>
      <w:pPr>
        <w:pStyle w:val="Heading2"/>
      </w:pPr>
      <w:r>
        <w:t>2.2  Inscription d'un enfant</w:t>
      </w:r>
    </w:p>
    <w:p>
      <w:pPr>
        <w:spacing w:after="120"/>
      </w:pPr>
      <w:r>
        <w:rPr>
          <w:rFonts w:ascii="Calibri" w:hAnsi="Calibri"/>
          <w:color w:val="5C6573"/>
          <w:sz w:val="19"/>
        </w:rPr>
        <w:t xml:space="preserve">Fenêtre ouverte depuis « Inscription » · </w:t>
      </w:r>
      <w:r>
        <w:rPr>
          <w:rFonts w:ascii="Consolas" w:hAnsi="Consolas"/>
          <w:color w:val="1B3080"/>
          <w:sz w:val="18"/>
        </w:rPr>
        <w:t>1 286 lignes</w:t>
      </w:r>
      <w:r>
        <w:rPr>
          <w:rFonts w:ascii="Calibri" w:hAnsi="Calibri"/>
          <w:color w:val="5C6573"/>
          <w:sz w:val="19"/>
        </w:rPr>
        <w:t xml:space="preserve"> · six étapes</w:t>
      </w:r>
    </w:p>
    <w:p>
      <w:pPr>
        <w:pStyle w:val="ListBullet"/>
        <w:spacing w:after="40"/>
        <w:ind w:left="454"/>
      </w:pPr>
      <w:r>
        <w:rPr>
          <w:rFonts w:ascii="Calibri" w:hAnsi="Calibri"/>
          <w:b/>
          <w:sz w:val="21"/>
        </w:rPr>
        <w:t>Informations sur l'enfant</w:t>
      </w:r>
      <w:r>
        <w:rPr>
          <w:rFonts w:ascii="Calibri" w:hAnsi="Calibri"/>
          <w:sz w:val="21"/>
        </w:rPr>
        <w:t xml:space="preserve"> — prénom, âge</w:t>
      </w:r>
    </w:p>
    <w:p>
      <w:pPr>
        <w:pStyle w:val="ListBullet"/>
        <w:spacing w:after="40"/>
        <w:ind w:left="454"/>
      </w:pPr>
      <w:r>
        <w:rPr>
          <w:rFonts w:ascii="Calibri" w:hAnsi="Calibri"/>
          <w:b/>
          <w:sz w:val="21"/>
        </w:rPr>
        <w:t>Informations du parent</w:t>
      </w:r>
      <w:r>
        <w:rPr>
          <w:rFonts w:ascii="Calibri" w:hAnsi="Calibri"/>
          <w:sz w:val="21"/>
        </w:rPr>
        <w:t xml:space="preserve"> — identité et contact du responsable</w:t>
      </w:r>
    </w:p>
    <w:p>
      <w:pPr>
        <w:pStyle w:val="ListBullet"/>
        <w:spacing w:after="40"/>
        <w:ind w:left="454"/>
      </w:pPr>
      <w:r>
        <w:rPr>
          <w:rFonts w:ascii="Calibri" w:hAnsi="Calibri"/>
          <w:b/>
          <w:sz w:val="21"/>
        </w:rPr>
        <w:t>Offre et formule</w:t>
      </w:r>
      <w:r>
        <w:rPr>
          <w:rFonts w:ascii="Calibri" w:hAnsi="Calibri"/>
          <w:sz w:val="21"/>
        </w:rPr>
        <w:t xml:space="preserve"> — le catalogue est filtré sur les offres pertinentes pour un enfant</w:t>
      </w:r>
    </w:p>
    <w:p>
      <w:pPr>
        <w:pStyle w:val="ListBullet"/>
        <w:spacing w:after="40"/>
        <w:ind w:left="454"/>
      </w:pPr>
      <w:r>
        <w:rPr>
          <w:rFonts w:ascii="Calibri" w:hAnsi="Calibri"/>
          <w:b/>
          <w:sz w:val="21"/>
        </w:rPr>
        <w:t>Modalité</w:t>
      </w:r>
      <w:r>
        <w:rPr>
          <w:rFonts w:ascii="Calibri" w:hAnsi="Calibri"/>
          <w:sz w:val="21"/>
        </w:rPr>
        <w:t xml:space="preserve"> — en ligne ou présentiel, puis centre ou adresse</w:t>
      </w:r>
    </w:p>
    <w:p>
      <w:pPr>
        <w:pStyle w:val="ListBullet"/>
        <w:spacing w:after="40"/>
        <w:ind w:left="454"/>
      </w:pPr>
      <w:r>
        <w:rPr>
          <w:rFonts w:ascii="Calibri" w:hAnsi="Calibri"/>
          <w:b/>
          <w:sz w:val="21"/>
        </w:rPr>
        <w:t>Récapitulatif</w:t>
      </w:r>
      <w:r>
        <w:rPr>
          <w:rFonts w:ascii="Calibri" w:hAnsi="Calibri"/>
          <w:sz w:val="21"/>
        </w:rPr>
        <w:t xml:space="preserve"> — relecture avant envoi</w:t>
      </w:r>
    </w:p>
    <w:p>
      <w:pPr>
        <w:pStyle w:val="ListBullet"/>
        <w:spacing w:after="40"/>
        <w:ind w:left="454"/>
      </w:pPr>
      <w:r>
        <w:rPr>
          <w:rFonts w:ascii="Calibri" w:hAnsi="Calibri"/>
          <w:b/>
          <w:sz w:val="21"/>
        </w:rPr>
        <w:t>Confirmation</w:t>
      </w:r>
      <w:r>
        <w:rPr>
          <w:rFonts w:ascii="Calibri" w:hAnsi="Calibri"/>
          <w:sz w:val="21"/>
        </w:rPr>
        <w:t xml:space="preserve"> — « Inscription envoyée »</w:t>
      </w:r>
    </w:p>
    <w:p>
      <w:pPr>
        <w:pStyle w:val="Heading2"/>
      </w:pPr>
      <w:r>
        <w:t>2.3  Demande d'une entreprise</w:t>
      </w:r>
    </w:p>
    <w:p>
      <w:pPr>
        <w:spacing w:after="120"/>
      </w:pPr>
      <w:r>
        <w:rPr>
          <w:rFonts w:ascii="Calibri" w:hAnsi="Calibri"/>
          <w:color w:val="5C6573"/>
          <w:sz w:val="19"/>
        </w:rPr>
        <w:t xml:space="preserve">Fenêtre ouverte depuis « BET for Business » · </w:t>
      </w:r>
      <w:r>
        <w:rPr>
          <w:rFonts w:ascii="Consolas" w:hAnsi="Consolas"/>
          <w:color w:val="1B3080"/>
          <w:sz w:val="18"/>
        </w:rPr>
        <w:t>503 lignes</w:t>
      </w:r>
      <w:r>
        <w:rPr>
          <w:rFonts w:ascii="Calibri" w:hAnsi="Calibri"/>
          <w:color w:val="5C6573"/>
          <w:sz w:val="19"/>
        </w:rPr>
        <w:t xml:space="preserve"> · trois étapes annoncées au visiteur</w:t>
      </w:r>
    </w:p>
    <w:p>
      <w:pPr>
        <w:pStyle w:val="ListBullet"/>
        <w:spacing w:after="40"/>
        <w:ind w:left="454"/>
      </w:pPr>
      <w:r>
        <w:rPr>
          <w:rFonts w:ascii="Calibri" w:hAnsi="Calibri"/>
          <w:b/>
          <w:sz w:val="21"/>
        </w:rPr>
        <w:t>Votre entreprise</w:t>
      </w:r>
      <w:r>
        <w:rPr>
          <w:rFonts w:ascii="Calibri" w:hAnsi="Calibri"/>
          <w:sz w:val="21"/>
        </w:rPr>
        <w:t xml:space="preserve"> — raison sociale, contact, effectif à former</w:t>
      </w:r>
    </w:p>
    <w:p>
      <w:pPr>
        <w:pStyle w:val="ListBullet"/>
        <w:spacing w:after="40"/>
        <w:ind w:left="454"/>
      </w:pPr>
      <w:r>
        <w:rPr>
          <w:rFonts w:ascii="Calibri" w:hAnsi="Calibri"/>
          <w:b/>
          <w:sz w:val="21"/>
        </w:rPr>
        <w:t>Niveau &amp; objectifs</w:t>
      </w:r>
      <w:r>
        <w:rPr>
          <w:rFonts w:ascii="Calibri" w:hAnsi="Calibri"/>
          <w:sz w:val="21"/>
        </w:rPr>
        <w:t xml:space="preserve"> — niveaux CECRL visés, besoins : anglais professionnel, communication interne, missions à l'étranger</w:t>
      </w:r>
    </w:p>
    <w:p>
      <w:pPr>
        <w:pStyle w:val="ListBullet"/>
        <w:spacing w:after="40"/>
        <w:ind w:left="454"/>
      </w:pPr>
      <w:r>
        <w:rPr>
          <w:rFonts w:ascii="Calibri" w:hAnsi="Calibri"/>
          <w:b/>
          <w:sz w:val="21"/>
        </w:rPr>
        <w:t>Format &amp; rythme</w:t>
      </w:r>
      <w:r>
        <w:rPr>
          <w:rFonts w:ascii="Calibri" w:hAnsi="Calibri"/>
          <w:sz w:val="21"/>
        </w:rPr>
        <w:t xml:space="preserve"> — organisation souhaitée</w:t>
      </w:r>
    </w:p>
    <w:p>
      <w:pPr>
        <w:pStyle w:val="Heading2"/>
      </w:pPr>
      <w:r>
        <w:t>2.4  Centres en ligne</w:t>
      </w:r>
    </w:p>
    <w:p>
      <w:pPr>
        <w:spacing w:after="120"/>
      </w:pPr>
      <w:r>
        <w:rPr>
          <w:rFonts w:ascii="Calibri" w:hAnsi="Calibri"/>
          <w:color w:val="5C6573"/>
          <w:sz w:val="19"/>
        </w:rPr>
        <w:t xml:space="preserve">Fenêtre dédiée · </w:t>
      </w:r>
      <w:r>
        <w:rPr>
          <w:rFonts w:ascii="Consolas" w:hAnsi="Consolas"/>
          <w:color w:val="1B3080"/>
          <w:sz w:val="18"/>
        </w:rPr>
        <w:t>1 180 lignes</w:t>
      </w:r>
      <w:r>
        <w:rPr>
          <w:rFonts w:ascii="Calibri" w:hAnsi="Calibri"/>
          <w:color w:val="5C6573"/>
          <w:sz w:val="19"/>
        </w:rPr>
        <w:t xml:space="preserve"> · pour qui veut apprendre à distance</w:t>
      </w:r>
    </w:p>
    <w:p>
      <w:pPr>
        <w:pStyle w:val="ListBullet"/>
        <w:spacing w:after="40"/>
        <w:ind w:left="454"/>
      </w:pPr>
      <w:r>
        <w:rPr>
          <w:rFonts w:ascii="Calibri" w:hAnsi="Calibri"/>
          <w:b/>
          <w:sz w:val="21"/>
        </w:rPr>
        <w:t>Offres</w:t>
      </w:r>
      <w:r>
        <w:rPr>
          <w:rFonts w:ascii="Calibri" w:hAnsi="Calibri"/>
          <w:sz w:val="21"/>
        </w:rPr>
        <w:t xml:space="preserve"> puis </w:t>
      </w:r>
      <w:r>
        <w:rPr>
          <w:rFonts w:ascii="Calibri" w:hAnsi="Calibri"/>
          <w:b/>
          <w:sz w:val="21"/>
        </w:rPr>
        <w:t>choix de la formule</w:t>
      </w:r>
    </w:p>
    <w:p>
      <w:pPr>
        <w:pStyle w:val="ListBullet"/>
        <w:spacing w:after="40"/>
        <w:ind w:left="454"/>
      </w:pPr>
      <w:r>
        <w:rPr>
          <w:rFonts w:ascii="Calibri" w:hAnsi="Calibri"/>
          <w:b/>
          <w:sz w:val="21"/>
        </w:rPr>
        <w:t>Connexion obligatoire</w:t>
      </w:r>
      <w:r>
        <w:rPr>
          <w:rFonts w:ascii="Calibri" w:hAnsi="Calibri"/>
          <w:sz w:val="21"/>
        </w:rPr>
        <w:t xml:space="preserve"> à cette étape — c'est ce que le code appelle l'« authgate »</w:t>
      </w:r>
    </w:p>
    <w:p>
      <w:pPr>
        <w:pStyle w:val="ListBullet"/>
        <w:spacing w:after="40"/>
        <w:ind w:left="454"/>
      </w:pPr>
      <w:r>
        <w:rPr>
          <w:rFonts w:ascii="Calibri" w:hAnsi="Calibri"/>
          <w:b/>
          <w:sz w:val="21"/>
        </w:rPr>
        <w:t>Récapitulatif</w:t>
      </w:r>
      <w:r>
        <w:rPr>
          <w:rFonts w:ascii="Calibri" w:hAnsi="Calibri"/>
          <w:sz w:val="21"/>
        </w:rPr>
        <w:t xml:space="preserve"> puis « Votre demande a bien été reçue »</w:t>
      </w:r>
    </w:p>
    <w:p>
      <w:pPr>
        <w:pStyle w:val="Heading2"/>
      </w:pPr>
      <w:r>
        <w:t>2.5  Tunnel d'inscription</w:t>
      </w:r>
    </w:p>
    <w:p>
      <w:pPr>
        <w:spacing w:after="120"/>
      </w:pPr>
      <w:r>
        <w:rPr>
          <w:rFonts w:ascii="Calibri" w:hAnsi="Calibri"/>
          <w:color w:val="5C6573"/>
          <w:sz w:val="19"/>
        </w:rPr>
        <w:t xml:space="preserve">Page </w:t>
      </w:r>
      <w:r>
        <w:rPr>
          <w:rFonts w:ascii="Consolas" w:hAnsi="Consolas"/>
          <w:color w:val="1B3080"/>
          <w:sz w:val="18"/>
        </w:rPr>
        <w:t>/parcours/inscription</w:t>
      </w:r>
      <w:r>
        <w:rPr>
          <w:rFonts w:ascii="Calibri" w:hAnsi="Calibri"/>
          <w:color w:val="5C6573"/>
          <w:sz w:val="19"/>
        </w:rPr>
        <w:t xml:space="preserve"> · cinq étapes linéaires</w:t>
      </w:r>
    </w:p>
    <w:p>
      <w:pPr>
        <w:pStyle w:val="ListBullet"/>
        <w:spacing w:after="40"/>
        <w:ind w:left="454"/>
      </w:pPr>
      <w:r>
        <w:rPr>
          <w:rFonts w:ascii="Calibri" w:hAnsi="Calibri"/>
          <w:b/>
          <w:sz w:val="21"/>
        </w:rPr>
        <w:t>Quel type de coaching ?</w:t>
      </w:r>
      <w:r>
        <w:rPr>
          <w:rFonts w:ascii="Calibri" w:hAnsi="Calibri"/>
          <w:sz w:val="21"/>
        </w:rPr>
        <w:t xml:space="preserve"> — groupe ou suivi individuel</w:t>
      </w:r>
    </w:p>
    <w:p>
      <w:pPr>
        <w:pStyle w:val="ListBullet"/>
        <w:spacing w:after="40"/>
        <w:ind w:left="454"/>
      </w:pPr>
      <w:r>
        <w:rPr>
          <w:rFonts w:ascii="Calibri" w:hAnsi="Calibri"/>
          <w:b/>
          <w:sz w:val="21"/>
        </w:rPr>
        <w:t>Comment souhaitez-vous apprendre ?</w:t>
      </w:r>
      <w:r>
        <w:rPr>
          <w:rFonts w:ascii="Calibri" w:hAnsi="Calibri"/>
          <w:sz w:val="21"/>
        </w:rPr>
        <w:t xml:space="preserve"> — en ligne ou en présentiel</w:t>
      </w:r>
    </w:p>
    <w:p>
      <w:pPr>
        <w:pStyle w:val="ListBullet"/>
        <w:spacing w:after="40"/>
        <w:ind w:left="454"/>
      </w:pPr>
      <w:r>
        <w:rPr>
          <w:rFonts w:ascii="Calibri" w:hAnsi="Calibri"/>
          <w:b/>
          <w:sz w:val="21"/>
        </w:rPr>
        <w:t>Où ?</w:t>
      </w:r>
      <w:r>
        <w:rPr>
          <w:rFonts w:ascii="Calibri" w:hAnsi="Calibri"/>
          <w:sz w:val="21"/>
        </w:rPr>
        <w:t xml:space="preserve"> — « Quel cabinet vous convient ? » ou le centre le plus proche</w:t>
      </w:r>
    </w:p>
    <w:p>
      <w:pPr>
        <w:pStyle w:val="ListBullet"/>
        <w:spacing w:after="40"/>
        <w:ind w:left="454"/>
      </w:pPr>
      <w:r>
        <w:rPr>
          <w:rFonts w:ascii="Calibri" w:hAnsi="Calibri"/>
          <w:b/>
          <w:sz w:val="21"/>
        </w:rPr>
        <w:t>Choisissez votre assistante</w:t>
      </w:r>
      <w:r>
        <w:rPr>
          <w:rFonts w:ascii="Calibri" w:hAnsi="Calibri"/>
          <w:sz w:val="21"/>
        </w:rPr>
        <w:t xml:space="preserve"> — avec sa photo</w:t>
      </w:r>
    </w:p>
    <w:p>
      <w:pPr>
        <w:pStyle w:val="ListBullet"/>
        <w:spacing w:after="40"/>
        <w:ind w:left="454"/>
      </w:pPr>
      <w:r>
        <w:rPr>
          <w:rFonts w:ascii="Calibri" w:hAnsi="Calibri"/>
          <w:b/>
          <w:sz w:val="21"/>
        </w:rPr>
        <w:t>Vos coordonnées</w:t>
      </w:r>
      <w:r>
        <w:rPr>
          <w:rFonts w:ascii="Calibri" w:hAnsi="Calibri"/>
          <w:sz w:val="21"/>
        </w:rPr>
        <w:t xml:space="preserve"> puis envoi</w:t>
      </w:r>
    </w:p>
    <w:p>
      <w:pPr>
        <w:pStyle w:val="Heading2"/>
      </w:pPr>
      <w:r>
        <w:t>2.6  Test de niveau gratuit</w:t>
      </w:r>
    </w:p>
    <w:p>
      <w:pPr>
        <w:spacing w:after="120"/>
      </w:pPr>
      <w:r>
        <w:rPr>
          <w:rFonts w:ascii="Calibri" w:hAnsi="Calibri"/>
          <w:color w:val="5C6573"/>
          <w:sz w:val="19"/>
        </w:rPr>
        <w:t xml:space="preserve">Page </w:t>
      </w:r>
      <w:r>
        <w:rPr>
          <w:rFonts w:ascii="Consolas" w:hAnsi="Consolas"/>
          <w:color w:val="1B3080"/>
          <w:sz w:val="18"/>
        </w:rPr>
        <w:t>/test-niveau</w:t>
      </w:r>
      <w:r>
        <w:rPr>
          <w:rFonts w:ascii="Calibri" w:hAnsi="Calibri"/>
          <w:color w:val="5C6573"/>
          <w:sz w:val="19"/>
        </w:rPr>
        <w:t xml:space="preserve"> · </w:t>
      </w:r>
      <w:r>
        <w:rPr>
          <w:rFonts w:ascii="Consolas" w:hAnsi="Consolas"/>
          <w:color w:val="1B3080"/>
          <w:sz w:val="18"/>
        </w:rPr>
        <w:t>2 973 lignes</w:t>
      </w:r>
      <w:r>
        <w:rPr>
          <w:rFonts w:ascii="Calibri" w:hAnsi="Calibri"/>
          <w:color w:val="5C6573"/>
          <w:sz w:val="19"/>
        </w:rPr>
        <w:t xml:space="preserve"> · l'écran le plus lourd du site</w:t>
      </w:r>
    </w:p>
    <w:p>
      <w:pPr>
        <w:spacing w:after="120"/>
      </w:pPr>
      <w:r>
        <w:rPr>
          <w:rFonts w:ascii="Calibri" w:hAnsi="Calibri"/>
          <w:b w:val="0"/>
          <w:i w:val="0"/>
          <w:sz w:val="21"/>
        </w:rPr>
        <w:t>Six écrans se succèdent, et l'avancement est enregistré sur le serveur à chaque réponse : une coupure de connexion ne fait pas perdre le test.</w:t>
      </w:r>
    </w:p>
    <w:p>
      <w:pPr>
        <w:pStyle w:val="ListBullet"/>
        <w:spacing w:after="40"/>
        <w:ind w:left="454"/>
      </w:pPr>
      <w:r>
        <w:rPr>
          <w:rFonts w:ascii="Calibri" w:hAnsi="Calibri"/>
          <w:b/>
          <w:sz w:val="21"/>
        </w:rPr>
        <w:t>Formulaire</w:t>
      </w:r>
      <w:r>
        <w:rPr>
          <w:rFonts w:ascii="Calibri" w:hAnsi="Calibri"/>
          <w:sz w:val="21"/>
        </w:rPr>
        <w:t xml:space="preserve"> — identité et contact du candidat</w:t>
      </w:r>
    </w:p>
    <w:p>
      <w:pPr>
        <w:pStyle w:val="ListBullet"/>
        <w:spacing w:after="40"/>
        <w:ind w:left="454"/>
      </w:pPr>
      <w:r>
        <w:rPr>
          <w:rFonts w:ascii="Calibri" w:hAnsi="Calibri"/>
          <w:b/>
          <w:sz w:val="21"/>
        </w:rPr>
        <w:t>Questionnaire</w:t>
      </w:r>
      <w:r>
        <w:rPr>
          <w:rFonts w:ascii="Calibri" w:hAnsi="Calibri"/>
          <w:sz w:val="21"/>
        </w:rPr>
        <w:t xml:space="preserve"> — questions à choix multiple </w:t>
      </w:r>
      <w:r>
        <w:rPr>
          <w:rFonts w:ascii="Calibri" w:hAnsi="Calibri"/>
          <w:i/>
          <w:color w:val="5C6573"/>
          <w:sz w:val="21"/>
        </w:rPr>
        <w:t>chronométrées</w:t>
      </w:r>
      <w:r>
        <w:rPr>
          <w:rFonts w:ascii="Calibri" w:hAnsi="Calibri"/>
          <w:sz w:val="21"/>
        </w:rPr>
        <w:t>, niveaux A1 à C2</w:t>
      </w:r>
    </w:p>
    <w:p>
      <w:pPr>
        <w:pStyle w:val="ListBullet"/>
        <w:spacing w:after="40"/>
        <w:ind w:left="454"/>
      </w:pPr>
      <w:r>
        <w:rPr>
          <w:rFonts w:ascii="Calibri" w:hAnsi="Calibri"/>
          <w:b/>
          <w:sz w:val="21"/>
        </w:rPr>
        <w:t>Épreuve orale</w:t>
      </w:r>
      <w:r>
        <w:rPr>
          <w:rFonts w:ascii="Calibri" w:hAnsi="Calibri"/>
          <w:sz w:val="21"/>
        </w:rPr>
        <w:t xml:space="preserve"> — enregistrement au microphone, envoyé au serveur</w:t>
      </w:r>
    </w:p>
    <w:p>
      <w:pPr>
        <w:pStyle w:val="ListBullet"/>
        <w:spacing w:after="40"/>
        <w:ind w:left="454"/>
      </w:pPr>
      <w:r>
        <w:rPr>
          <w:rFonts w:ascii="Calibri" w:hAnsi="Calibri"/>
          <w:b/>
          <w:sz w:val="21"/>
        </w:rPr>
        <w:t>Projet</w:t>
      </w:r>
      <w:r>
        <w:rPr>
          <w:rFonts w:ascii="Calibri" w:hAnsi="Calibri"/>
          <w:sz w:val="21"/>
        </w:rPr>
        <w:t xml:space="preserve"> — expression écrite</w:t>
      </w:r>
    </w:p>
    <w:p>
      <w:pPr>
        <w:pStyle w:val="ListBullet"/>
        <w:spacing w:after="40"/>
        <w:ind w:left="454"/>
      </w:pPr>
      <w:r>
        <w:rPr>
          <w:rFonts w:ascii="Calibri" w:hAnsi="Calibri"/>
          <w:b/>
          <w:sz w:val="21"/>
        </w:rPr>
        <w:t>Choix du conseiller</w:t>
      </w:r>
      <w:r>
        <w:rPr>
          <w:rFonts w:ascii="Calibri" w:hAnsi="Calibri"/>
          <w:sz w:val="21"/>
        </w:rPr>
        <w:t xml:space="preserve"> — parmi les commerciaux du centre retenu</w:t>
      </w:r>
    </w:p>
    <w:p>
      <w:pPr>
        <w:pStyle w:val="ListBullet"/>
        <w:spacing w:after="40"/>
        <w:ind w:left="454"/>
      </w:pPr>
      <w:r>
        <w:rPr>
          <w:rFonts w:ascii="Calibri" w:hAnsi="Calibri"/>
          <w:b/>
          <w:sz w:val="21"/>
        </w:rPr>
        <w:t>Attente puis résultat</w:t>
      </w:r>
      <w:r>
        <w:rPr>
          <w:rFonts w:ascii="Calibri" w:hAnsi="Calibri"/>
          <w:sz w:val="21"/>
        </w:rPr>
        <w:t xml:space="preserve"> — niveau CECRL détecté, transmis à l'assistante</w:t>
      </w:r>
    </w:p>
    <w:p>
      <w:pPr>
        <w:pStyle w:val="Heading2"/>
      </w:pPr>
      <w:r>
        <w:t>2.7  Paiement en ligne</w:t>
      </w:r>
    </w:p>
    <w:p>
      <w:pPr>
        <w:spacing w:after="120"/>
      </w:pPr>
      <w:r>
        <w:rPr>
          <w:rFonts w:ascii="Calibri" w:hAnsi="Calibri"/>
          <w:color w:val="5C6573"/>
          <w:sz w:val="19"/>
        </w:rPr>
        <w:t xml:space="preserve">Prestataire </w:t>
      </w:r>
      <w:r>
        <w:rPr>
          <w:rFonts w:ascii="Calibri" w:hAnsi="Calibri"/>
          <w:b/>
          <w:sz w:val="19"/>
        </w:rPr>
        <w:t>TouchPoint</w:t>
      </w:r>
      <w:r>
        <w:rPr>
          <w:rFonts w:ascii="Calibri" w:hAnsi="Calibri"/>
          <w:color w:val="5C6573"/>
          <w:sz w:val="19"/>
        </w:rPr>
        <w:t xml:space="preserve"> — mobile money et carte. A remplacé CinetPay.</w:t>
      </w:r>
    </w:p>
    <w:p>
      <w:pPr>
        <w:pStyle w:val="ListBullet"/>
        <w:spacing w:after="40"/>
        <w:ind w:left="454"/>
      </w:pPr>
      <w:r>
        <w:rPr>
          <w:rFonts w:ascii="Calibri" w:hAnsi="Calibri"/>
          <w:b/>
          <w:sz w:val="21"/>
        </w:rPr>
        <w:t>Ouverture</w:t>
      </w:r>
      <w:r>
        <w:rPr>
          <w:rFonts w:ascii="Calibri" w:hAnsi="Calibri"/>
          <w:sz w:val="21"/>
        </w:rPr>
        <w:t xml:space="preserve"> — le serveur prépare la transaction et renvoie les paramètres marchands</w:t>
      </w:r>
    </w:p>
    <w:p>
      <w:pPr>
        <w:pStyle w:val="ListBullet"/>
        <w:spacing w:after="40"/>
        <w:ind w:left="454"/>
      </w:pPr>
      <w:r>
        <w:rPr>
          <w:rFonts w:ascii="Calibri" w:hAnsi="Calibri"/>
          <w:b/>
          <w:sz w:val="21"/>
        </w:rPr>
        <w:t>Paiement</w:t>
      </w:r>
      <w:r>
        <w:rPr>
          <w:rFonts w:ascii="Calibri" w:hAnsi="Calibri"/>
          <w:sz w:val="21"/>
        </w:rPr>
        <w:t xml:space="preserve"> — hors du site, chez le prestataire</w:t>
      </w:r>
    </w:p>
    <w:p>
      <w:pPr>
        <w:pStyle w:val="ListBullet"/>
        <w:spacing w:after="40"/>
        <w:ind w:left="454"/>
      </w:pPr>
      <w:r>
        <w:rPr>
          <w:rFonts w:ascii="Calibri" w:hAnsi="Calibri"/>
          <w:b/>
          <w:sz w:val="21"/>
        </w:rPr>
        <w:t>Retour</w:t>
      </w:r>
      <w:r>
        <w:rPr>
          <w:rFonts w:ascii="Calibri" w:hAnsi="Calibri"/>
          <w:sz w:val="21"/>
        </w:rPr>
        <w:t xml:space="preserve"> — page </w:t>
      </w:r>
      <w:r>
        <w:rPr>
          <w:rFonts w:ascii="Consolas" w:hAnsi="Consolas"/>
          <w:color w:val="1B3080"/>
          <w:sz w:val="20"/>
        </w:rPr>
        <w:t>/paiement/retour</w:t>
      </w:r>
      <w:r>
        <w:rPr>
          <w:rFonts w:ascii="Calibri" w:hAnsi="Calibri"/>
          <w:sz w:val="21"/>
        </w:rPr>
        <w:t xml:space="preserve"> : résultat affiché, reçu téléchargeable en PDF</w:t>
      </w:r>
    </w:p>
    <w:p>
      <w:pPr>
        <w:pStyle w:val="ListBullet"/>
        <w:spacing w:after="40"/>
        <w:ind w:left="454"/>
      </w:pPr>
      <w:r>
        <w:rPr>
          <w:rFonts w:ascii="Calibri" w:hAnsi="Calibri"/>
          <w:b/>
          <w:sz w:val="21"/>
        </w:rPr>
        <w:t>Double filet</w:t>
      </w:r>
      <w:r>
        <w:rPr>
          <w:rFonts w:ascii="Calibri" w:hAnsi="Calibri"/>
          <w:sz w:val="21"/>
        </w:rPr>
        <w:t xml:space="preserve"> — la confirmation est reconnue par le serveur </w:t>
      </w:r>
      <w:r>
        <w:rPr>
          <w:rFonts w:ascii="Calibri" w:hAnsi="Calibri"/>
          <w:i/>
          <w:color w:val="5C6573"/>
          <w:sz w:val="21"/>
        </w:rPr>
        <w:t>et</w:t>
      </w:r>
      <w:r>
        <w:rPr>
          <w:rFonts w:ascii="Calibri" w:hAnsi="Calibri"/>
          <w:sz w:val="21"/>
        </w:rPr>
        <w:t xml:space="preserve"> par la redirection du navigateur, pour qu'un appel perdu ne perde pas un paiement</w:t>
      </w:r>
    </w:p>
    <w:p>
      <w:pPr>
        <w:pStyle w:val="ListBullet"/>
        <w:spacing w:after="40"/>
        <w:ind w:left="454"/>
      </w:pPr>
      <w:r>
        <w:rPr>
          <w:rFonts w:ascii="Calibri" w:hAnsi="Calibri"/>
          <w:b/>
          <w:sz w:val="21"/>
        </w:rPr>
        <w:t>Relance</w:t>
      </w:r>
      <w:r>
        <w:rPr>
          <w:rFonts w:ascii="Calibri" w:hAnsi="Calibri"/>
          <w:sz w:val="21"/>
        </w:rPr>
        <w:t xml:space="preserve"> — page </w:t>
      </w:r>
      <w:r>
        <w:rPr>
          <w:rFonts w:ascii="Consolas" w:hAnsi="Consolas"/>
          <w:color w:val="1B3080"/>
          <w:sz w:val="20"/>
        </w:rPr>
        <w:t>/paiement/relancer</w:t>
      </w:r>
      <w:r>
        <w:rPr>
          <w:rFonts w:ascii="Calibri" w:hAnsi="Calibri"/>
          <w:sz w:val="21"/>
        </w:rPr>
        <w:t xml:space="preserve"> pour un règlement interrompu</w:t>
      </w:r>
    </w:p>
    <w:p>
      <w:pPr>
        <w:pStyle w:val="Heading2"/>
      </w:pPr>
      <w:r>
        <w:t>2.8  Espace personnel</w:t>
      </w:r>
    </w:p>
    <w:p>
      <w:pPr>
        <w:spacing w:after="120"/>
      </w:pPr>
      <w:r>
        <w:rPr>
          <w:rFonts w:ascii="Calibri" w:hAnsi="Calibri"/>
          <w:color w:val="5C6573"/>
          <w:sz w:val="19"/>
        </w:rPr>
        <w:t xml:space="preserve">Page </w:t>
      </w:r>
      <w:r>
        <w:rPr>
          <w:rFonts w:ascii="Consolas" w:hAnsi="Consolas"/>
          <w:color w:val="1B3080"/>
          <w:sz w:val="18"/>
        </w:rPr>
        <w:t>/mon-espace</w:t>
      </w:r>
      <w:r>
        <w:rPr>
          <w:rFonts w:ascii="Calibri" w:hAnsi="Calibri"/>
          <w:color w:val="5C6573"/>
          <w:sz w:val="19"/>
        </w:rPr>
        <w:t xml:space="preserve"> · deux jeux d'onglets, selon que la personne est inscrite ou non</w:t>
      </w:r>
    </w:p>
    <w:tbl>
      <w:tblPr>
        <w:tblStyle w:val="TableGrid"/>
        <w:tblW w:type="auto" w:w="0"/>
        <w:jc w:val="center"/>
        <w:tblLook w:firstColumn="1" w:firstRow="1" w:lastColumn="0" w:lastRow="0" w:noHBand="0" w:noVBand="1" w:val="04A0"/>
      </w:tblPr>
      <w:tblGrid>
        <w:gridCol w:w="4819"/>
        <w:gridCol w:w="4819"/>
      </w:tblGrid>
      <w:tr>
        <w:tc>
          <w:tcPr>
            <w:tcW w:type="dxa" w:w="4649"/>
            <w:shd w:val="clear" w:fill="F2F4FA"/>
          </w:tcPr>
          <w:p>
            <w:r>
              <w:rPr>
                <w:b/>
                <w:color w:val="1B3080"/>
                <w:sz w:val="17"/>
              </w:rPr>
              <w:t>Avant l'inscription — prospect</w:t>
            </w:r>
          </w:p>
        </w:tc>
        <w:tc>
          <w:tcPr>
            <w:tcW w:type="dxa" w:w="4649"/>
            <w:shd w:val="clear" w:fill="F2F4FA"/>
          </w:tcPr>
          <w:p>
            <w:r>
              <w:rPr>
                <w:b/>
                <w:color w:val="1B3080"/>
                <w:sz w:val="17"/>
              </w:rPr>
              <w:t>Après l'inscription — apprenant</w:t>
            </w:r>
          </w:p>
        </w:tc>
      </w:tr>
      <w:tr>
        <w:tc>
          <w:tcPr>
            <w:tcW w:type="dxa" w:w="4649"/>
          </w:tcPr>
          <w:p>
            <w:pPr>
              <w:spacing w:after="20"/>
            </w:pPr>
            <w:r>
              <w:rPr>
                <w:rFonts w:ascii="Calibri" w:hAnsi="Calibri"/>
                <w:b/>
                <w:sz w:val="18"/>
              </w:rPr>
              <w:t>Mon test de niveau</w:t>
            </w:r>
          </w:p>
        </w:tc>
        <w:tc>
          <w:tcPr>
            <w:tcW w:type="dxa" w:w="4649"/>
          </w:tcPr>
          <w:p>
            <w:pPr>
              <w:spacing w:after="20"/>
            </w:pPr>
            <w:r>
              <w:rPr>
                <w:rFonts w:ascii="Calibri" w:hAnsi="Calibri"/>
                <w:sz w:val="18"/>
              </w:rPr>
              <w:t>Planning</w:t>
            </w:r>
          </w:p>
        </w:tc>
      </w:tr>
      <w:tr>
        <w:tc>
          <w:tcPr>
            <w:tcW w:type="dxa" w:w="4649"/>
          </w:tcPr>
          <w:p>
            <w:pPr>
              <w:spacing w:after="20"/>
            </w:pPr>
            <w:r>
              <w:rPr>
                <w:rFonts w:ascii="Calibri" w:hAnsi="Calibri"/>
                <w:b/>
                <w:sz w:val="18"/>
              </w:rPr>
              <w:t>Conseillère &amp; Contact</w:t>
            </w:r>
          </w:p>
        </w:tc>
        <w:tc>
          <w:tcPr>
            <w:tcW w:type="dxa" w:w="4649"/>
          </w:tcPr>
          <w:p>
            <w:pPr>
              <w:spacing w:after="20"/>
            </w:pPr>
            <w:r>
              <w:rPr>
                <w:rFonts w:ascii="Calibri" w:hAnsi="Calibri"/>
                <w:sz w:val="18"/>
              </w:rPr>
              <w:t>Mes sessions</w:t>
            </w:r>
          </w:p>
        </w:tc>
      </w:tr>
      <w:tr>
        <w:tc>
          <w:tcPr>
            <w:tcW w:type="dxa" w:w="4649"/>
          </w:tcPr>
          <w:p>
            <w:pPr>
              <w:spacing w:after="20"/>
            </w:pPr>
            <w:r>
              <w:rPr>
                <w:rFonts w:ascii="Calibri" w:hAnsi="Calibri"/>
                <w:b/>
                <w:sz w:val="18"/>
              </w:rPr>
              <w:t>Catalogue formations</w:t>
            </w:r>
          </w:p>
        </w:tc>
        <w:tc>
          <w:tcPr>
            <w:tcW w:type="dxa" w:w="4649"/>
          </w:tcPr>
          <w:p>
            <w:pPr>
              <w:spacing w:after="20"/>
            </w:pPr>
            <w:r>
              <w:rPr>
                <w:rFonts w:ascii="Calibri" w:hAnsi="Calibri"/>
                <w:sz w:val="18"/>
              </w:rPr>
              <w:t>Présences</w:t>
            </w:r>
          </w:p>
        </w:tc>
      </w:tr>
      <w:tr>
        <w:tc>
          <w:tcPr>
            <w:tcW w:type="dxa" w:w="4649"/>
          </w:tcPr>
          <w:p>
            <w:pPr>
              <w:spacing w:after="20"/>
            </w:pPr>
            <w:r>
              <w:rPr>
                <w:rFonts w:ascii="Calibri" w:hAnsi="Calibri"/>
                <w:b/>
                <w:sz w:val="18"/>
              </w:rPr>
              <w:t>Paiement</w:t>
            </w:r>
          </w:p>
        </w:tc>
        <w:tc>
          <w:tcPr>
            <w:tcW w:type="dxa" w:w="4649"/>
          </w:tcPr>
          <w:p>
            <w:pPr>
              <w:spacing w:after="20"/>
            </w:pPr>
            <w:r>
              <w:rPr>
                <w:rFonts w:ascii="Calibri" w:hAnsi="Calibri"/>
                <w:sz w:val="18"/>
              </w:rPr>
              <w:t>Ressources</w:t>
            </w:r>
          </w:p>
        </w:tc>
      </w:tr>
      <w:tr>
        <w:tc>
          <w:tcPr>
            <w:tcW w:type="dxa" w:w="4649"/>
          </w:tcPr>
          <w:p>
            <w:pPr>
              <w:spacing w:after="20"/>
            </w:pPr>
            <w:r>
              <w:rPr>
                <w:rFonts w:ascii="Calibri" w:hAnsi="Calibri"/>
                <w:b/>
                <w:sz w:val="18"/>
              </w:rPr>
              <w:t>Mon profil</w:t>
            </w:r>
          </w:p>
        </w:tc>
        <w:tc>
          <w:tcPr>
            <w:tcW w:type="dxa" w:w="4649"/>
          </w:tcPr>
          <w:p>
            <w:pPr>
              <w:spacing w:after="20"/>
            </w:pPr>
            <w:r>
              <w:rPr>
                <w:rFonts w:ascii="Calibri" w:hAnsi="Calibri"/>
                <w:sz w:val="18"/>
              </w:rPr>
              <w:t>Paiement</w:t>
            </w:r>
          </w:p>
        </w:tc>
      </w:tr>
      <w:tr>
        <w:tc>
          <w:tcPr>
            <w:tcW w:type="dxa" w:w="4649"/>
          </w:tcPr>
          <w:p>
            <w:pPr>
              <w:spacing w:after="20"/>
            </w:pPr>
            <w:r>
              <w:rPr>
                <w:rFonts w:ascii="Calibri" w:hAnsi="Calibri"/>
                <w:b/>
                <w:sz w:val="18"/>
              </w:rPr>
              <w:t>Paramètres</w:t>
            </w:r>
          </w:p>
        </w:tc>
        <w:tc>
          <w:tcPr>
            <w:tcW w:type="dxa" w:w="4649"/>
          </w:tcPr>
          <w:p>
            <w:pPr>
              <w:spacing w:after="20"/>
            </w:pPr>
            <w:r>
              <w:rPr>
                <w:rFonts w:ascii="Calibri" w:hAnsi="Calibri"/>
                <w:sz w:val="18"/>
              </w:rPr>
              <w:t>Mon coach</w:t>
            </w:r>
          </w:p>
        </w:tc>
      </w:tr>
    </w:tbl>
    <w:p>
      <w:pPr>
        <w:spacing w:after="120"/>
      </w:pPr>
    </w:p>
    <w:p>
      <w:pPr>
        <w:spacing w:after="160"/>
      </w:pPr>
      <w:r>
        <w:rPr>
          <w:rFonts w:ascii="Calibri" w:hAnsi="Calibri"/>
          <w:b w:val="0"/>
          <w:i w:val="0"/>
          <w:color w:val="5C6573"/>
          <w:sz w:val="20"/>
        </w:rPr>
        <w:t>L'espace permet aussi de changer sa photo de profil, de déposer un témoignage et de répondre au sondage « Comment nous avez-vous connu ? ».</w:t>
      </w:r>
    </w:p>
    <w:p>
      <w:pPr>
        <w:pStyle w:val="Heading2"/>
      </w:pPr>
      <w:r>
        <w:t>2.9  Boutique</w:t>
      </w:r>
    </w:p>
    <w:p>
      <w:pPr>
        <w:pStyle w:val="ListBullet"/>
        <w:spacing w:after="40"/>
        <w:ind w:left="454"/>
      </w:pPr>
      <w:r>
        <w:rPr>
          <w:rFonts w:ascii="Calibri" w:hAnsi="Calibri"/>
          <w:b/>
          <w:sz w:val="21"/>
        </w:rPr>
        <w:t>Produits actifs</w:t>
      </w:r>
      <w:r>
        <w:rPr>
          <w:rFonts w:ascii="Calibri" w:hAnsi="Calibri"/>
          <w:sz w:val="21"/>
        </w:rPr>
        <w:t xml:space="preserve"> — lus depuis le back-office, avec filtres</w:t>
      </w:r>
    </w:p>
    <w:p>
      <w:pPr>
        <w:pStyle w:val="ListBullet"/>
        <w:spacing w:after="40"/>
        <w:ind w:left="454"/>
      </w:pPr>
      <w:r>
        <w:rPr>
          <w:rFonts w:ascii="Calibri" w:hAnsi="Calibri"/>
          <w:b/>
          <w:sz w:val="21"/>
        </w:rPr>
        <w:t>Panier et favoris</w:t>
      </w:r>
      <w:r>
        <w:rPr>
          <w:rFonts w:ascii="Calibri" w:hAnsi="Calibri"/>
          <w:sz w:val="21"/>
        </w:rPr>
        <w:t xml:space="preserve"> — conservés pendant la visite</w:t>
      </w:r>
    </w:p>
    <w:p>
      <w:pPr>
        <w:pStyle w:val="ListBullet"/>
        <w:spacing w:after="40"/>
        <w:ind w:left="454"/>
      </w:pPr>
      <w:r>
        <w:rPr>
          <w:rFonts w:ascii="Calibri" w:hAnsi="Calibri"/>
          <w:b/>
          <w:sz w:val="21"/>
        </w:rPr>
        <w:t>Commande</w:t>
      </w:r>
      <w:r>
        <w:rPr>
          <w:rFonts w:ascii="Calibri" w:hAnsi="Calibri"/>
          <w:sz w:val="21"/>
        </w:rPr>
        <w:t xml:space="preserve"> — passage de commande et consultation de ses commandes</w:t>
      </w:r>
    </w:p>
    <w:p>
      <w:pPr>
        <w:pStyle w:val="Heading2"/>
      </w:pPr>
      <w:r>
        <w:t>2.10  Formulaire de campagne</w:t>
      </w:r>
    </w:p>
    <w:p>
      <w:pPr>
        <w:spacing w:after="120"/>
      </w:pPr>
      <w:r>
        <w:rPr>
          <w:rFonts w:ascii="Calibri" w:hAnsi="Calibri"/>
          <w:color w:val="5C6573"/>
          <w:sz w:val="19"/>
        </w:rPr>
        <w:t xml:space="preserve">Page </w:t>
      </w:r>
      <w:r>
        <w:rPr>
          <w:rFonts w:ascii="Consolas" w:hAnsi="Consolas"/>
          <w:color w:val="1B3080"/>
          <w:sz w:val="18"/>
        </w:rPr>
        <w:t>/f/:slug</w:t>
      </w:r>
      <w:r>
        <w:rPr>
          <w:rFonts w:ascii="Calibri" w:hAnsi="Calibri"/>
          <w:color w:val="5C6573"/>
          <w:sz w:val="19"/>
        </w:rPr>
        <w:t xml:space="preserve"> — celle qu'ouvre un QR code imprimé</w:t>
      </w:r>
    </w:p>
    <w:p>
      <w:pPr>
        <w:spacing w:after="160"/>
      </w:pPr>
      <w:r>
        <w:rPr>
          <w:rFonts w:ascii="Calibri" w:hAnsi="Calibri"/>
          <w:b w:val="0"/>
          <w:i w:val="0"/>
          <w:sz w:val="21"/>
        </w:rPr>
        <w:t>Chaque campagne a son adresse courte et son formulaire propre, défini côté back-office : bannière, illustration, questions. Les réponses alimentent ensuite les campagnes de courriel et de diffusion WhatsApp.</w:t>
      </w:r>
    </w:p>
    <w:p>
      <w:r>
        <w:br w:type="page"/>
      </w:r>
    </w:p>
    <w:p>
      <w:pPr>
        <w:pStyle w:val="Heading1"/>
      </w:pPr>
      <w:r>
        <w:t>3. Fonctionnalités transverses</w:t>
      </w:r>
    </w:p>
    <w:p>
      <w:pPr>
        <w:spacing w:after="160"/>
      </w:pPr>
      <w:r>
        <w:rPr>
          <w:rFonts w:ascii="Calibri" w:hAnsi="Calibri"/>
          <w:b w:val="0"/>
          <w:i w:val="0"/>
          <w:color w:val="5C6573"/>
          <w:sz w:val="21"/>
        </w:rPr>
        <w:t>Présentes sur toutes les pages, indépendamment du parcours.</w:t>
      </w:r>
    </w:p>
    <w:p>
      <w:pPr>
        <w:pStyle w:val="Heading3"/>
      </w:pPr>
      <w:r>
        <w:t>Navigation et comptes</w:t>
      </w:r>
    </w:p>
    <w:p>
      <w:pPr>
        <w:pStyle w:val="ListBullet"/>
        <w:spacing w:after="40"/>
        <w:ind w:left="454"/>
      </w:pPr>
      <w:r>
        <w:rPr>
          <w:rFonts w:ascii="Calibri" w:hAnsi="Calibri"/>
          <w:b/>
          <w:sz w:val="21"/>
        </w:rPr>
        <w:t>Barre de navigation</w:t>
      </w:r>
      <w:r>
        <w:rPr>
          <w:rFonts w:ascii="Calibri" w:hAnsi="Calibri"/>
          <w:sz w:val="21"/>
        </w:rPr>
        <w:t xml:space="preserve"> — Accueil, Apprenez l'anglais, Certifications, Centres physiques, BET for Business, Boutique, FAQ, Contact, Mon espace. C'est elle qui héberge les quatre fenêtres d'inscription.</w:t>
      </w:r>
    </w:p>
    <w:p>
      <w:pPr>
        <w:pStyle w:val="ListBullet"/>
        <w:spacing w:after="40"/>
        <w:ind w:left="454"/>
      </w:pPr>
      <w:r>
        <w:rPr>
          <w:rFonts w:ascii="Calibri" w:hAnsi="Calibri"/>
          <w:b/>
          <w:sz w:val="21"/>
        </w:rPr>
        <w:t>Recherche</w:t>
      </w:r>
      <w:r>
        <w:rPr>
          <w:rFonts w:ascii="Calibri" w:hAnsi="Calibri"/>
          <w:sz w:val="21"/>
        </w:rPr>
        <w:t xml:space="preserve"> dans le catalogue, depuis la barre</w:t>
      </w:r>
    </w:p>
    <w:p>
      <w:pPr>
        <w:pStyle w:val="ListBullet"/>
        <w:spacing w:after="40"/>
        <w:ind w:left="454"/>
      </w:pPr>
      <w:r>
        <w:rPr>
          <w:rFonts w:ascii="Calibri" w:hAnsi="Calibri"/>
          <w:b/>
          <w:sz w:val="21"/>
        </w:rPr>
        <w:t>Connexion</w:t>
      </w:r>
      <w:r>
        <w:rPr>
          <w:rFonts w:ascii="Calibri" w:hAnsi="Calibri"/>
          <w:sz w:val="21"/>
        </w:rPr>
        <w:t xml:space="preserve"> — mot de passe ou </w:t>
      </w:r>
      <w:r>
        <w:rPr>
          <w:rFonts w:ascii="Calibri" w:hAnsi="Calibri"/>
          <w:b/>
          <w:sz w:val="21"/>
        </w:rPr>
        <w:t>compte Google</w:t>
      </w:r>
      <w:r>
        <w:rPr>
          <w:rFonts w:ascii="Calibri" w:hAnsi="Calibri"/>
          <w:sz w:val="21"/>
        </w:rPr>
        <w:t xml:space="preserve"> ; mot de passe oublié et renouvellement par courriel</w:t>
      </w:r>
    </w:p>
    <w:p>
      <w:pPr>
        <w:pStyle w:val="ListBullet"/>
        <w:spacing w:after="40"/>
        <w:ind w:left="454"/>
      </w:pPr>
      <w:r>
        <w:rPr>
          <w:rFonts w:ascii="Calibri" w:hAnsi="Calibri"/>
          <w:b/>
          <w:sz w:val="21"/>
        </w:rPr>
        <w:t>Bandeau de session active</w:t>
      </w:r>
      <w:r>
        <w:rPr>
          <w:rFonts w:ascii="Calibri" w:hAnsi="Calibri"/>
          <w:sz w:val="21"/>
        </w:rPr>
        <w:t xml:space="preserve"> — signale une session déjà ouverte</w:t>
      </w:r>
    </w:p>
    <w:p>
      <w:pPr>
        <w:pStyle w:val="ListBullet"/>
        <w:spacing w:after="40"/>
        <w:ind w:left="454"/>
      </w:pPr>
      <w:r>
        <w:rPr>
          <w:rFonts w:ascii="Calibri" w:hAnsi="Calibri"/>
          <w:b/>
          <w:sz w:val="21"/>
        </w:rPr>
        <w:t>Bilingue</w:t>
      </w:r>
      <w:r>
        <w:rPr>
          <w:rFonts w:ascii="Calibri" w:hAnsi="Calibri"/>
          <w:sz w:val="21"/>
        </w:rPr>
        <w:t xml:space="preserve"> — français et anglais, bascule depuis la barre</w:t>
      </w:r>
    </w:p>
    <w:p>
      <w:pPr>
        <w:pStyle w:val="Heading3"/>
      </w:pPr>
      <w:r>
        <w:t>Contact et conversation</w:t>
      </w:r>
    </w:p>
    <w:p>
      <w:pPr>
        <w:pStyle w:val="ListBullet"/>
        <w:spacing w:after="40"/>
        <w:ind w:left="454"/>
      </w:pPr>
      <w:r>
        <w:rPr>
          <w:rFonts w:ascii="Calibri" w:hAnsi="Calibri"/>
          <w:b/>
          <w:sz w:val="21"/>
        </w:rPr>
        <w:t>Chat avec son assistante</w:t>
      </w:r>
      <w:r>
        <w:rPr>
          <w:rFonts w:ascii="Calibri" w:hAnsi="Calibri"/>
          <w:sz w:val="21"/>
        </w:rPr>
        <w:t xml:space="preserve"> — bouton flottant portant </w:t>
      </w:r>
      <w:r>
        <w:rPr>
          <w:rFonts w:ascii="Calibri" w:hAnsi="Calibri"/>
          <w:i/>
          <w:color w:val="5C6573"/>
          <w:sz w:val="21"/>
        </w:rPr>
        <w:t>la photo de l'assistante attitrée</w:t>
      </w:r>
      <w:r>
        <w:rPr>
          <w:rFonts w:ascii="Calibri" w:hAnsi="Calibri"/>
          <w:sz w:val="21"/>
        </w:rPr>
        <w:t>. Messages en temps réel, signal sonore à la réception. Le conseiller retrouve la même conversation depuis son tableau de bord.</w:t>
      </w:r>
    </w:p>
    <w:p>
      <w:pPr>
        <w:pStyle w:val="ListBullet"/>
        <w:spacing w:after="40"/>
        <w:ind w:left="454"/>
      </w:pPr>
      <w:r>
        <w:rPr>
          <w:rFonts w:ascii="Calibri" w:hAnsi="Calibri"/>
          <w:b/>
          <w:sz w:val="21"/>
        </w:rPr>
        <w:t>Bouton WhatsApp</w:t>
      </w:r>
      <w:r>
        <w:rPr>
          <w:rFonts w:ascii="Calibri" w:hAnsi="Calibri"/>
          <w:sz w:val="21"/>
        </w:rPr>
        <w:t xml:space="preserve"> — numéros lus depuis la configuration serveur, jamais écrits en dur</w:t>
      </w:r>
    </w:p>
    <w:p>
      <w:pPr>
        <w:pStyle w:val="ListBullet"/>
        <w:spacing w:after="40"/>
        <w:ind w:left="454"/>
      </w:pPr>
      <w:r>
        <w:rPr>
          <w:rFonts w:ascii="Calibri" w:hAnsi="Calibri"/>
          <w:b/>
          <w:sz w:val="21"/>
        </w:rPr>
        <w:t>Liens cliquables</w:t>
      </w:r>
      <w:r>
        <w:rPr>
          <w:rFonts w:ascii="Calibri" w:hAnsi="Calibri"/>
          <w:sz w:val="21"/>
        </w:rPr>
        <w:t xml:space="preserve"> — les adresses saisies dans un message le deviennent automatiquement</w:t>
      </w:r>
    </w:p>
    <w:p>
      <w:pPr>
        <w:pStyle w:val="Heading3"/>
      </w:pPr>
      <w:r>
        <w:t>Commerce et promotions</w:t>
      </w:r>
    </w:p>
    <w:p>
      <w:pPr>
        <w:pStyle w:val="ListBullet"/>
        <w:spacing w:after="40"/>
        <w:ind w:left="454"/>
      </w:pPr>
      <w:r>
        <w:rPr>
          <w:rFonts w:ascii="Calibri" w:hAnsi="Calibri"/>
          <w:b/>
          <w:sz w:val="21"/>
        </w:rPr>
        <w:t>Codes promo</w:t>
      </w:r>
      <w:r>
        <w:rPr>
          <w:rFonts w:ascii="Calibri" w:hAnsi="Calibri"/>
          <w:sz w:val="21"/>
        </w:rPr>
        <w:t xml:space="preserve"> — saisis et validés par le serveur sur les fiches de cours, les certifications et les parcours d'inscription</w:t>
      </w:r>
    </w:p>
    <w:p>
      <w:pPr>
        <w:pStyle w:val="ListBullet"/>
        <w:spacing w:after="40"/>
        <w:ind w:left="454"/>
      </w:pPr>
      <w:r>
        <w:rPr>
          <w:rFonts w:ascii="Calibri" w:hAnsi="Calibri"/>
          <w:b/>
          <w:sz w:val="21"/>
        </w:rPr>
        <w:t>Bandeau de promotions</w:t>
      </w:r>
      <w:r>
        <w:rPr>
          <w:rFonts w:ascii="Calibri" w:hAnsi="Calibri"/>
          <w:sz w:val="21"/>
        </w:rPr>
        <w:t xml:space="preserve"> — promotions actives affichées automatiquement</w:t>
      </w:r>
    </w:p>
    <w:p>
      <w:pPr>
        <w:pStyle w:val="ListBullet"/>
        <w:spacing w:after="40"/>
        <w:ind w:left="454"/>
      </w:pPr>
      <w:r>
        <w:rPr>
          <w:rFonts w:ascii="Calibri" w:hAnsi="Calibri"/>
          <w:b/>
          <w:sz w:val="21"/>
        </w:rPr>
        <w:t>Bandeau déroulant</w:t>
      </w:r>
      <w:r>
        <w:rPr>
          <w:rFonts w:ascii="Calibri" w:hAnsi="Calibri"/>
          <w:sz w:val="21"/>
        </w:rPr>
        <w:t xml:space="preserve"> et </w:t>
      </w:r>
      <w:r>
        <w:rPr>
          <w:rFonts w:ascii="Calibri" w:hAnsi="Calibri"/>
          <w:b/>
          <w:sz w:val="21"/>
        </w:rPr>
        <w:t>carrousel d'accueil</w:t>
      </w:r>
      <w:r>
        <w:rPr>
          <w:rFonts w:ascii="Calibri" w:hAnsi="Calibri"/>
          <w:sz w:val="21"/>
        </w:rPr>
        <w:t xml:space="preserve"> — administrables, avec une durée d'affichage réglable par photo</w:t>
      </w:r>
    </w:p>
    <w:p>
      <w:pPr>
        <w:pStyle w:val="ListBullet"/>
        <w:spacing w:after="40"/>
        <w:ind w:left="454"/>
      </w:pPr>
      <w:r>
        <w:rPr>
          <w:rFonts w:ascii="Calibri" w:hAnsi="Calibri"/>
          <w:b/>
          <w:sz w:val="21"/>
        </w:rPr>
        <w:t>Catalogue PDF</w:t>
      </w:r>
      <w:r>
        <w:rPr>
          <w:rFonts w:ascii="Calibri" w:hAnsi="Calibri"/>
          <w:sz w:val="21"/>
        </w:rPr>
        <w:t xml:space="preserve"> — bandeau de téléchargement du catalogue BET</w:t>
      </w:r>
    </w:p>
    <w:p>
      <w:pPr>
        <w:pStyle w:val="Heading3"/>
      </w:pPr>
      <w:r>
        <w:t>Avis, contenus et newsletter</w:t>
      </w:r>
    </w:p>
    <w:p>
      <w:pPr>
        <w:pStyle w:val="ListBullet"/>
        <w:spacing w:after="40"/>
        <w:ind w:left="454"/>
      </w:pPr>
      <w:r>
        <w:rPr>
          <w:rFonts w:ascii="Calibri" w:hAnsi="Calibri"/>
          <w:b/>
          <w:sz w:val="21"/>
        </w:rPr>
        <w:t>Avis</w:t>
      </w:r>
      <w:r>
        <w:rPr>
          <w:rFonts w:ascii="Calibri" w:hAnsi="Calibri"/>
          <w:sz w:val="21"/>
        </w:rPr>
        <w:t xml:space="preserve"> — déposés et affichés sur les fiches de cours et de certification</w:t>
      </w:r>
    </w:p>
    <w:p>
      <w:pPr>
        <w:pStyle w:val="ListBullet"/>
        <w:spacing w:after="40"/>
        <w:ind w:left="454"/>
      </w:pPr>
      <w:r>
        <w:rPr>
          <w:rFonts w:ascii="Calibri" w:hAnsi="Calibri"/>
          <w:b/>
          <w:sz w:val="21"/>
        </w:rPr>
        <w:t>Témoignages</w:t>
      </w:r>
      <w:r>
        <w:rPr>
          <w:rFonts w:ascii="Calibri" w:hAnsi="Calibri"/>
          <w:sz w:val="21"/>
        </w:rPr>
        <w:t xml:space="preserve"> — page dédiée avec filtres et recherche ; un apprenant en dépose depuis son espace</w:t>
      </w:r>
    </w:p>
    <w:p>
      <w:pPr>
        <w:pStyle w:val="ListBullet"/>
        <w:spacing w:after="40"/>
        <w:ind w:left="454"/>
      </w:pPr>
      <w:r>
        <w:rPr>
          <w:rFonts w:ascii="Calibri" w:hAnsi="Calibri"/>
          <w:b/>
          <w:sz w:val="21"/>
        </w:rPr>
        <w:t>Blog</w:t>
      </w:r>
      <w:r>
        <w:rPr>
          <w:rFonts w:ascii="Calibri" w:hAnsi="Calibri"/>
          <w:sz w:val="21"/>
        </w:rPr>
        <w:t xml:space="preserve"> — articles administrés depuis le back-office</w:t>
      </w:r>
    </w:p>
    <w:p>
      <w:pPr>
        <w:pStyle w:val="ListBullet"/>
        <w:spacing w:after="40"/>
        <w:ind w:left="454"/>
      </w:pPr>
      <w:r>
        <w:rPr>
          <w:rFonts w:ascii="Calibri" w:hAnsi="Calibri"/>
          <w:b/>
          <w:sz w:val="21"/>
        </w:rPr>
        <w:t>Photos d'équipe</w:t>
      </w:r>
      <w:r>
        <w:rPr>
          <w:rFonts w:ascii="Calibri" w:hAnsi="Calibri"/>
          <w:sz w:val="21"/>
        </w:rPr>
        <w:t xml:space="preserve"> — coachs et équipe administrative, défilement à vitesse réglable</w:t>
      </w:r>
    </w:p>
    <w:p>
      <w:pPr>
        <w:pStyle w:val="ListBullet"/>
        <w:spacing w:after="40"/>
        <w:ind w:left="454"/>
      </w:pPr>
      <w:r>
        <w:rPr>
          <w:rFonts w:ascii="Calibri" w:hAnsi="Calibri"/>
          <w:b/>
          <w:sz w:val="21"/>
        </w:rPr>
        <w:t>Newsletter</w:t>
      </w:r>
      <w:r>
        <w:rPr>
          <w:rFonts w:ascii="Calibri" w:hAnsi="Calibri"/>
          <w:sz w:val="21"/>
        </w:rPr>
        <w:t xml:space="preserve"> — inscription depuis le pied de page et depuis le blog. La désinscription, elle, </w:t>
      </w:r>
      <w:r>
        <w:rPr>
          <w:rFonts w:ascii="Calibri" w:hAnsi="Calibri"/>
          <w:i/>
          <w:color w:val="5C6573"/>
          <w:sz w:val="21"/>
        </w:rPr>
        <w:t>passe par le serveur et non par le site</w:t>
      </w:r>
      <w:r>
        <w:rPr>
          <w:rFonts w:ascii="Calibri" w:hAnsi="Calibri"/>
          <w:sz w:val="21"/>
        </w:rPr>
        <w:t xml:space="preserve"> : le lien doit fonctionner depuis un logiciel de messagerie.</w:t>
      </w:r>
    </w:p>
    <w:p>
      <w:pPr>
        <w:pStyle w:val="Heading3"/>
      </w:pPr>
      <w:r>
        <w:t>Référencement et mesure d'audience</w:t>
      </w:r>
    </w:p>
    <w:p>
      <w:pPr>
        <w:pStyle w:val="ListBullet"/>
        <w:spacing w:after="40"/>
        <w:ind w:left="454"/>
      </w:pPr>
      <w:r>
        <w:rPr>
          <w:rFonts w:ascii="Calibri" w:hAnsi="Calibri"/>
          <w:b/>
          <w:sz w:val="21"/>
        </w:rPr>
        <w:t>Balises SEO</w:t>
      </w:r>
      <w:r>
        <w:rPr>
          <w:rFonts w:ascii="Calibri" w:hAnsi="Calibri"/>
          <w:sz w:val="21"/>
        </w:rPr>
        <w:t xml:space="preserve"> par page, et balisage </w:t>
      </w:r>
      <w:r>
        <w:rPr>
          <w:rFonts w:ascii="Consolas" w:hAnsi="Consolas"/>
          <w:color w:val="1B3080"/>
          <w:sz w:val="20"/>
        </w:rPr>
        <w:t>OrganizationSchema</w:t>
      </w:r>
      <w:r>
        <w:rPr>
          <w:rFonts w:ascii="Calibri" w:hAnsi="Calibri"/>
          <w:sz w:val="21"/>
        </w:rPr>
        <w:t xml:space="preserve"> pour les moteurs de recherche</w:t>
      </w:r>
    </w:p>
    <w:p>
      <w:pPr>
        <w:pStyle w:val="ListBullet"/>
        <w:spacing w:after="40"/>
        <w:ind w:left="454"/>
      </w:pPr>
      <w:r>
        <w:rPr>
          <w:rFonts w:ascii="Calibri" w:hAnsi="Calibri"/>
          <w:b/>
          <w:sz w:val="21"/>
        </w:rPr>
        <w:t>Google Analytics 4</w:t>
      </w:r>
      <w:r>
        <w:rPr>
          <w:rFonts w:ascii="Calibri" w:hAnsi="Calibri"/>
          <w:sz w:val="21"/>
        </w:rPr>
        <w:t xml:space="preserve"> — treize événements suivis, dont </w:t>
      </w:r>
      <w:r>
        <w:rPr>
          <w:rFonts w:ascii="Consolas" w:hAnsi="Consolas"/>
          <w:color w:val="1B3080"/>
          <w:sz w:val="20"/>
        </w:rPr>
        <w:t>generate_lead</w:t>
      </w:r>
      <w:r>
        <w:rPr>
          <w:rFonts w:ascii="Calibri" w:hAnsi="Calibri"/>
          <w:sz w:val="21"/>
        </w:rPr>
        <w:t xml:space="preserve">, </w:t>
      </w:r>
      <w:r>
        <w:rPr>
          <w:rFonts w:ascii="Consolas" w:hAnsi="Consolas"/>
          <w:color w:val="1B3080"/>
          <w:sz w:val="20"/>
        </w:rPr>
        <w:t>begin_checkout</w:t>
      </w:r>
      <w:r>
        <w:rPr>
          <w:rFonts w:ascii="Calibri" w:hAnsi="Calibri"/>
          <w:sz w:val="21"/>
        </w:rPr>
        <w:t xml:space="preserve">, </w:t>
      </w:r>
      <w:r>
        <w:rPr>
          <w:rFonts w:ascii="Consolas" w:hAnsi="Consolas"/>
          <w:color w:val="1B3080"/>
          <w:sz w:val="20"/>
        </w:rPr>
        <w:t>purchase</w:t>
      </w:r>
      <w:r>
        <w:rPr>
          <w:rFonts w:ascii="Calibri" w:hAnsi="Calibri"/>
          <w:sz w:val="21"/>
        </w:rPr>
        <w:t xml:space="preserve">, </w:t>
      </w:r>
      <w:r>
        <w:rPr>
          <w:rFonts w:ascii="Consolas" w:hAnsi="Consolas"/>
          <w:color w:val="1B3080"/>
          <w:sz w:val="20"/>
        </w:rPr>
        <w:t>test_niveau_commence</w:t>
      </w:r>
      <w:r>
        <w:rPr>
          <w:rFonts w:ascii="Calibri" w:hAnsi="Calibri"/>
          <w:sz w:val="21"/>
        </w:rPr>
        <w:t xml:space="preserve"> et </w:t>
      </w:r>
      <w:r>
        <w:rPr>
          <w:rFonts w:ascii="Consolas" w:hAnsi="Consolas"/>
          <w:color w:val="1B3080"/>
          <w:sz w:val="20"/>
        </w:rPr>
        <w:t>test_niveau_termine</w:t>
      </w:r>
      <w:r>
        <w:rPr>
          <w:rFonts w:ascii="Calibri" w:hAnsi="Calibri"/>
          <w:sz w:val="21"/>
        </w:rPr>
        <w:t xml:space="preserve">, </w:t>
      </w:r>
      <w:r>
        <w:rPr>
          <w:rFonts w:ascii="Consolas" w:hAnsi="Consolas"/>
          <w:color w:val="1B3080"/>
          <w:sz w:val="20"/>
        </w:rPr>
        <w:t>contact_whatsapp</w:t>
      </w:r>
      <w:r>
        <w:rPr>
          <w:rFonts w:ascii="Calibri" w:hAnsi="Calibri"/>
          <w:sz w:val="21"/>
        </w:rPr>
      </w:r>
    </w:p>
    <w:p>
      <w:pPr>
        <w:pStyle w:val="ListBullet"/>
        <w:spacing w:after="40"/>
        <w:ind w:left="454"/>
      </w:pPr>
      <w:r>
        <w:rPr>
          <w:rFonts w:ascii="Calibri" w:hAnsi="Calibri"/>
          <w:b/>
          <w:sz w:val="21"/>
        </w:rPr>
        <w:t>Paramètres de campagne</w:t>
      </w:r>
      <w:r>
        <w:rPr>
          <w:rFonts w:ascii="Calibri" w:hAnsi="Calibri"/>
          <w:sz w:val="21"/>
        </w:rPr>
        <w:t xml:space="preserve"> — les UTM sont capturés à l'arrivée et conservés jusqu'à la conversion, pour savoir d'où vient réellement un inscrit</w:t>
      </w:r>
    </w:p>
    <w:p>
      <w:pPr>
        <w:pStyle w:val="ListBullet"/>
        <w:spacing w:after="40"/>
        <w:ind w:left="454"/>
      </w:pPr>
      <w:r>
        <w:rPr>
          <w:rFonts w:ascii="Calibri" w:hAnsi="Calibri"/>
          <w:b/>
          <w:sz w:val="21"/>
        </w:rPr>
        <w:t>Vues comptées côté serveur</w:t>
      </w:r>
      <w:r>
        <w:rPr>
          <w:rFonts w:ascii="Calibri" w:hAnsi="Calibri"/>
          <w:sz w:val="21"/>
        </w:rPr>
        <w:t xml:space="preserve"> — en plus de GA4, pour ne pas dépendre des bloqueurs</w:t>
      </w:r>
    </w:p>
    <w:p>
      <w:pPr>
        <w:pStyle w:val="Heading3"/>
      </w:pPr>
      <w:r>
        <w:t>Confort de navigation</w:t>
      </w:r>
    </w:p>
    <w:p>
      <w:pPr>
        <w:pStyle w:val="ListBullet"/>
        <w:spacing w:after="40"/>
        <w:ind w:left="454"/>
      </w:pPr>
      <w:r>
        <w:rPr>
          <w:rFonts w:ascii="Calibri" w:hAnsi="Calibri"/>
          <w:b/>
          <w:sz w:val="21"/>
        </w:rPr>
        <w:t>Écran d'accueil</w:t>
      </w:r>
      <w:r>
        <w:rPr>
          <w:rFonts w:ascii="Calibri" w:hAnsi="Calibri"/>
          <w:sz w:val="21"/>
        </w:rPr>
        <w:t xml:space="preserve"> au chargement, en fondu</w:t>
      </w:r>
    </w:p>
    <w:p>
      <w:pPr>
        <w:pStyle w:val="ListBullet"/>
        <w:spacing w:after="40"/>
        <w:ind w:left="454"/>
      </w:pPr>
      <w:r>
        <w:rPr>
          <w:rFonts w:ascii="Calibri" w:hAnsi="Calibri"/>
          <w:b/>
          <w:sz w:val="21"/>
        </w:rPr>
        <w:t>Remontée en haut de page</w:t>
      </w:r>
      <w:r>
        <w:rPr>
          <w:rFonts w:ascii="Calibri" w:hAnsi="Calibri"/>
          <w:sz w:val="21"/>
        </w:rPr>
        <w:t xml:space="preserve"> à chaque changement d'écran</w:t>
      </w:r>
    </w:p>
    <w:p>
      <w:pPr>
        <w:pStyle w:val="ListBullet"/>
        <w:spacing w:after="40"/>
        <w:ind w:left="454"/>
      </w:pPr>
      <w:r>
        <w:rPr>
          <w:rFonts w:ascii="Calibri" w:hAnsi="Calibri"/>
          <w:b/>
          <w:sz w:val="21"/>
        </w:rPr>
        <w:t>Chargement différé</w:t>
      </w:r>
      <w:r>
        <w:rPr>
          <w:rFonts w:ascii="Calibri" w:hAnsi="Calibri"/>
          <w:sz w:val="21"/>
        </w:rPr>
        <w:t xml:space="preserve"> des pages — seule celle qu'on regarde est téléchargée</w:t>
      </w:r>
    </w:p>
    <w:p>
      <w:pPr>
        <w:pStyle w:val="ListBullet"/>
        <w:spacing w:after="40"/>
        <w:ind w:left="454"/>
      </w:pPr>
      <w:r>
        <w:rPr>
          <w:rFonts w:ascii="Calibri" w:hAnsi="Calibri"/>
          <w:b/>
          <w:sz w:val="21"/>
        </w:rPr>
        <w:t>Notifications</w:t>
      </w:r>
      <w:r>
        <w:rPr>
          <w:rFonts w:ascii="Calibri" w:hAnsi="Calibri"/>
          <w:sz w:val="21"/>
        </w:rPr>
        <w:t xml:space="preserve"> — messages de confirmation et d'erreur en haut à droite</w:t>
      </w:r>
    </w:p>
    <w:p>
      <w:pPr>
        <w:pStyle w:val="Heading1"/>
      </w:pPr>
      <w:r>
        <w:t>4. Le catalogue présenté</w:t>
      </w:r>
    </w:p>
    <w:tbl>
      <w:tblPr>
        <w:tblStyle w:val="TableGrid"/>
        <w:tblW w:type="auto" w:w="0"/>
        <w:jc w:val="center"/>
        <w:tblLook w:firstColumn="1" w:firstRow="1" w:lastColumn="0" w:lastRow="0" w:noHBand="0" w:noVBand="1" w:val="04A0"/>
      </w:tblPr>
      <w:tblGrid>
        <w:gridCol w:w="4819"/>
        <w:gridCol w:w="4819"/>
      </w:tblGrid>
      <w:tr>
        <w:tc>
          <w:tcPr>
            <w:tcW w:type="dxa" w:w="2551"/>
            <w:shd w:val="clear" w:fill="F2F4FA"/>
          </w:tcPr>
          <w:p>
            <w:r>
              <w:rPr>
                <w:b/>
                <w:color w:val="1B3080"/>
                <w:sz w:val="17"/>
              </w:rPr>
              <w:t>Famille</w:t>
            </w:r>
          </w:p>
        </w:tc>
        <w:tc>
          <w:tcPr>
            <w:tcW w:type="dxa" w:w="6803"/>
            <w:shd w:val="clear" w:fill="F2F4FA"/>
          </w:tcPr>
          <w:p>
            <w:r>
              <w:rPr>
                <w:b/>
                <w:color w:val="1B3080"/>
                <w:sz w:val="17"/>
              </w:rPr>
              <w:t>Contenu</w:t>
            </w:r>
          </w:p>
        </w:tc>
      </w:tr>
      <w:tr>
        <w:tc>
          <w:tcPr>
            <w:tcW w:type="dxa" w:w="2551"/>
          </w:tcPr>
          <w:p>
            <w:pPr>
              <w:spacing w:after="20"/>
            </w:pPr>
            <w:r>
              <w:rPr>
                <w:rFonts w:ascii="Calibri" w:hAnsi="Calibri"/>
                <w:b/>
                <w:sz w:val="18"/>
              </w:rPr>
              <w:t>Formats de cours</w:t>
            </w:r>
          </w:p>
        </w:tc>
        <w:tc>
          <w:tcPr>
            <w:tcW w:type="dxa" w:w="6803"/>
          </w:tcPr>
          <w:p>
            <w:pPr>
              <w:spacing w:after="20"/>
            </w:pPr>
            <w:r>
              <w:rPr>
                <w:rFonts w:ascii="Calibri" w:hAnsi="Calibri"/>
                <w:sz w:val="18"/>
              </w:rPr>
              <w:t>Cours en ligne · Cours aux cabinets · Cours à domicile</w:t>
            </w:r>
          </w:p>
        </w:tc>
      </w:tr>
      <w:tr>
        <w:tc>
          <w:tcPr>
            <w:tcW w:type="dxa" w:w="2551"/>
          </w:tcPr>
          <w:p>
            <w:pPr>
              <w:spacing w:after="20"/>
            </w:pPr>
            <w:r>
              <w:rPr>
                <w:rFonts w:ascii="Calibri" w:hAnsi="Calibri"/>
                <w:b/>
                <w:sz w:val="18"/>
              </w:rPr>
              <w:t>Certifications</w:t>
            </w:r>
          </w:p>
        </w:tc>
        <w:tc>
          <w:tcPr>
            <w:tcW w:type="dxa" w:w="6803"/>
          </w:tcPr>
          <w:p>
            <w:pPr>
              <w:spacing w:after="20"/>
            </w:pPr>
            <w:r>
              <w:rPr>
                <w:rFonts w:ascii="Calibri" w:hAnsi="Calibri"/>
                <w:sz w:val="18"/>
              </w:rPr>
              <w:t>TOEIC · TOEFL · IELTS</w:t>
            </w:r>
          </w:p>
        </w:tc>
      </w:tr>
      <w:tr>
        <w:tc>
          <w:tcPr>
            <w:tcW w:type="dxa" w:w="2551"/>
          </w:tcPr>
          <w:p>
            <w:pPr>
              <w:spacing w:after="20"/>
            </w:pPr>
            <w:r>
              <w:rPr>
                <w:rFonts w:ascii="Calibri" w:hAnsi="Calibri"/>
                <w:b/>
                <w:sz w:val="18"/>
              </w:rPr>
              <w:t>Centres</w:t>
            </w:r>
          </w:p>
        </w:tc>
        <w:tc>
          <w:tcPr>
            <w:tcW w:type="dxa" w:w="6803"/>
          </w:tcPr>
          <w:p>
            <w:pPr>
              <w:spacing w:after="20"/>
            </w:pPr>
            <w:r>
              <w:rPr>
                <w:rFonts w:ascii="Calibri" w:hAnsi="Calibri"/>
                <w:sz w:val="18"/>
              </w:rPr>
              <w:t>BET Bouaké · Angré · Abatta · Yopougon · Koumassi · II Plateaux</w:t>
            </w:r>
          </w:p>
        </w:tc>
      </w:tr>
      <w:tr>
        <w:tc>
          <w:tcPr>
            <w:tcW w:type="dxa" w:w="2551"/>
          </w:tcPr>
          <w:p>
            <w:pPr>
              <w:spacing w:after="20"/>
            </w:pPr>
            <w:r>
              <w:rPr>
                <w:rFonts w:ascii="Calibri" w:hAnsi="Calibri"/>
                <w:b/>
                <w:sz w:val="18"/>
              </w:rPr>
              <w:t>Services</w:t>
            </w:r>
          </w:p>
        </w:tc>
        <w:tc>
          <w:tcPr>
            <w:tcW w:type="dxa" w:w="6803"/>
          </w:tcPr>
          <w:p>
            <w:pPr>
              <w:spacing w:after="20"/>
            </w:pPr>
            <w:r>
              <w:rPr>
                <w:rFonts w:ascii="Calibri" w:hAnsi="Calibri"/>
                <w:sz w:val="18"/>
              </w:rPr>
              <w:t>Séjour linguistique · Préparation d'interviews · Plateforme des natifs · Interprétariat</w:t>
            </w:r>
          </w:p>
        </w:tc>
      </w:tr>
    </w:tbl>
    <w:p>
      <w:pPr>
        <w:spacing w:after="120"/>
      </w:pPr>
    </w:p>
    <w:tbl>
      <w:tblPr>
        <w:tblW w:type="auto" w:w="0"/>
        <w:jc w:val="center"/>
        <w:tblLook w:firstColumn="1" w:firstRow="1" w:lastColumn="0" w:lastRow="0" w:noHBand="0" w:noVBand="1" w:val="04A0"/>
      </w:tblPr>
      <w:tblGrid>
        <w:gridCol w:w="9638"/>
      </w:tblGrid>
      <w:tr>
        <w:tc>
          <w:tcPr>
            <w:tcW w:type="dxa" w:w="9638"/>
            <w:shd w:val="clear" w:fill="F4F6FB"/>
            <w:tcBorders>
              <w:top w:val="single" w:sz="4" w:color="E4E1D9"/>
              <w:left w:val="single" w:sz="18" w:color="0891B2"/>
              <w:bottom w:val="single" w:sz="4" w:color="E4E1D9"/>
              <w:right w:val="single" w:sz="4" w:color="E4E1D9"/>
            </w:tcBorders>
          </w:tcPr>
          <w:p>
            <w:pPr>
              <w:spacing w:after="80"/>
            </w:pPr>
            <w:r>
              <w:rPr>
                <w:rFonts w:ascii="Georgia" w:hAnsi="Georgia"/>
                <w:b/>
                <w:sz w:val="22"/>
              </w:rPr>
              <w:t>Une distinction qui compte pour la maintenance</w:t>
            </w:r>
          </w:p>
          <w:p>
            <w:pPr>
              <w:spacing w:after="60"/>
            </w:pPr>
            <w:r>
              <w:rPr>
                <w:color w:val="5C6573"/>
                <w:sz w:val="20"/>
              </w:rPr>
              <w:t>Les quatre familles ci-dessus sont décrites dans des fichiers du site — les modifier demande une intervention technique et un redéploiement. En revanche les offres, leurs formules et leurs tarifs, eux, viennent du back-office et se modifient sans toucher au code. Le catalogue affiché est donc pour partie figé, pour partie administrable.</w:t>
            </w:r>
          </w:p>
        </w:tc>
      </w:tr>
    </w:tbl>
    <w:p>
      <w:pPr>
        <w:spacing w:after="120"/>
      </w:pPr>
    </w:p>
    <w:p>
      <w:pPr>
        <w:pStyle w:val="Heading1"/>
      </w:pPr>
      <w:r>
        <w:t>5. Services extérieurs</w:t>
      </w:r>
    </w:p>
    <w:tbl>
      <w:tblPr>
        <w:tblStyle w:val="TableGrid"/>
        <w:tblW w:type="auto" w:w="0"/>
        <w:jc w:val="center"/>
        <w:tblLook w:firstColumn="1" w:firstRow="1" w:lastColumn="0" w:lastRow="0" w:noHBand="0" w:noVBand="1" w:val="04A0"/>
      </w:tblPr>
      <w:tblGrid>
        <w:gridCol w:w="4819"/>
        <w:gridCol w:w="4819"/>
      </w:tblGrid>
      <w:tr>
        <w:tc>
          <w:tcPr>
            <w:tcW w:type="dxa" w:w="2268"/>
            <w:shd w:val="clear" w:fill="F2F4FA"/>
          </w:tcPr>
          <w:p>
            <w:r>
              <w:rPr>
                <w:b/>
                <w:color w:val="1B3080"/>
                <w:sz w:val="17"/>
              </w:rPr>
              <w:t>Service</w:t>
            </w:r>
          </w:p>
        </w:tc>
        <w:tc>
          <w:tcPr>
            <w:tcW w:type="dxa" w:w="7087"/>
            <w:shd w:val="clear" w:fill="F2F4FA"/>
          </w:tcPr>
          <w:p>
            <w:r>
              <w:rPr>
                <w:b/>
                <w:color w:val="1B3080"/>
                <w:sz w:val="17"/>
              </w:rPr>
              <w:t>Ce qu'il assure sur le site public</w:t>
            </w:r>
          </w:p>
        </w:tc>
      </w:tr>
      <w:tr>
        <w:tc>
          <w:tcPr>
            <w:tcW w:type="dxa" w:w="2268"/>
          </w:tcPr>
          <w:p>
            <w:pPr>
              <w:spacing w:after="20"/>
            </w:pPr>
            <w:r>
              <w:rPr>
                <w:rFonts w:ascii="Calibri" w:hAnsi="Calibri"/>
                <w:b/>
                <w:sz w:val="18"/>
              </w:rPr>
              <w:t>API BET</w:t>
            </w:r>
          </w:p>
        </w:tc>
        <w:tc>
          <w:tcPr>
            <w:tcW w:type="dxa" w:w="7087"/>
          </w:tcPr>
          <w:p>
            <w:pPr>
              <w:spacing w:after="20"/>
            </w:pPr>
            <w:r>
              <w:rPr>
                <w:rFonts w:ascii="Calibri" w:hAnsi="Calibri"/>
                <w:sz w:val="18"/>
              </w:rPr>
              <w:t>Le serveur de la plateforme : 70 points d'entrée appelés depuis ce seul site</w:t>
            </w:r>
          </w:p>
        </w:tc>
      </w:tr>
      <w:tr>
        <w:tc>
          <w:tcPr>
            <w:tcW w:type="dxa" w:w="2268"/>
          </w:tcPr>
          <w:p>
            <w:pPr>
              <w:spacing w:after="20"/>
            </w:pPr>
            <w:r>
              <w:rPr>
                <w:rFonts w:ascii="Calibri" w:hAnsi="Calibri"/>
                <w:b/>
                <w:sz w:val="18"/>
              </w:rPr>
              <w:t>Supabase</w:t>
            </w:r>
          </w:p>
        </w:tc>
        <w:tc>
          <w:tcPr>
            <w:tcW w:type="dxa" w:w="7087"/>
          </w:tcPr>
          <w:p>
            <w:pPr>
              <w:spacing w:after="20"/>
            </w:pPr>
            <w:r>
              <w:rPr>
                <w:rFonts w:ascii="Calibri" w:hAnsi="Calibri"/>
                <w:sz w:val="18"/>
              </w:rPr>
              <w:t>Comptes et sessions : connexion par mot de passe, compte Google, renouvellement</w:t>
            </w:r>
          </w:p>
        </w:tc>
      </w:tr>
      <w:tr>
        <w:tc>
          <w:tcPr>
            <w:tcW w:type="dxa" w:w="2268"/>
          </w:tcPr>
          <w:p>
            <w:pPr>
              <w:spacing w:after="20"/>
            </w:pPr>
            <w:r>
              <w:rPr>
                <w:rFonts w:ascii="Calibri" w:hAnsi="Calibri"/>
                <w:b/>
                <w:sz w:val="18"/>
              </w:rPr>
              <w:t>Firebase</w:t>
            </w:r>
          </w:p>
        </w:tc>
        <w:tc>
          <w:tcPr>
            <w:tcW w:type="dxa" w:w="7087"/>
          </w:tcPr>
          <w:p>
            <w:pPr>
              <w:spacing w:after="20"/>
            </w:pPr>
            <w:r>
              <w:rPr>
                <w:rFonts w:ascii="Calibri" w:hAnsi="Calibri"/>
                <w:sz w:val="18"/>
              </w:rPr>
              <w:t>La conversation en temps réel entre le prospect et son assistante</w:t>
            </w:r>
          </w:p>
        </w:tc>
      </w:tr>
      <w:tr>
        <w:tc>
          <w:tcPr>
            <w:tcW w:type="dxa" w:w="2268"/>
          </w:tcPr>
          <w:p>
            <w:pPr>
              <w:spacing w:after="20"/>
            </w:pPr>
            <w:r>
              <w:rPr>
                <w:rFonts w:ascii="Calibri" w:hAnsi="Calibri"/>
                <w:b/>
                <w:sz w:val="18"/>
              </w:rPr>
              <w:t>TouchPoint</w:t>
            </w:r>
          </w:p>
        </w:tc>
        <w:tc>
          <w:tcPr>
            <w:tcW w:type="dxa" w:w="7087"/>
          </w:tcPr>
          <w:p>
            <w:pPr>
              <w:spacing w:after="20"/>
            </w:pPr>
            <w:r>
              <w:rPr>
                <w:rFonts w:ascii="Calibri" w:hAnsi="Calibri"/>
                <w:sz w:val="18"/>
              </w:rPr>
              <w:t>Paiement en ligne — mobile money et carte</w:t>
            </w:r>
          </w:p>
        </w:tc>
      </w:tr>
      <w:tr>
        <w:tc>
          <w:tcPr>
            <w:tcW w:type="dxa" w:w="2268"/>
          </w:tcPr>
          <w:p>
            <w:pPr>
              <w:spacing w:after="20"/>
            </w:pPr>
            <w:r>
              <w:rPr>
                <w:rFonts w:ascii="Calibri" w:hAnsi="Calibri"/>
                <w:b/>
                <w:sz w:val="18"/>
              </w:rPr>
              <w:t>Cloudinary</w:t>
            </w:r>
          </w:p>
        </w:tc>
        <w:tc>
          <w:tcPr>
            <w:tcW w:type="dxa" w:w="7087"/>
          </w:tcPr>
          <w:p>
            <w:pPr>
              <w:spacing w:after="20"/>
            </w:pPr>
            <w:r>
              <w:rPr>
                <w:rFonts w:ascii="Calibri" w:hAnsi="Calibri"/>
                <w:sz w:val="18"/>
              </w:rPr>
              <w:t>Images, pièces jointes et enregistrements audio du test de niveau</w:t>
            </w:r>
          </w:p>
        </w:tc>
      </w:tr>
      <w:tr>
        <w:tc>
          <w:tcPr>
            <w:tcW w:type="dxa" w:w="2268"/>
          </w:tcPr>
          <w:p>
            <w:pPr>
              <w:spacing w:after="20"/>
            </w:pPr>
            <w:r>
              <w:rPr>
                <w:rFonts w:ascii="Calibri" w:hAnsi="Calibri"/>
                <w:b/>
                <w:sz w:val="18"/>
              </w:rPr>
              <w:t>Google Analytics 4</w:t>
            </w:r>
          </w:p>
        </w:tc>
        <w:tc>
          <w:tcPr>
            <w:tcW w:type="dxa" w:w="7087"/>
          </w:tcPr>
          <w:p>
            <w:pPr>
              <w:spacing w:after="20"/>
            </w:pPr>
            <w:r>
              <w:rPr>
                <w:rFonts w:ascii="Calibri" w:hAnsi="Calibri"/>
                <w:sz w:val="18"/>
              </w:rPr>
              <w:t>Mesure d'audience et suivi du tunnel</w:t>
            </w:r>
          </w:p>
        </w:tc>
      </w:tr>
    </w:tbl>
    <w:p>
      <w:pPr>
        <w:spacing w:after="120"/>
      </w:pPr>
    </w:p>
    <w:p>
      <w:pPr>
        <w:pStyle w:val="Heading1"/>
      </w:pPr>
      <w:r>
        <w:t>6. Points relevés au passage</w:t>
      </w:r>
    </w:p>
    <w:p>
      <w:pPr>
        <w:spacing w:after="160"/>
      </w:pPr>
      <w:r>
        <w:rPr>
          <w:rFonts w:ascii="Calibri" w:hAnsi="Calibri"/>
          <w:b w:val="0"/>
          <w:i w:val="0"/>
          <w:color w:val="5C6573"/>
          <w:sz w:val="21"/>
        </w:rPr>
        <w:t>Constats factuels issus de la lecture du code, sans jugement sur leur urgence.</w:t>
      </w:r>
    </w:p>
    <w:p>
      <w:pPr>
        <w:pStyle w:val="Heading3"/>
      </w:pPr>
      <w:r>
        <w:t>Un formulaire demande un numéro de carte qui n'est jamais utilisé</w:t>
      </w:r>
    </w:p>
    <w:p>
      <w:pPr>
        <w:spacing w:after="80"/>
      </w:pPr>
      <w:r>
        <w:rPr>
          <w:rFonts w:ascii="Calibri" w:hAnsi="Calibri"/>
          <w:b w:val="0"/>
          <w:i w:val="0"/>
          <w:sz w:val="21"/>
        </w:rPr>
        <w:t>La fenêtre d'offres de la barre de navigation présente des champs « Numéro de carte », « Expiration » et « CVV ». Ces valeurs ne sont transmises à personne : seul le nom du titulaire est conservé, dans une simple étiquette « Carte bancaire — &lt;titulaire&gt; » envoyée avec la demande d'inscription. Le numéro et le code de sécurité sont saisis puis abandonnés.</w:t>
      </w:r>
    </w:p>
    <w:p>
      <w:pPr>
        <w:spacing w:after="160"/>
      </w:pPr>
      <w:r>
        <w:rPr>
          <w:rFonts w:ascii="Calibri" w:hAnsi="Calibri"/>
          <w:b w:val="0"/>
          <w:i w:val="0"/>
          <w:color w:val="5C6573"/>
          <w:sz w:val="20"/>
        </w:rPr>
        <w:t>Deux conséquences : le visiteur croit payer alors qu'il ne paie pas, et il apprend à taper ses coordonnées bancaires sur une page qui n'est pas une page de paiement. Le paiement réel passe par TouchPoint, hors du site — comme il doit.</w:t>
      </w:r>
    </w:p>
    <w:p>
      <w:pPr>
        <w:pStyle w:val="Heading3"/>
      </w:pPr>
      <w:r>
        <w:t>Aucune page d'erreur</w:t>
      </w:r>
    </w:p>
    <w:p>
      <w:pPr>
        <w:spacing w:after="160"/>
      </w:pPr>
      <w:r>
        <w:rPr>
          <w:rFonts w:ascii="Calibri" w:hAnsi="Calibri"/>
          <w:b w:val="0"/>
          <w:i w:val="0"/>
          <w:sz w:val="21"/>
        </w:rPr>
        <w:t>Le routeur ne déclare pas de route de repli. Une adresse inconnue — un lien périmé, une faute de frappe, un ancien signet — n'affiche donc ni message, ni chemin de retour.</w:t>
      </w:r>
    </w:p>
    <w:p>
      <w:pPr>
        <w:pStyle w:val="Heading3"/>
      </w:pPr>
      <w:r>
        <w:t>Trois adresses sur quatre mènent à un site qui ne répond pas</w:t>
      </w:r>
    </w:p>
    <w:p>
      <w:pPr>
        <w:spacing w:after="160"/>
      </w:pPr>
      <w:r>
        <w:rPr>
          <w:rFonts w:ascii="Calibri" w:hAnsi="Calibri"/>
          <w:b w:val="0"/>
          <w:i w:val="0"/>
          <w:sz w:val="21"/>
        </w:rPr>
        <w:t>Le site est atteignable par quatre noms : binniesenglish.net, www.binniesenglish.net, binniesenglish.com et www.binniesenglish.com. Un seul figure dans les origines autorisées par le serveur. Depuis les trois autres, la page s'affiche mais aucun appel n'aboutit : ni inscription, ni test de niveau, ni paiement.</w:t>
      </w:r>
    </w:p>
    <w:p>
      <w:pPr>
        <w:pStyle w:val="Heading3"/>
      </w:pPr>
      <w:r>
        <w:t>Le catalogue de présentation est figé dans le code</w:t>
      </w:r>
    </w:p>
    <w:p>
      <w:pPr>
        <w:spacing w:after="160"/>
      </w:pPr>
      <w:r>
        <w:rPr>
          <w:rFonts w:ascii="Calibri" w:hAnsi="Calibri"/>
          <w:b w:val="0"/>
          <w:i w:val="0"/>
          <w:sz w:val="21"/>
        </w:rPr>
        <w:t>Ajouter un centre ou une certification demande aujourd'hui une intervention technique. Les six centres, trois certifications, trois formats de cours et quatre services sont décrits dans des fichiers du site, là où tout le reste du contenu est administrable.</w:t>
      </w:r>
    </w:p>
    <w:sectPr w:rsidR="00FC693F" w:rsidRPr="0006063C" w:rsidSect="00034616">
      <w:footerReference w:type="default" r:id="rId9"/>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93A1"/>
        <w:sz w:val="16"/>
      </w:rPr>
      <w:t xml:space="preserve">Inventaire du site public BET · 26 septembre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Calibri" w:hAnsi="Calibri" w:eastAsia="Calibri"/>
      <w:b w:val="0"/>
      <w:color w:val="1216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00"/>
      <w:outlineLvl w:val="0"/>
    </w:pPr>
    <w:rPr>
      <w:rFonts w:asciiTheme="majorHAnsi" w:eastAsiaTheme="majorEastAsia" w:hAnsiTheme="majorHAnsi" w:cstheme="majorBidi" w:ascii="Georgia" w:hAnsi="Georgia" w:eastAsia="Georgia"/>
      <w:b/>
      <w:bCs/>
      <w:color w:val="12161D"/>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eastAsia="Georgia"/>
      <w:b/>
      <w:bCs/>
      <w:color w:val="1B3080"/>
      <w:sz w:val="25"/>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ascii="Georgia" w:hAnsi="Georgia" w:eastAsia="Georgia"/>
      <w:b/>
      <w:bCs/>
      <w:color w:val="1216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1216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Inventaire du site public BET</dc:title>
  <dc:subject>Pages, parcours et fonctionnalités — relevé du 26 septembre 2026</dc:subject>
  <dc:creator>Binnie's English Training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