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35645A"/>
          <w:sz w:val="20"/>
        </w:rPr>
        <w:t>BUSINESS REQUIREMENTS DOCUMENT</w:t>
      </w:r>
    </w:p>
    <w:p>
      <w:pPr>
        <w:pStyle w:val="Title"/>
      </w:pPr>
      <w:r>
        <w:t>Retail Customer Analytics</w:t>
        <w:br/>
        <w:t>&amp; RFM Segmentation</w:t>
      </w:r>
    </w:p>
    <w:p>
      <w:pPr/>
      <w:r>
        <w:rPr>
          <w:rFonts w:ascii="Arial" w:hAnsi="Arial" w:eastAsia="Arial" w:cs="Arial"/>
          <w:b/>
          <w:color w:val="35645A"/>
          <w:sz w:val="18"/>
        </w:rPr>
        <w:t>PostgreSQL | Google Colab | Power BI</w:t>
      </w:r>
    </w:p>
    <w:p>
      <w:pPr/>
      <w:r>
        <w:rPr>
          <w:rFonts w:ascii="Arial" w:hAnsi="Arial" w:eastAsia="Arial" w:cs="Arial"/>
          <w:sz w:val="18"/>
        </w:rPr>
        <w:t>Project type: Guided learning project with a customized SQL/Python implementation and Power BI design</w:t>
      </w:r>
    </w:p>
    <w:p>
      <w:pPr>
        <w:pStyle w:val="Heading1"/>
      </w:pPr>
      <w:r>
        <w:t>1. Background and objective</w:t>
      </w:r>
    </w:p>
    <w:p>
      <w:pPr/>
      <w:r>
        <w:rPr>
          <w:rFonts w:ascii="Arial" w:hAnsi="Arial" w:eastAsia="Arial" w:cs="Arial"/>
          <w:sz w:val="18"/>
        </w:rPr>
        <w:t>A retail business needs a clearer picture of who buys most often, who contributes the highest revenue and who may no longer be purchasing. This project uses historical transactions to group customers by Recency, Frequency and Monetary value (RFM), then presents the results in a Power BI report.</w:t>
      </w:r>
    </w:p>
    <w:p>
      <w:pPr/>
      <w:r>
        <w:rPr>
          <w:rFonts w:ascii="Arial" w:hAnsi="Arial" w:eastAsia="Arial" w:cs="Arial"/>
          <w:sz w:val="18"/>
        </w:rPr>
        <w:t>Objective: build a clear, filterable view of customer value, customer segments, buying trends and churn status, with findings that can support retention planning.</w:t>
      </w:r>
    </w:p>
    <w:p>
      <w:pPr>
        <w:pStyle w:val="Heading1"/>
      </w:pPr>
      <w:r>
        <w:t>2. Questions the report should answer</w:t>
      </w:r>
    </w:p>
    <w:p>
      <w:pPr>
        <w:pStyle w:val="ListBullet"/>
        <w:spacing w:after="40"/>
      </w:pPr>
      <w:r>
        <w:rPr>
          <w:rFonts w:ascii="Arial" w:hAnsi="Arial" w:eastAsia="Arial" w:cs="Arial"/>
          <w:sz w:val="18"/>
        </w:rPr>
        <w:t>Which customer segments generate most of the revenue?</w:t>
      </w:r>
    </w:p>
    <w:p>
      <w:pPr>
        <w:pStyle w:val="ListBullet"/>
        <w:spacing w:after="40"/>
      </w:pPr>
      <w:r>
        <w:rPr>
          <w:rFonts w:ascii="Arial" w:hAnsi="Arial" w:eastAsia="Arial" w:cs="Arial"/>
          <w:sz w:val="18"/>
        </w:rPr>
        <w:t>How many customers fall into each RFM segment?</w:t>
      </w:r>
    </w:p>
    <w:p>
      <w:pPr>
        <w:pStyle w:val="ListBullet"/>
        <w:spacing w:after="40"/>
      </w:pPr>
      <w:r>
        <w:rPr>
          <w:rFonts w:ascii="Arial" w:hAnsi="Arial" w:eastAsia="Arial" w:cs="Arial"/>
          <w:sz w:val="18"/>
        </w:rPr>
        <w:t>How many customers are flagged as churned under the selected inactivity rule?</w:t>
      </w:r>
    </w:p>
    <w:p>
      <w:pPr>
        <w:pStyle w:val="ListBullet"/>
        <w:spacing w:after="40"/>
      </w:pPr>
      <w:r>
        <w:rPr>
          <w:rFonts w:ascii="Arial" w:hAnsi="Arial" w:eastAsia="Arial" w:cs="Arial"/>
          <w:sz w:val="18"/>
        </w:rPr>
        <w:t>How do customer numbers and revenue change by month, quarter, year and country?</w:t>
      </w:r>
    </w:p>
    <w:p>
      <w:pPr>
        <w:pStyle w:val="ListBullet"/>
        <w:spacing w:after="40"/>
      </w:pPr>
      <w:r>
        <w:rPr>
          <w:rFonts w:ascii="Arial" w:hAnsi="Arial" w:eastAsia="Arial" w:cs="Arial"/>
          <w:sz w:val="18"/>
        </w:rPr>
        <w:t>Which groups should be prioritized for loyalty and reactivation efforts?</w:t>
      </w:r>
    </w:p>
    <w:p>
      <w:pPr>
        <w:pStyle w:val="Heading1"/>
      </w:pPr>
      <w:r>
        <w:t>3. Data and workflow</w:t>
      </w:r>
    </w:p>
    <w:p>
      <w:pPr/>
      <w:r>
        <w:rPr>
          <w:rFonts w:ascii="Arial" w:hAnsi="Arial" w:eastAsia="Arial" w:cs="Arial"/>
          <w:sz w:val="18"/>
        </w:rPr>
        <w:t>Source: UCI Online Retail II, comprising two historical retail transaction sheets covering December 2009 to December 2011. No live corporate data is used.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3F3B"/>
          </w:tcPr>
          <w:p>
            <w:r>
              <w:rPr>
                <w:rFonts w:ascii="Arial" w:hAnsi="Arial" w:eastAsia="Arial" w:cs="Arial"/>
                <w:b/>
                <w:color w:val="FFFFFF"/>
                <w:sz w:val="18"/>
              </w:rPr>
              <w:t>Stage</w:t>
            </w:r>
          </w:p>
        </w:tc>
        <w:tc>
          <w:tcPr>
            <w:tcW w:type="dxa" w:w="3331"/>
            <w:shd w:fill="173F3B"/>
          </w:tcPr>
          <w:p>
            <w:r>
              <w:rPr>
                <w:rFonts w:ascii="Arial" w:hAnsi="Arial" w:eastAsia="Arial" w:cs="Arial"/>
                <w:b/>
                <w:color w:val="FFFFFF"/>
                <w:sz w:val="18"/>
              </w:rPr>
              <w:t>Tool</w:t>
            </w:r>
          </w:p>
        </w:tc>
        <w:tc>
          <w:tcPr>
            <w:tcW w:type="dxa" w:w="3331"/>
            <w:shd w:fill="173F3B"/>
          </w:tcPr>
          <w:p>
            <w:r>
              <w:rPr>
                <w:rFonts w:ascii="Arial" w:hAnsi="Arial" w:eastAsia="Arial" w:cs="Arial"/>
                <w:b/>
                <w:color w:val="FFFFFF"/>
                <w:sz w:val="18"/>
              </w:rPr>
              <w:t>Work completed</w:t>
            </w:r>
          </w:p>
        </w:tc>
      </w:tr>
      <w:tr>
        <w:tc>
          <w:tcPr>
            <w:tcW w:type="dxa" w:w="3331"/>
            <w:vAlign w:val="center"/>
          </w:tcPr>
          <w:p>
            <w:r>
              <w:rPr>
                <w:rFonts w:ascii="Arial" w:hAnsi="Arial" w:eastAsia="Arial" w:cs="Arial"/>
                <w:sz w:val="18"/>
              </w:rPr>
              <w:t>Import and combine</w:t>
            </w:r>
          </w:p>
        </w:tc>
        <w:tc>
          <w:tcPr>
            <w:tcW w:type="dxa" w:w="3331"/>
            <w:vAlign w:val="center"/>
          </w:tcPr>
          <w:p>
            <w:r>
              <w:rPr>
                <w:rFonts w:ascii="Arial" w:hAnsi="Arial" w:eastAsia="Arial" w:cs="Arial"/>
                <w:sz w:val="18"/>
              </w:rPr>
              <w:t>PostgreSQL / pgAdmin</w:t>
            </w:r>
          </w:p>
        </w:tc>
        <w:tc>
          <w:tcPr>
            <w:tcW w:type="dxa" w:w="3331"/>
            <w:vAlign w:val="center"/>
          </w:tcPr>
          <w:p>
            <w:r>
              <w:rPr>
                <w:rFonts w:ascii="Arial" w:hAnsi="Arial" w:eastAsia="Arial" w:cs="Arial"/>
                <w:sz w:val="18"/>
              </w:rPr>
              <w:t>Load two source sheets, convert data types and append with UNION ALL.</w:t>
            </w:r>
          </w:p>
        </w:tc>
      </w:tr>
      <w:tr>
        <w:tc>
          <w:tcPr>
            <w:tcW w:type="dxa" w:w="3331"/>
            <w:vAlign w:val="center"/>
          </w:tcPr>
          <w:p>
            <w:r>
              <w:rPr>
                <w:rFonts w:ascii="Arial" w:hAnsi="Arial" w:eastAsia="Arial" w:cs="Arial"/>
                <w:sz w:val="18"/>
              </w:rPr>
              <w:t>Quality checks</w:t>
            </w:r>
          </w:p>
        </w:tc>
        <w:tc>
          <w:tcPr>
            <w:tcW w:type="dxa" w:w="3331"/>
            <w:vAlign w:val="center"/>
          </w:tcPr>
          <w:p>
            <w:r>
              <w:rPr>
                <w:rFonts w:ascii="Arial" w:hAnsi="Arial" w:eastAsia="Arial" w:cs="Arial"/>
                <w:sz w:val="18"/>
              </w:rPr>
              <w:t>PostgreSQL SQL</w:t>
            </w:r>
          </w:p>
        </w:tc>
        <w:tc>
          <w:tcPr>
            <w:tcW w:type="dxa" w:w="3331"/>
            <w:vAlign w:val="center"/>
          </w:tcPr>
          <w:p>
            <w:r>
              <w:rPr>
                <w:rFonts w:ascii="Arial" w:hAnsi="Arial" w:eastAsia="Arial" w:cs="Arial"/>
                <w:sz w:val="18"/>
              </w:rPr>
              <w:t>Review missing IDs, nonpositive quantities, missing descriptions and duplicates.</w:t>
            </w:r>
          </w:p>
        </w:tc>
      </w:tr>
      <w:tr>
        <w:tc>
          <w:tcPr>
            <w:tcW w:type="dxa" w:w="3331"/>
            <w:vAlign w:val="center"/>
          </w:tcPr>
          <w:p>
            <w:r>
              <w:rPr>
                <w:rFonts w:ascii="Arial" w:hAnsi="Arial" w:eastAsia="Arial" w:cs="Arial"/>
                <w:sz w:val="18"/>
              </w:rPr>
              <w:t>RFM and segmentation</w:t>
            </w:r>
          </w:p>
        </w:tc>
        <w:tc>
          <w:tcPr>
            <w:tcW w:type="dxa" w:w="3331"/>
            <w:vAlign w:val="center"/>
          </w:tcPr>
          <w:p>
            <w:r>
              <w:rPr>
                <w:rFonts w:ascii="Arial" w:hAnsi="Arial" w:eastAsia="Arial" w:cs="Arial"/>
                <w:sz w:val="18"/>
              </w:rPr>
              <w:t>Python / Google Colab</w:t>
            </w:r>
          </w:p>
        </w:tc>
        <w:tc>
          <w:tcPr>
            <w:tcW w:type="dxa" w:w="3331"/>
            <w:vAlign w:val="center"/>
          </w:tcPr>
          <w:p>
            <w:r>
              <w:rPr>
                <w:rFonts w:ascii="Arial" w:hAnsi="Arial" w:eastAsia="Arial" w:cs="Arial"/>
                <w:sz w:val="18"/>
              </w:rPr>
              <w:t>Calculate R, F, M; assign six segments; flag customers inactive for over 90 days.</w:t>
            </w:r>
          </w:p>
        </w:tc>
      </w:tr>
      <w:tr>
        <w:tc>
          <w:tcPr>
            <w:tcW w:type="dxa" w:w="3331"/>
            <w:vAlign w:val="center"/>
          </w:tcPr>
          <w:p>
            <w:r>
              <w:rPr>
                <w:rFonts w:ascii="Arial" w:hAnsi="Arial" w:eastAsia="Arial" w:cs="Arial"/>
                <w:sz w:val="18"/>
              </w:rPr>
              <w:t>Management dashboard</w:t>
            </w:r>
          </w:p>
        </w:tc>
        <w:tc>
          <w:tcPr>
            <w:tcW w:type="dxa" w:w="3331"/>
            <w:vAlign w:val="center"/>
          </w:tcPr>
          <w:p>
            <w:r>
              <w:rPr>
                <w:rFonts w:ascii="Arial" w:hAnsi="Arial" w:eastAsia="Arial" w:cs="Arial"/>
                <w:sz w:val="18"/>
              </w:rPr>
              <w:t>Power BI</w:t>
            </w:r>
          </w:p>
        </w:tc>
        <w:tc>
          <w:tcPr>
            <w:tcW w:type="dxa" w:w="3331"/>
            <w:vAlign w:val="center"/>
          </w:tcPr>
          <w:p>
            <w:r>
              <w:rPr>
                <w:rFonts w:ascii="Arial" w:hAnsi="Arial" w:eastAsia="Arial" w:cs="Arial"/>
                <w:sz w:val="18"/>
              </w:rPr>
              <w:t>Build three pages covering navigation, business overview and RFM analysis.</w:t>
            </w:r>
          </w:p>
        </w:tc>
      </w:tr>
    </w:tbl>
    <w:p>
      <w:pPr>
        <w:spacing w:after="0"/>
      </w:pPr>
    </w:p>
    <w:p>
      <w:pPr>
        <w:pStyle w:val="Heading1"/>
      </w:pPr>
      <w:r>
        <w:t>4. Dataset and analysis figures</w:t>
      </w:r>
    </w:p>
    <w:tbl>
      <w:tblPr>
        <w:tblStyle w:val="TableGrid"/>
        <w:tblW w:type="auto" w:w="0"/>
        <w:jc w:val="center"/>
        <w:tblLook w:firstColumn="1" w:firstRow="1" w:lastColumn="0" w:lastRow="0" w:noHBand="0" w:noVBand="1" w:val="04A0"/>
      </w:tblPr>
      <w:tblGrid>
        <w:gridCol w:w="4997"/>
        <w:gridCol w:w="4997"/>
      </w:tblGrid>
      <w:tr>
        <w:tc>
          <w:tcPr>
            <w:tcW w:type="dxa" w:w="4997"/>
            <w:shd w:fill="173F3B"/>
          </w:tcPr>
          <w:p>
            <w:r>
              <w:rPr>
                <w:rFonts w:ascii="Arial" w:hAnsi="Arial" w:eastAsia="Arial" w:cs="Arial"/>
                <w:b/>
                <w:color w:val="FFFFFF"/>
                <w:sz w:val="18"/>
              </w:rPr>
              <w:t>Measure</w:t>
            </w:r>
          </w:p>
        </w:tc>
        <w:tc>
          <w:tcPr>
            <w:tcW w:type="dxa" w:w="4997"/>
            <w:shd w:fill="173F3B"/>
          </w:tcPr>
          <w:p>
            <w:r>
              <w:rPr>
                <w:rFonts w:ascii="Arial" w:hAnsi="Arial" w:eastAsia="Arial" w:cs="Arial"/>
                <w:b/>
                <w:color w:val="FFFFFF"/>
                <w:sz w:val="18"/>
              </w:rPr>
              <w:t>Recorded result</w:t>
            </w:r>
          </w:p>
        </w:tc>
      </w:tr>
      <w:tr>
        <w:tc>
          <w:tcPr>
            <w:tcW w:type="dxa" w:w="4997"/>
            <w:vAlign w:val="center"/>
          </w:tcPr>
          <w:p>
            <w:r>
              <w:rPr>
                <w:rFonts w:ascii="Arial" w:hAnsi="Arial" w:eastAsia="Arial" w:cs="Arial"/>
                <w:sz w:val="18"/>
              </w:rPr>
              <w:t>Combined transaction rows</w:t>
            </w:r>
          </w:p>
        </w:tc>
        <w:tc>
          <w:tcPr>
            <w:tcW w:type="dxa" w:w="4997"/>
            <w:vAlign w:val="center"/>
          </w:tcPr>
          <w:p>
            <w:r>
              <w:rPr>
                <w:rFonts w:ascii="Arial" w:hAnsi="Arial" w:eastAsia="Arial" w:cs="Arial"/>
                <w:sz w:val="18"/>
              </w:rPr>
              <w:t>1,067,371</w:t>
            </w:r>
          </w:p>
        </w:tc>
      </w:tr>
      <w:tr>
        <w:tc>
          <w:tcPr>
            <w:tcW w:type="dxa" w:w="4997"/>
            <w:vAlign w:val="center"/>
          </w:tcPr>
          <w:p>
            <w:r>
              <w:rPr>
                <w:rFonts w:ascii="Arial" w:hAnsi="Arial" w:eastAsia="Arial" w:cs="Arial"/>
                <w:sz w:val="18"/>
              </w:rPr>
              <w:t>Rows after SQL deduplication</w:t>
            </w:r>
          </w:p>
        </w:tc>
        <w:tc>
          <w:tcPr>
            <w:tcW w:type="dxa" w:w="4997"/>
            <w:vAlign w:val="center"/>
          </w:tcPr>
          <w:p>
            <w:r>
              <w:rPr>
                <w:rFonts w:ascii="Arial" w:hAnsi="Arial" w:eastAsia="Arial" w:cs="Arial"/>
                <w:sz w:val="18"/>
              </w:rPr>
              <w:t>1,033,036</w:t>
            </w:r>
          </w:p>
        </w:tc>
      </w:tr>
      <w:tr>
        <w:tc>
          <w:tcPr>
            <w:tcW w:type="dxa" w:w="4997"/>
            <w:vAlign w:val="center"/>
          </w:tcPr>
          <w:p>
            <w:r>
              <w:rPr>
                <w:rFonts w:ascii="Arial" w:hAnsi="Arial" w:eastAsia="Arial" w:cs="Arial"/>
                <w:sz w:val="18"/>
              </w:rPr>
              <w:t>Rows in the enriched Power BI dataset</w:t>
            </w:r>
          </w:p>
        </w:tc>
        <w:tc>
          <w:tcPr>
            <w:tcW w:type="dxa" w:w="4997"/>
            <w:vAlign w:val="center"/>
          </w:tcPr>
          <w:p>
            <w:r>
              <w:rPr>
                <w:rFonts w:ascii="Arial" w:hAnsi="Arial" w:eastAsia="Arial" w:cs="Arial"/>
                <w:sz w:val="18"/>
              </w:rPr>
              <w:t>779,495</w:t>
            </w:r>
          </w:p>
        </w:tc>
      </w:tr>
      <w:tr>
        <w:tc>
          <w:tcPr>
            <w:tcW w:type="dxa" w:w="4997"/>
            <w:vAlign w:val="center"/>
          </w:tcPr>
          <w:p>
            <w:r>
              <w:rPr>
                <w:rFonts w:ascii="Arial" w:hAnsi="Arial" w:eastAsia="Arial" w:cs="Arial"/>
                <w:sz w:val="18"/>
              </w:rPr>
              <w:t>Customers with RFM profiles</w:t>
            </w:r>
          </w:p>
        </w:tc>
        <w:tc>
          <w:tcPr>
            <w:tcW w:type="dxa" w:w="4997"/>
            <w:vAlign w:val="center"/>
          </w:tcPr>
          <w:p>
            <w:r>
              <w:rPr>
                <w:rFonts w:ascii="Arial" w:hAnsi="Arial" w:eastAsia="Arial" w:cs="Arial"/>
                <w:sz w:val="18"/>
              </w:rPr>
              <w:t>5,881</w:t>
            </w:r>
          </w:p>
        </w:tc>
      </w:tr>
      <w:tr>
        <w:tc>
          <w:tcPr>
            <w:tcW w:type="dxa" w:w="4997"/>
            <w:vAlign w:val="center"/>
          </w:tcPr>
          <w:p>
            <w:r>
              <w:rPr>
                <w:rFonts w:ascii="Arial" w:hAnsi="Arial" w:eastAsia="Arial" w:cs="Arial"/>
                <w:sz w:val="18"/>
              </w:rPr>
              <w:t>Customer segments</w:t>
            </w:r>
          </w:p>
        </w:tc>
        <w:tc>
          <w:tcPr>
            <w:tcW w:type="dxa" w:w="4997"/>
            <w:vAlign w:val="center"/>
          </w:tcPr>
          <w:p>
            <w:r>
              <w:rPr>
                <w:rFonts w:ascii="Arial" w:hAnsi="Arial" w:eastAsia="Arial" w:cs="Arial"/>
                <w:sz w:val="18"/>
              </w:rPr>
              <w:t>6</w:t>
            </w:r>
          </w:p>
        </w:tc>
      </w:tr>
      <w:tr>
        <w:tc>
          <w:tcPr>
            <w:tcW w:type="dxa" w:w="4997"/>
            <w:vAlign w:val="center"/>
          </w:tcPr>
          <w:p>
            <w:r>
              <w:rPr>
                <w:rFonts w:ascii="Arial" w:hAnsi="Arial" w:eastAsia="Arial" w:cs="Arial"/>
                <w:sz w:val="18"/>
              </w:rPr>
              <w:t>Churn classification</w:t>
            </w:r>
          </w:p>
        </w:tc>
        <w:tc>
          <w:tcPr>
            <w:tcW w:type="dxa" w:w="4997"/>
            <w:vAlign w:val="center"/>
          </w:tcPr>
          <w:p>
            <w:r>
              <w:rPr>
                <w:rFonts w:ascii="Arial" w:hAnsi="Arial" w:eastAsia="Arial" w:cs="Arial"/>
                <w:sz w:val="18"/>
              </w:rPr>
              <w:t>Recency &gt; 90 days</w:t>
            </w:r>
          </w:p>
        </w:tc>
      </w:tr>
    </w:tbl>
    <w:p>
      <w:pPr>
        <w:spacing w:after="0"/>
      </w:pPr>
    </w:p>
    <w:p>
      <w:pPr>
        <w:pStyle w:val="Heading1"/>
        <w:pageBreakBefore/>
      </w:pPr>
      <w:r>
        <w:t>5. Analytical definitions</w:t>
      </w:r>
    </w:p>
    <w:tbl>
      <w:tblPr>
        <w:tblStyle w:val="TableGrid"/>
        <w:tblW w:type="auto" w:w="0"/>
        <w:jc w:val="center"/>
        <w:tblLook w:firstColumn="1" w:firstRow="1" w:lastColumn="0" w:lastRow="0" w:noHBand="0" w:noVBand="1" w:val="04A0"/>
      </w:tblPr>
      <w:tblGrid>
        <w:gridCol w:w="4997"/>
        <w:gridCol w:w="4997"/>
      </w:tblGrid>
      <w:tr>
        <w:tc>
          <w:tcPr>
            <w:tcW w:type="dxa" w:w="4997"/>
            <w:shd w:fill="173F3B"/>
          </w:tcPr>
          <w:p>
            <w:r>
              <w:rPr>
                <w:rFonts w:ascii="Arial" w:hAnsi="Arial" w:eastAsia="Arial" w:cs="Arial"/>
                <w:b/>
                <w:color w:val="FFFFFF"/>
                <w:sz w:val="18"/>
              </w:rPr>
              <w:t>Measure</w:t>
            </w:r>
          </w:p>
        </w:tc>
        <w:tc>
          <w:tcPr>
            <w:tcW w:type="dxa" w:w="4997"/>
            <w:shd w:fill="173F3B"/>
          </w:tcPr>
          <w:p>
            <w:r>
              <w:rPr>
                <w:rFonts w:ascii="Arial" w:hAnsi="Arial" w:eastAsia="Arial" w:cs="Arial"/>
                <w:b/>
                <w:color w:val="FFFFFF"/>
                <w:sz w:val="18"/>
              </w:rPr>
              <w:t>Working definition</w:t>
            </w:r>
          </w:p>
        </w:tc>
      </w:tr>
      <w:tr>
        <w:tc>
          <w:tcPr>
            <w:tcW w:type="dxa" w:w="4997"/>
            <w:vAlign w:val="center"/>
          </w:tcPr>
          <w:p>
            <w:r>
              <w:rPr>
                <w:rFonts w:ascii="Arial" w:hAnsi="Arial" w:eastAsia="Arial" w:cs="Arial"/>
                <w:sz w:val="18"/>
              </w:rPr>
              <w:t>Recency</w:t>
            </w:r>
          </w:p>
        </w:tc>
        <w:tc>
          <w:tcPr>
            <w:tcW w:type="dxa" w:w="4997"/>
            <w:vAlign w:val="center"/>
          </w:tcPr>
          <w:p>
            <w:r>
              <w:rPr>
                <w:rFonts w:ascii="Arial" w:hAnsi="Arial" w:eastAsia="Arial" w:cs="Arial"/>
                <w:sz w:val="18"/>
              </w:rPr>
              <w:t>Days since latest qualifying purchase at the fixed 10 Dec 2011 snapshot.</w:t>
            </w:r>
          </w:p>
        </w:tc>
      </w:tr>
      <w:tr>
        <w:tc>
          <w:tcPr>
            <w:tcW w:type="dxa" w:w="4997"/>
            <w:vAlign w:val="center"/>
          </w:tcPr>
          <w:p>
            <w:r>
              <w:rPr>
                <w:rFonts w:ascii="Arial" w:hAnsi="Arial" w:eastAsia="Arial" w:cs="Arial"/>
                <w:sz w:val="18"/>
              </w:rPr>
              <w:t>Frequency</w:t>
            </w:r>
          </w:p>
        </w:tc>
        <w:tc>
          <w:tcPr>
            <w:tcW w:type="dxa" w:w="4997"/>
            <w:vAlign w:val="center"/>
          </w:tcPr>
          <w:p>
            <w:r>
              <w:rPr>
                <w:rFonts w:ascii="Arial" w:hAnsi="Arial" w:eastAsia="Arial" w:cs="Arial"/>
                <w:sz w:val="18"/>
              </w:rPr>
              <w:t>Number of distinct invoices per customer.</w:t>
            </w:r>
          </w:p>
        </w:tc>
      </w:tr>
      <w:tr>
        <w:tc>
          <w:tcPr>
            <w:tcW w:type="dxa" w:w="4997"/>
            <w:vAlign w:val="center"/>
          </w:tcPr>
          <w:p>
            <w:r>
              <w:rPr>
                <w:rFonts w:ascii="Arial" w:hAnsi="Arial" w:eastAsia="Arial" w:cs="Arial"/>
                <w:sz w:val="18"/>
              </w:rPr>
              <w:t>Monetary</w:t>
            </w:r>
          </w:p>
        </w:tc>
        <w:tc>
          <w:tcPr>
            <w:tcW w:type="dxa" w:w="4997"/>
            <w:vAlign w:val="center"/>
          </w:tcPr>
          <w:p>
            <w:r>
              <w:rPr>
                <w:rFonts w:ascii="Arial" w:hAnsi="Arial" w:eastAsia="Arial" w:cs="Arial"/>
                <w:sz w:val="18"/>
              </w:rPr>
              <w:t>Total qualifying purchase value (quantity × price).</w:t>
            </w:r>
          </w:p>
        </w:tc>
      </w:tr>
      <w:tr>
        <w:tc>
          <w:tcPr>
            <w:tcW w:type="dxa" w:w="4997"/>
            <w:vAlign w:val="center"/>
          </w:tcPr>
          <w:p>
            <w:r>
              <w:rPr>
                <w:rFonts w:ascii="Arial" w:hAnsi="Arial" w:eastAsia="Arial" w:cs="Arial"/>
                <w:sz w:val="18"/>
              </w:rPr>
              <w:t>Customer segments</w:t>
            </w:r>
          </w:p>
        </w:tc>
        <w:tc>
          <w:tcPr>
            <w:tcW w:type="dxa" w:w="4997"/>
            <w:vAlign w:val="center"/>
          </w:tcPr>
          <w:p>
            <w:r>
              <w:rPr>
                <w:rFonts w:ascii="Arial" w:hAnsi="Arial" w:eastAsia="Arial" w:cs="Arial"/>
                <w:sz w:val="18"/>
              </w:rPr>
              <w:t>Champions, Loyal, At Risk, New, Needs Attention and Lost.</w:t>
            </w:r>
          </w:p>
        </w:tc>
      </w:tr>
      <w:tr>
        <w:tc>
          <w:tcPr>
            <w:tcW w:type="dxa" w:w="4997"/>
            <w:vAlign w:val="center"/>
          </w:tcPr>
          <w:p>
            <w:r>
              <w:rPr>
                <w:rFonts w:ascii="Arial" w:hAnsi="Arial" w:eastAsia="Arial" w:cs="Arial"/>
                <w:sz w:val="18"/>
              </w:rPr>
              <w:t>Churn Status</w:t>
            </w:r>
          </w:p>
        </w:tc>
        <w:tc>
          <w:tcPr>
            <w:tcW w:type="dxa" w:w="4997"/>
            <w:vAlign w:val="center"/>
          </w:tcPr>
          <w:p>
            <w:r>
              <w:rPr>
                <w:rFonts w:ascii="Arial" w:hAnsi="Arial" w:eastAsia="Arial" w:cs="Arial"/>
                <w:sz w:val="18"/>
              </w:rPr>
              <w:t>Display label: True = Churned; False = Not Churned. Classification unchanged.</w:t>
            </w:r>
          </w:p>
        </w:tc>
      </w:tr>
    </w:tbl>
    <w:p>
      <w:pPr>
        <w:spacing w:after="0"/>
      </w:pPr>
    </w:p>
    <w:p>
      <w:pPr>
        <w:pStyle w:val="Heading1"/>
      </w:pPr>
      <w:r>
        <w:t>6. Report pages and requirements</w:t>
      </w:r>
    </w:p>
    <w:tbl>
      <w:tblPr>
        <w:tblStyle w:val="TableGrid"/>
        <w:tblW w:type="auto" w:w="0"/>
        <w:jc w:val="center"/>
        <w:tblLook w:firstColumn="1" w:firstRow="1" w:lastColumn="0" w:lastRow="0" w:noHBand="0" w:noVBand="1" w:val="04A0"/>
      </w:tblPr>
      <w:tblGrid>
        <w:gridCol w:w="4997"/>
        <w:gridCol w:w="4997"/>
      </w:tblGrid>
      <w:tr>
        <w:tc>
          <w:tcPr>
            <w:tcW w:type="dxa" w:w="4997"/>
            <w:shd w:fill="173F3B"/>
          </w:tcPr>
          <w:p>
            <w:r>
              <w:rPr>
                <w:rFonts w:ascii="Arial" w:hAnsi="Arial" w:eastAsia="Arial" w:cs="Arial"/>
                <w:b/>
                <w:color w:val="FFFFFF"/>
                <w:sz w:val="18"/>
              </w:rPr>
              <w:t>Page</w:t>
            </w:r>
          </w:p>
        </w:tc>
        <w:tc>
          <w:tcPr>
            <w:tcW w:type="dxa" w:w="4997"/>
            <w:shd w:fill="173F3B"/>
          </w:tcPr>
          <w:p>
            <w:r>
              <w:rPr>
                <w:rFonts w:ascii="Arial" w:hAnsi="Arial" w:eastAsia="Arial" w:cs="Arial"/>
                <w:b/>
                <w:color w:val="FFFFFF"/>
                <w:sz w:val="18"/>
              </w:rPr>
              <w:t>Required content</w:t>
            </w:r>
          </w:p>
        </w:tc>
      </w:tr>
      <w:tr>
        <w:tc>
          <w:tcPr>
            <w:tcW w:type="dxa" w:w="4997"/>
            <w:vAlign w:val="center"/>
          </w:tcPr>
          <w:p>
            <w:r>
              <w:rPr>
                <w:rFonts w:ascii="Arial" w:hAnsi="Arial" w:eastAsia="Arial" w:cs="Arial"/>
                <w:sz w:val="18"/>
              </w:rPr>
              <w:t>Home Page</w:t>
            </w:r>
          </w:p>
        </w:tc>
        <w:tc>
          <w:tcPr>
            <w:tcW w:type="dxa" w:w="4997"/>
            <w:vAlign w:val="center"/>
          </w:tcPr>
          <w:p>
            <w:r>
              <w:rPr>
                <w:rFonts w:ascii="Arial" w:hAnsi="Arial" w:eastAsia="Arial" w:cs="Arial"/>
                <w:sz w:val="18"/>
              </w:rPr>
              <w:t>Project title, navigation to both analysis pages, five key metric definitions and project links.</w:t>
            </w:r>
          </w:p>
        </w:tc>
      </w:tr>
      <w:tr>
        <w:tc>
          <w:tcPr>
            <w:tcW w:type="dxa" w:w="4997"/>
            <w:vAlign w:val="center"/>
          </w:tcPr>
          <w:p>
            <w:r>
              <w:rPr>
                <w:rFonts w:ascii="Arial" w:hAnsi="Arial" w:eastAsia="Arial" w:cs="Arial"/>
                <w:sz w:val="18"/>
              </w:rPr>
              <w:t>Business Overview</w:t>
            </w:r>
          </w:p>
        </w:tc>
        <w:tc>
          <w:tcPr>
            <w:tcW w:type="dxa" w:w="4997"/>
            <w:vAlign w:val="center"/>
          </w:tcPr>
          <w:p>
            <w:r>
              <w:rPr>
                <w:rFonts w:ascii="Arial" w:hAnsi="Arial" w:eastAsia="Arial" w:cs="Arial"/>
                <w:sz w:val="18"/>
              </w:rPr>
              <w:t>Total Customers, Total Revenue, Churned %, Avg Customer Value; segment comparisons and monthly, quarterly and annual charts.</w:t>
            </w:r>
          </w:p>
        </w:tc>
      </w:tr>
      <w:tr>
        <w:tc>
          <w:tcPr>
            <w:tcW w:type="dxa" w:w="4997"/>
            <w:vAlign w:val="center"/>
          </w:tcPr>
          <w:p>
            <w:r>
              <w:rPr>
                <w:rFonts w:ascii="Arial" w:hAnsi="Arial" w:eastAsia="Arial" w:cs="Arial"/>
                <w:sz w:val="18"/>
              </w:rPr>
              <w:t>RFM Analysis</w:t>
            </w:r>
          </w:p>
        </w:tc>
        <w:tc>
          <w:tcPr>
            <w:tcW w:type="dxa" w:w="4997"/>
            <w:vAlign w:val="center"/>
          </w:tcPr>
          <w:p>
            <w:r>
              <w:rPr>
                <w:rFonts w:ascii="Arial" w:hAnsi="Arial" w:eastAsia="Arial" w:cs="Arial"/>
                <w:sz w:val="18"/>
              </w:rPr>
              <w:t>Country and segment summary matrices, average R/F/M scores, churn trends and customer value comparisons.</w:t>
            </w:r>
          </w:p>
        </w:tc>
      </w:tr>
    </w:tbl>
    <w:p>
      <w:pPr>
        <w:spacing w:after="0"/>
      </w:pPr>
    </w:p>
    <w:p>
      <w:pPr>
        <w:pStyle w:val="ListBullet"/>
        <w:spacing w:after="40"/>
      </w:pPr>
      <w:r>
        <w:rPr>
          <w:rFonts w:ascii="Arial" w:hAnsi="Arial" w:eastAsia="Arial" w:cs="Arial"/>
          <w:sz w:val="18"/>
        </w:rPr>
        <w:t>Slicers for Month, Quarter, Year, Country, Segment and churn status.</w:t>
      </w:r>
    </w:p>
    <w:p>
      <w:pPr>
        <w:pStyle w:val="ListBullet"/>
        <w:spacing w:after="40"/>
      </w:pPr>
      <w:r>
        <w:rPr>
          <w:rFonts w:ascii="Arial" w:hAnsi="Arial" w:eastAsia="Arial" w:cs="Arial"/>
          <w:sz w:val="18"/>
        </w:rPr>
        <w:t>Revenue / Customer and Segment / Country selections using buttons and bookmarks.</w:t>
      </w:r>
    </w:p>
    <w:p>
      <w:pPr>
        <w:pStyle w:val="ListBullet"/>
        <w:spacing w:after="40"/>
      </w:pPr>
      <w:r>
        <w:rPr>
          <w:rFonts w:ascii="Arial" w:hAnsi="Arial" w:eastAsia="Arial" w:cs="Arial"/>
          <w:sz w:val="18"/>
        </w:rPr>
        <w:t>Consistent forest-and-sage color theme, readable labels and relevant tooltips.</w:t>
      </w:r>
    </w:p>
    <w:p>
      <w:pPr>
        <w:pStyle w:val="Heading1"/>
      </w:pPr>
      <w:r>
        <w:t>7. Deliverables and completion criteria</w:t>
      </w:r>
    </w:p>
    <w:p>
      <w:pPr>
        <w:pStyle w:val="ListBullet"/>
        <w:spacing w:after="40"/>
      </w:pPr>
      <w:r>
        <w:rPr>
          <w:rFonts w:ascii="Arial" w:hAnsi="Arial" w:eastAsia="Arial" w:cs="Arial"/>
          <w:sz w:val="18"/>
        </w:rPr>
        <w:t>Three PostgreSQL scripts showing import, exploration and deduplication steps.</w:t>
      </w:r>
    </w:p>
    <w:p>
      <w:pPr>
        <w:pStyle w:val="ListBullet"/>
        <w:spacing w:after="40"/>
      </w:pPr>
      <w:r>
        <w:rPr>
          <w:rFonts w:ascii="Arial" w:hAnsi="Arial" w:eastAsia="Arial" w:cs="Arial"/>
          <w:sz w:val="18"/>
        </w:rPr>
        <w:t>One Google Colab notebook explaining the RFM and churn calculations.</w:t>
      </w:r>
    </w:p>
    <w:p>
      <w:pPr>
        <w:pStyle w:val="ListBullet"/>
        <w:spacing w:after="40"/>
      </w:pPr>
      <w:r>
        <w:rPr>
          <w:rFonts w:ascii="Arial" w:hAnsi="Arial" w:eastAsia="Arial" w:cs="Arial"/>
          <w:sz w:val="18"/>
        </w:rPr>
        <w:t>An interactive Power BI report with three pages and the approved color theme.</w:t>
      </w:r>
    </w:p>
    <w:p>
      <w:pPr>
        <w:pStyle w:val="ListBullet"/>
        <w:spacing w:after="40"/>
      </w:pPr>
      <w:r>
        <w:rPr>
          <w:rFonts w:ascii="Arial" w:hAnsi="Arial" w:eastAsia="Arial" w:cs="Arial"/>
          <w:sz w:val="18"/>
        </w:rPr>
        <w:t>A concise GitHub README, dashboard screenshots, and a summary of numerical findings.</w:t>
      </w:r>
    </w:p>
    <w:p>
      <w:pPr/>
      <w:r>
        <w:rPr>
          <w:rFonts w:ascii="Arial" w:hAnsi="Arial" w:eastAsia="Arial" w:cs="Arial"/>
          <w:sz w:val="18"/>
        </w:rPr>
        <w:t>The work is complete when row counts match the documented stages, the dashboards display correct filters and labels, and the three pages can be navigated without breaking their saved views.</w:t>
      </w:r>
    </w:p>
    <w:p>
      <w:pPr>
        <w:pStyle w:val="Heading1"/>
      </w:pPr>
      <w:r>
        <w:t>8. Scope and assumptions</w:t>
      </w:r>
    </w:p>
    <w:p>
      <w:pPr/>
      <w:r>
        <w:rPr>
          <w:rFonts w:ascii="Arial" w:hAnsi="Arial" w:eastAsia="Arial" w:cs="Arial"/>
          <w:sz w:val="18"/>
        </w:rPr>
        <w:t>The report uses historical transactions and a fixed 90-day inactivity rule. It is descriptive analysis, not a machine-learning churn prediction. Product recommendations, live scoring and marketing campaign execution are outside scope.</w:t>
      </w:r>
    </w:p>
    <w:p>
      <w:pPr>
        <w:spacing w:before="80" w:after="80"/>
        <w:jc w:val="left"/>
      </w:pPr>
      <w:r>
        <w:rPr>
          <w:rFonts w:ascii="Arial" w:hAnsi="Arial" w:eastAsia="Arial" w:cs="Arial"/>
          <w:i/>
          <w:color w:val="5D6569"/>
          <w:sz w:val="17"/>
        </w:rPr>
        <w:t>Independent educational portfolio project using the UCI Online Retail II dataset. The Dunelm-inspired visual styling is illustrative only; this is not Dunelm company data, and the project is not affiliated with or endorsed by Dunelm.</w:t>
      </w:r>
    </w:p>
    <w:p>
      <w:pPr>
        <w:pStyle w:val="Heading1"/>
      </w:pPr>
      <w:r>
        <w:t>9. Guided project credit</w:t>
      </w:r>
    </w:p>
    <w:p>
      <w:pPr/>
      <w:r>
        <w:rPr>
          <w:rFonts w:ascii="Arial" w:hAnsi="Arial" w:eastAsia="Arial" w:cs="Arial"/>
          <w:sz w:val="18"/>
        </w:rPr>
        <w:t>Based on the SQL, Python and Power BI tutorial by Mansi Goel (Mansi G.). The tutorial used SQL Server Express / SSMS and Anaconda / Jupyter Notebook; this version uses PostgreSQL / pgAdmin and Google Colab, with a customized Power BI report.</w:t>
      </w:r>
    </w:p>
    <w:p>
      <w:pPr/>
      <w:r>
        <w:rPr>
          <w:rFonts w:ascii="Arial" w:hAnsi="Arial" w:eastAsia="Arial" w:cs="Arial"/>
          <w:sz w:val="18"/>
        </w:rPr>
        <w:t>Tutorial: https://youtu.be/LQa0SiuZfhA</w:t>
      </w:r>
    </w:p>
    <w:p>
      <w:pPr/>
      <w:r>
        <w:rPr>
          <w:rFonts w:ascii="Arial" w:hAnsi="Arial" w:eastAsia="Arial" w:cs="Arial"/>
          <w:sz w:val="18"/>
        </w:rPr>
        <w:t>Instructor: https://www.youtube.com/@Mansi.goel.offical</w:t>
      </w:r>
    </w:p>
    <w:p>
      <w:pPr/>
      <w:r>
        <w:rPr>
          <w:rFonts w:ascii="Arial" w:hAnsi="Arial" w:eastAsia="Arial" w:cs="Arial"/>
          <w:sz w:val="18"/>
        </w:rPr>
        <w:t>Implementation: https://github.com/SupreetTarwarkar/Retail-Customer-Analytics-RFM-Dashboard</w:t>
      </w:r>
    </w:p>
    <w:sectPr w:rsidR="00FC693F" w:rsidRPr="0006063C" w:rsidSect="00034616">
      <w:footerReference w:type="default" r:id="rId9"/>
      <w:pgSz w:w="12240" w:h="15840"/>
      <w:pgMar w:top="778" w:right="1123" w:bottom="77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B6A"/>
        <w:sz w:val="16"/>
      </w:rPr>
      <w:t>Retail Customer Analytics | BRD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432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F3B"/>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F3B"/>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F3B"/>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