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69102" w14:textId="77777777" w:rsidR="0032651A" w:rsidRDefault="00000000">
      <w:r>
        <w:rPr>
          <w:b/>
          <w:sz w:val="30"/>
          <w:szCs w:val="30"/>
        </w:rPr>
        <w:t>Technical indicators</w:t>
      </w:r>
      <w:r>
        <w:rPr>
          <w:b/>
          <w:sz w:val="30"/>
          <w:szCs w:val="30"/>
        </w:rPr>
        <w:br/>
      </w:r>
    </w:p>
    <w:p w14:paraId="4755C0FC" w14:textId="77777777" w:rsidR="0032651A" w:rsidRDefault="0032651A"/>
    <w:p w14:paraId="3FD9536C" w14:textId="77777777" w:rsidR="0032651A" w:rsidRDefault="00000000">
      <w:pPr>
        <w:spacing w:before="240" w:after="240"/>
        <w:rPr>
          <w:b/>
        </w:rPr>
      </w:pPr>
      <w:r>
        <w:rPr>
          <w:b/>
        </w:rPr>
        <w:t>2. Exponential Moving Averages (EMA):</w:t>
      </w:r>
    </w:p>
    <w:p w14:paraId="0F6221D7" w14:textId="77777777" w:rsidR="0032651A" w:rsidRDefault="00000000">
      <w:pPr>
        <w:numPr>
          <w:ilvl w:val="0"/>
          <w:numId w:val="1"/>
        </w:numPr>
        <w:spacing w:before="240"/>
      </w:pPr>
      <w:r>
        <w:rPr>
          <w:b/>
        </w:rPr>
        <w:t>EMA_12 and EMA_26</w:t>
      </w:r>
      <w:r>
        <w:t xml:space="preserve">: </w:t>
      </w:r>
      <w:r>
        <w:br/>
        <w:t xml:space="preserve">- These are </w:t>
      </w:r>
      <w:proofErr w:type="gramStart"/>
      <w:r>
        <w:t>similar to</w:t>
      </w:r>
      <w:proofErr w:type="gramEnd"/>
      <w:r>
        <w:t xml:space="preserve"> SMAs but give more weight to recent prices, making them more responsive to new information. </w:t>
      </w:r>
      <w:r>
        <w:br/>
        <w:t>- The 12-day EMA reacts faster to price changes than the 26-day EMA.</w:t>
      </w:r>
    </w:p>
    <w:p w14:paraId="42B8F325" w14:textId="77777777" w:rsidR="0032651A" w:rsidRDefault="00000000">
      <w:pPr>
        <w:numPr>
          <w:ilvl w:val="0"/>
          <w:numId w:val="1"/>
        </w:numPr>
        <w:spacing w:after="240"/>
      </w:pPr>
      <w:r>
        <w:rPr>
          <w:b/>
        </w:rPr>
        <w:t>EMA_50</w:t>
      </w:r>
      <w:r>
        <w:t>: This is a 50-day EMA, providing insight into medium-term price trends.</w:t>
      </w:r>
    </w:p>
    <w:p w14:paraId="4C54BB91" w14:textId="77777777" w:rsidR="0032651A" w:rsidRDefault="00000000">
      <w:pPr>
        <w:spacing w:before="240" w:after="240"/>
        <w:rPr>
          <w:b/>
        </w:rPr>
      </w:pPr>
      <w:r>
        <w:rPr>
          <w:b/>
        </w:rPr>
        <w:t>3. Moving Average Convergence Divergence (MACD):</w:t>
      </w:r>
    </w:p>
    <w:p w14:paraId="69AC7D72" w14:textId="77777777" w:rsidR="0032651A" w:rsidRDefault="00000000">
      <w:pPr>
        <w:numPr>
          <w:ilvl w:val="0"/>
          <w:numId w:val="6"/>
        </w:numPr>
        <w:spacing w:before="240"/>
      </w:pPr>
      <w:r>
        <w:rPr>
          <w:b/>
        </w:rPr>
        <w:t>MACD Line</w:t>
      </w:r>
      <w:r>
        <w:t xml:space="preserve">: Calculated by subtracting the 26-day EMA from the 12-day EMA. It </w:t>
      </w:r>
      <w:r>
        <w:rPr>
          <w:u w:val="single"/>
        </w:rPr>
        <w:t>shows the relationship between short-term and long-term price movements</w:t>
      </w:r>
      <w:r>
        <w:t>.</w:t>
      </w:r>
    </w:p>
    <w:p w14:paraId="19555B1A" w14:textId="77777777" w:rsidR="0032651A" w:rsidRDefault="00000000">
      <w:pPr>
        <w:numPr>
          <w:ilvl w:val="0"/>
          <w:numId w:val="6"/>
        </w:numPr>
      </w:pPr>
      <w:r>
        <w:rPr>
          <w:b/>
        </w:rPr>
        <w:t>Signal Line</w:t>
      </w:r>
      <w:r>
        <w:t>: A 9-day EMA of the MACD Line. When the MACD Line crosses above this line, it may indicate a potential buy signal; crossing below could suggest a sell signal.</w:t>
      </w:r>
    </w:p>
    <w:p w14:paraId="7A94C25E" w14:textId="77777777" w:rsidR="0032651A" w:rsidRDefault="00000000">
      <w:pPr>
        <w:numPr>
          <w:ilvl w:val="0"/>
          <w:numId w:val="6"/>
        </w:numPr>
        <w:spacing w:after="240"/>
      </w:pPr>
      <w:r>
        <w:rPr>
          <w:b/>
        </w:rPr>
        <w:t>Histogram</w:t>
      </w:r>
      <w:r>
        <w:t>: Represents the difference between the MACD Line and the Signal Line, helping visualize the strength of the trend.</w:t>
      </w:r>
    </w:p>
    <w:p w14:paraId="37F18CC1" w14:textId="77777777" w:rsidR="0032651A" w:rsidRDefault="00000000">
      <w:pPr>
        <w:spacing w:before="240" w:after="240"/>
        <w:rPr>
          <w:b/>
        </w:rPr>
      </w:pPr>
      <w:r>
        <w:rPr>
          <w:b/>
        </w:rPr>
        <w:t>4. Relative Strength Index (RSI):</w:t>
      </w:r>
    </w:p>
    <w:p w14:paraId="48B1A4A6" w14:textId="77777777" w:rsidR="0032651A" w:rsidRDefault="00000000">
      <w:pPr>
        <w:numPr>
          <w:ilvl w:val="0"/>
          <w:numId w:val="8"/>
        </w:numPr>
        <w:spacing w:before="240" w:after="240"/>
      </w:pPr>
      <w:r>
        <w:rPr>
          <w:b/>
        </w:rPr>
        <w:t>RSI</w:t>
      </w:r>
      <w:r>
        <w:t>: A momentum oscillator that measures the speed and change of price movements on a scale from 0 to 100. Values above 70 may indicate that the stock is overbought (potentially overvalued), while values below 30 may suggest it's oversold (potentially undervalued).</w:t>
      </w:r>
    </w:p>
    <w:p w14:paraId="62065AA8" w14:textId="77777777" w:rsidR="0032651A" w:rsidRDefault="00000000">
      <w:pPr>
        <w:spacing w:before="240" w:after="240"/>
        <w:rPr>
          <w:b/>
        </w:rPr>
      </w:pPr>
      <w:r>
        <w:rPr>
          <w:b/>
        </w:rPr>
        <w:t>5. Bollinger Bands:</w:t>
      </w:r>
    </w:p>
    <w:p w14:paraId="28D0BD84" w14:textId="77777777" w:rsidR="0032651A" w:rsidRDefault="00000000">
      <w:pPr>
        <w:numPr>
          <w:ilvl w:val="0"/>
          <w:numId w:val="13"/>
        </w:numPr>
        <w:spacing w:before="240"/>
      </w:pPr>
      <w:r>
        <w:rPr>
          <w:b/>
        </w:rPr>
        <w:t>SMA_20</w:t>
      </w:r>
      <w:r>
        <w:t>: A 20-day simple moving average, serving as the middle band.</w:t>
      </w:r>
    </w:p>
    <w:p w14:paraId="6B034CAA" w14:textId="77777777" w:rsidR="0032651A" w:rsidRDefault="00000000">
      <w:pPr>
        <w:numPr>
          <w:ilvl w:val="0"/>
          <w:numId w:val="13"/>
        </w:numPr>
        <w:spacing w:after="240"/>
      </w:pPr>
      <w:r>
        <w:rPr>
          <w:b/>
        </w:rPr>
        <w:t>Upper Band and Lower Band</w:t>
      </w:r>
      <w:r>
        <w:t>: These are set typically two standard deviations above and below the SMA_20, respectively. They adjust based on market volatility, expanding during volatile periods and contracting during calmer times.</w:t>
      </w:r>
    </w:p>
    <w:p w14:paraId="78A0FC2F" w14:textId="77777777" w:rsidR="0032651A" w:rsidRDefault="00000000">
      <w:pPr>
        <w:spacing w:before="240" w:after="240"/>
        <w:rPr>
          <w:b/>
        </w:rPr>
      </w:pPr>
      <w:r>
        <w:rPr>
          <w:b/>
        </w:rPr>
        <w:t>6. Stochastic Oscillator Components:</w:t>
      </w:r>
    </w:p>
    <w:p w14:paraId="52F77C9A" w14:textId="77777777" w:rsidR="0032651A" w:rsidRDefault="00000000">
      <w:pPr>
        <w:numPr>
          <w:ilvl w:val="0"/>
          <w:numId w:val="3"/>
        </w:numPr>
        <w:spacing w:before="240"/>
      </w:pPr>
      <w:r>
        <w:rPr>
          <w:b/>
        </w:rPr>
        <w:t>L14 and H14</w:t>
      </w:r>
      <w:r>
        <w:t>: The lowest and highest prices over the past 14 days, respectively.</w:t>
      </w:r>
    </w:p>
    <w:p w14:paraId="7B73FE94" w14:textId="77777777" w:rsidR="0032651A" w:rsidRDefault="00000000">
      <w:pPr>
        <w:numPr>
          <w:ilvl w:val="0"/>
          <w:numId w:val="3"/>
        </w:numPr>
      </w:pPr>
      <w:r>
        <w:rPr>
          <w:b/>
        </w:rPr>
        <w:t>%K</w:t>
      </w:r>
      <w:r>
        <w:t>: Shows the current closing price's position relative to the recent high-low range, indicating momentum.</w:t>
      </w:r>
    </w:p>
    <w:p w14:paraId="2BFA5D6B" w14:textId="77777777" w:rsidR="0032651A" w:rsidRDefault="00000000">
      <w:pPr>
        <w:numPr>
          <w:ilvl w:val="0"/>
          <w:numId w:val="3"/>
        </w:numPr>
        <w:spacing w:after="240"/>
      </w:pPr>
      <w:r>
        <w:rPr>
          <w:b/>
        </w:rPr>
        <w:t>%D</w:t>
      </w:r>
      <w:r>
        <w:t>: A 3-day moving average of %K, used to identify potential buy or sell signals when it crosses %K.</w:t>
      </w:r>
    </w:p>
    <w:p w14:paraId="3EDE89D8" w14:textId="77777777" w:rsidR="0032651A" w:rsidRDefault="00000000">
      <w:r>
        <w:br/>
      </w:r>
      <w:r>
        <w:br/>
      </w:r>
      <w:r>
        <w:br/>
      </w:r>
      <w:r>
        <w:rPr>
          <w:b/>
          <w:sz w:val="26"/>
          <w:szCs w:val="26"/>
        </w:rPr>
        <w:lastRenderedPageBreak/>
        <w:t xml:space="preserve">Version </w:t>
      </w:r>
      <w:proofErr w:type="gramStart"/>
      <w:r>
        <w:rPr>
          <w:b/>
          <w:sz w:val="26"/>
          <w:szCs w:val="26"/>
        </w:rPr>
        <w:t>2 :</w:t>
      </w:r>
      <w:proofErr w:type="gramEnd"/>
      <w:r>
        <w:rPr>
          <w:b/>
          <w:sz w:val="26"/>
          <w:szCs w:val="26"/>
        </w:rPr>
        <w:t xml:space="preserve"> </w:t>
      </w:r>
      <w:r>
        <w:br/>
      </w:r>
      <w:r>
        <w:br/>
      </w:r>
      <w:r>
        <w:br/>
      </w:r>
      <w:r>
        <w:br/>
      </w:r>
      <w:r>
        <w:rPr>
          <w:b/>
        </w:rPr>
        <w:t>Trend - Following Indicators:</w:t>
      </w:r>
      <w:r>
        <w:t xml:space="preserve"> Identify the direction and strength of market trends.</w:t>
      </w:r>
    </w:p>
    <w:p w14:paraId="7A5AF13E" w14:textId="77777777" w:rsidR="0032651A" w:rsidRDefault="00000000">
      <w:pPr>
        <w:numPr>
          <w:ilvl w:val="0"/>
          <w:numId w:val="2"/>
        </w:numPr>
        <w:spacing w:before="240"/>
      </w:pPr>
      <w:r>
        <w:rPr>
          <w:i/>
        </w:rPr>
        <w:t>Examples:</w:t>
      </w:r>
      <w:r>
        <w:t xml:space="preserve"> Moving Averages (SMA, </w:t>
      </w:r>
      <w:r>
        <w:rPr>
          <w:b/>
        </w:rPr>
        <w:t>EMA</w:t>
      </w:r>
      <w:r>
        <w:t xml:space="preserve">), Moving Average Convergence Divergence </w:t>
      </w:r>
      <w:r>
        <w:rPr>
          <w:u w:val="single"/>
        </w:rPr>
        <w:t>(MACD</w:t>
      </w:r>
      <w:r>
        <w:t>).</w:t>
      </w:r>
      <w:r>
        <w:br/>
      </w:r>
    </w:p>
    <w:p w14:paraId="0DE5C632" w14:textId="77777777" w:rsidR="0032651A" w:rsidRDefault="00000000">
      <w:pPr>
        <w:numPr>
          <w:ilvl w:val="0"/>
          <w:numId w:val="2"/>
        </w:numPr>
      </w:pPr>
      <w:r>
        <w:rPr>
          <w:b/>
        </w:rPr>
        <w:t>Exponential Moving Average (EMA):</w:t>
      </w:r>
      <w:r>
        <w:t xml:space="preserve"> Utilize the 50-day EMA to identify the prevailing market trend, as it responds more swiftly to recent price changes compared to the Simple Moving Average (SMA)</w:t>
      </w:r>
      <w:r>
        <w:br/>
      </w:r>
      <w:r>
        <w:br/>
        <w:t>.</w:t>
      </w:r>
    </w:p>
    <w:p w14:paraId="42F12A94" w14:textId="77777777" w:rsidR="0032651A" w:rsidRDefault="00000000">
      <w:pPr>
        <w:numPr>
          <w:ilvl w:val="0"/>
          <w:numId w:val="2"/>
        </w:numPr>
      </w:pPr>
      <w:r>
        <w:rPr>
          <w:b/>
        </w:rPr>
        <w:t>Moving Average Convergence Divergence (MACD):</w:t>
      </w:r>
      <w:r>
        <w:t xml:space="preserve"> Captures the relationship between short-term and long-term price movements</w:t>
      </w:r>
      <w:r>
        <w:br/>
      </w:r>
      <w:r>
        <w:br/>
      </w:r>
      <w:r>
        <w:rPr>
          <w:b/>
        </w:rPr>
        <w:t>Components</w:t>
      </w:r>
      <w:r>
        <w:t>:</w:t>
      </w:r>
    </w:p>
    <w:p w14:paraId="38FB555F" w14:textId="77777777" w:rsidR="0032651A" w:rsidRDefault="00000000">
      <w:pPr>
        <w:numPr>
          <w:ilvl w:val="0"/>
          <w:numId w:val="9"/>
        </w:numPr>
      </w:pPr>
      <w:r>
        <w:rPr>
          <w:b/>
        </w:rPr>
        <w:t>MACD Line</w:t>
      </w:r>
      <w:r>
        <w:t>: Calculated by subtracting the 26-day EMA from the 12-day EMA.</w:t>
      </w:r>
    </w:p>
    <w:p w14:paraId="1D06DCAE" w14:textId="77777777" w:rsidR="0032651A" w:rsidRDefault="00000000">
      <w:pPr>
        <w:numPr>
          <w:ilvl w:val="0"/>
          <w:numId w:val="9"/>
        </w:numPr>
        <w:spacing w:after="240"/>
      </w:pPr>
      <w:r>
        <w:rPr>
          <w:b/>
        </w:rPr>
        <w:t>Signal Line</w:t>
      </w:r>
      <w:r>
        <w:t>: A 9-day EMA of the MACD Line.</w:t>
      </w:r>
    </w:p>
    <w:p w14:paraId="2B4CB769" w14:textId="77777777" w:rsidR="0032651A" w:rsidRDefault="00000000">
      <w:pPr>
        <w:spacing w:before="240" w:after="240"/>
        <w:ind w:left="720" w:hanging="360"/>
      </w:pPr>
      <w:r>
        <w:rPr>
          <w:b/>
        </w:rPr>
        <w:t>Why Include It</w:t>
      </w:r>
      <w:r>
        <w:t>:</w:t>
      </w:r>
    </w:p>
    <w:p w14:paraId="3924F376" w14:textId="77777777" w:rsidR="0032651A" w:rsidRDefault="00000000">
      <w:pPr>
        <w:numPr>
          <w:ilvl w:val="0"/>
          <w:numId w:val="14"/>
        </w:numPr>
        <w:spacing w:before="240"/>
      </w:pPr>
      <w:r>
        <w:rPr>
          <w:b/>
        </w:rPr>
        <w:t>Trend Identification</w:t>
      </w:r>
      <w:r>
        <w:t>: Highlights changes in momentum and potential trend reversals.</w:t>
      </w:r>
    </w:p>
    <w:p w14:paraId="599CD82C" w14:textId="77777777" w:rsidR="0032651A" w:rsidRDefault="00000000">
      <w:pPr>
        <w:numPr>
          <w:ilvl w:val="0"/>
          <w:numId w:val="14"/>
        </w:numPr>
      </w:pPr>
      <w:r>
        <w:rPr>
          <w:b/>
        </w:rPr>
        <w:t>Redundancy Avoidance</w:t>
      </w:r>
      <w:r>
        <w:t>: Incorporates EMAs within its calculation, reducing the need to include EMA_12 and EMA_26 separately.</w:t>
      </w:r>
    </w:p>
    <w:p w14:paraId="711DF5CF" w14:textId="77777777" w:rsidR="0032651A" w:rsidRDefault="0032651A">
      <w:pPr>
        <w:numPr>
          <w:ilvl w:val="0"/>
          <w:numId w:val="14"/>
        </w:numPr>
        <w:spacing w:after="240"/>
      </w:pPr>
    </w:p>
    <w:p w14:paraId="256C00A2" w14:textId="77777777" w:rsidR="0032651A" w:rsidRDefault="00000000">
      <w:pPr>
        <w:spacing w:before="240" w:after="240"/>
        <w:ind w:left="720"/>
      </w:pPr>
      <w:r>
        <w:t>-(SMA), EMA?</w:t>
      </w:r>
    </w:p>
    <w:p w14:paraId="3B611933" w14:textId="77777777" w:rsidR="0032651A" w:rsidRDefault="00000000">
      <w:r>
        <w:rPr>
          <w:b/>
        </w:rPr>
        <w:t>Momentum Indicators:</w:t>
      </w:r>
      <w:r>
        <w:t xml:space="preserve"> Measure the speed of price movements to detect overbought or oversold conditions.</w:t>
      </w:r>
    </w:p>
    <w:p w14:paraId="171084E8" w14:textId="77777777" w:rsidR="0032651A" w:rsidRDefault="00000000">
      <w:pPr>
        <w:numPr>
          <w:ilvl w:val="0"/>
          <w:numId w:val="10"/>
        </w:numPr>
        <w:spacing w:before="240"/>
      </w:pPr>
      <w:r>
        <w:rPr>
          <w:i/>
        </w:rPr>
        <w:t>Examples:</w:t>
      </w:r>
      <w:r>
        <w:t xml:space="preserve"> Relative Strength Index (</w:t>
      </w:r>
      <w:r>
        <w:rPr>
          <w:b/>
          <w:u w:val="single"/>
        </w:rPr>
        <w:t>RSI</w:t>
      </w:r>
      <w:r>
        <w:t>): Measures the speed and magnitude of price movements.</w:t>
      </w:r>
      <w:r>
        <w:br/>
      </w:r>
      <w:r>
        <w:br/>
      </w:r>
      <w:r>
        <w:rPr>
          <w:b/>
          <w:sz w:val="26"/>
          <w:szCs w:val="26"/>
        </w:rPr>
        <w:t>Why Include It</w:t>
      </w:r>
      <w:r>
        <w:rPr>
          <w:sz w:val="26"/>
          <w:szCs w:val="26"/>
        </w:rPr>
        <w:t>:</w:t>
      </w:r>
    </w:p>
    <w:p w14:paraId="6FC787C7" w14:textId="77777777" w:rsidR="0032651A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Momentum Indicator</w:t>
      </w:r>
      <w:r>
        <w:rPr>
          <w:sz w:val="24"/>
          <w:szCs w:val="24"/>
        </w:rPr>
        <w:t>: Helps identify overbought (above 70) or oversold (below 30) conditions.</w:t>
      </w:r>
    </w:p>
    <w:p w14:paraId="54B0D2C8" w14:textId="77777777" w:rsidR="0032651A" w:rsidRDefault="00000000">
      <w:pPr>
        <w:numPr>
          <w:ilvl w:val="0"/>
          <w:numId w:val="5"/>
        </w:numPr>
        <w:spacing w:after="240"/>
      </w:pPr>
      <w:r>
        <w:rPr>
          <w:b/>
          <w:sz w:val="24"/>
          <w:szCs w:val="24"/>
        </w:rPr>
        <w:t>Unique Insight</w:t>
      </w:r>
      <w:r>
        <w:rPr>
          <w:sz w:val="24"/>
          <w:szCs w:val="24"/>
        </w:rPr>
        <w:t>: Provides different momentum analysis compared to MACD.</w:t>
      </w:r>
    </w:p>
    <w:p w14:paraId="1E93154E" w14:textId="77777777" w:rsidR="0032651A" w:rsidRDefault="00000000">
      <w:pPr>
        <w:spacing w:before="240" w:after="240"/>
        <w:ind w:left="720"/>
      </w:pPr>
      <w:r>
        <w:rPr>
          <w:sz w:val="24"/>
          <w:szCs w:val="24"/>
        </w:rPr>
        <w:t>Offers insights into momentum and potential reversal points by indicating overbought or oversold conditions.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lastRenderedPageBreak/>
        <w:br/>
      </w:r>
      <w:proofErr w:type="gramStart"/>
      <w:r>
        <w:t>-(</w:t>
      </w:r>
      <w:proofErr w:type="gramEnd"/>
      <w:r>
        <w:t>Stochastic Oscillator)</w:t>
      </w:r>
    </w:p>
    <w:p w14:paraId="0BA5123A" w14:textId="77777777" w:rsidR="0032651A" w:rsidRDefault="00000000">
      <w:r>
        <w:rPr>
          <w:b/>
        </w:rPr>
        <w:t>Volatility Indicators:</w:t>
      </w:r>
      <w:r>
        <w:t xml:space="preserve"> Assess the rate of price fluctuations over time.</w:t>
      </w:r>
    </w:p>
    <w:p w14:paraId="56B8FA15" w14:textId="77777777" w:rsidR="0032651A" w:rsidRDefault="00000000">
      <w:pPr>
        <w:numPr>
          <w:ilvl w:val="0"/>
          <w:numId w:val="7"/>
        </w:numPr>
        <w:spacing w:before="240"/>
      </w:pPr>
      <w:r>
        <w:rPr>
          <w:b/>
          <w:u w:val="single"/>
        </w:rPr>
        <w:t>Bollinger Bands</w:t>
      </w:r>
      <w:r>
        <w:t>: Assesses market volatility and potential price extremes.</w:t>
      </w:r>
    </w:p>
    <w:p w14:paraId="115EEE9E" w14:textId="77777777" w:rsidR="0032651A" w:rsidRDefault="00000000">
      <w:pPr>
        <w:numPr>
          <w:ilvl w:val="0"/>
          <w:numId w:val="11"/>
        </w:numPr>
      </w:pPr>
      <w:r>
        <w:t>Consist of a 20-day SMA (middle band) with upper and lower bands set typically two standard deviations away. They adjust based on market volatility, expanding during volatile periods and contracting during calmer times.</w:t>
      </w:r>
    </w:p>
    <w:p w14:paraId="01F4E7F6" w14:textId="77777777" w:rsidR="0032651A" w:rsidRDefault="00000000">
      <w:pPr>
        <w:numPr>
          <w:ilvl w:val="0"/>
          <w:numId w:val="11"/>
        </w:numPr>
        <w:spacing w:after="240"/>
      </w:pPr>
      <w:r>
        <w:t>Help assess price volatility and potential price extremes, indicating possible overbought or oversold conditions</w:t>
      </w:r>
    </w:p>
    <w:p w14:paraId="2B738390" w14:textId="77777777" w:rsidR="0032651A" w:rsidRDefault="0032651A">
      <w:pPr>
        <w:spacing w:before="240" w:after="240"/>
        <w:ind w:left="720"/>
      </w:pPr>
    </w:p>
    <w:p w14:paraId="098AF1D3" w14:textId="77777777" w:rsidR="0032651A" w:rsidRDefault="00000000">
      <w:pPr>
        <w:numPr>
          <w:ilvl w:val="0"/>
          <w:numId w:val="7"/>
        </w:numPr>
        <w:spacing w:before="240" w:after="240"/>
      </w:pPr>
      <w:proofErr w:type="gramStart"/>
      <w:r>
        <w:t>-(</w:t>
      </w:r>
      <w:proofErr w:type="gramEnd"/>
      <w:r>
        <w:t>Average True Range (ATR))</w:t>
      </w:r>
    </w:p>
    <w:p w14:paraId="326BF336" w14:textId="77777777" w:rsidR="0032651A" w:rsidRDefault="00000000">
      <w:r>
        <w:rPr>
          <w:b/>
        </w:rPr>
        <w:t>Volume Indicators:</w:t>
      </w:r>
      <w:r>
        <w:t xml:space="preserve"> Analyze trading volume to confirm price trends and strength.</w:t>
      </w:r>
    </w:p>
    <w:p w14:paraId="725E23FF" w14:textId="77777777" w:rsidR="0032651A" w:rsidRDefault="00000000">
      <w:pPr>
        <w:numPr>
          <w:ilvl w:val="0"/>
          <w:numId w:val="12"/>
        </w:numPr>
        <w:spacing w:before="240" w:after="240"/>
      </w:pPr>
      <w:r>
        <w:t>On-Balance Volume (</w:t>
      </w:r>
      <w:r>
        <w:rPr>
          <w:b/>
          <w:u w:val="single"/>
        </w:rPr>
        <w:t>OBV</w:t>
      </w:r>
      <w:proofErr w:type="gramStart"/>
      <w:r>
        <w:t>) :</w:t>
      </w:r>
      <w:proofErr w:type="gramEnd"/>
      <w:r>
        <w:t xml:space="preserve"> Combines price and volume data to show how volume is flowing into or out of a security, helping to confirm price trends.</w:t>
      </w:r>
      <w:r>
        <w:br/>
        <w:t>- Assists in confirming price trends through volume analysis, indicating the strength of a price movement.</w:t>
      </w:r>
      <w:r>
        <w:br/>
      </w:r>
      <w:r>
        <w:br/>
      </w:r>
      <w:r>
        <w:br/>
      </w:r>
      <w:r>
        <w:br/>
        <w:t>-(Money Flow Index (MFI))</w:t>
      </w:r>
    </w:p>
    <w:p w14:paraId="2097F57C" w14:textId="77777777" w:rsidR="0032651A" w:rsidRDefault="00000000">
      <w:r>
        <w:br/>
      </w:r>
      <w:r>
        <w:br/>
      </w:r>
      <w:r>
        <w:rPr>
          <w:b/>
        </w:rPr>
        <w:t>To Avoiding Redundancy</w:t>
      </w:r>
      <w:r>
        <w:t>:</w:t>
      </w:r>
    </w:p>
    <w:p w14:paraId="00B155AA" w14:textId="77777777" w:rsidR="0032651A" w:rsidRDefault="00000000">
      <w:pPr>
        <w:numPr>
          <w:ilvl w:val="0"/>
          <w:numId w:val="4"/>
        </w:numPr>
        <w:spacing w:before="240"/>
      </w:pPr>
      <w:r>
        <w:rPr>
          <w:b/>
          <w:sz w:val="26"/>
          <w:szCs w:val="26"/>
        </w:rPr>
        <w:t>MACD</w:t>
      </w:r>
      <w:r>
        <w:rPr>
          <w:sz w:val="26"/>
          <w:szCs w:val="26"/>
        </w:rPr>
        <w:t xml:space="preserve"> </w:t>
      </w:r>
      <w:r>
        <w:t>covers trend and momentum aspects that might overlap with EMAs.</w:t>
      </w:r>
    </w:p>
    <w:p w14:paraId="2E301667" w14:textId="77777777" w:rsidR="0032651A" w:rsidRDefault="00000000">
      <w:pPr>
        <w:numPr>
          <w:ilvl w:val="0"/>
          <w:numId w:val="4"/>
        </w:numPr>
      </w:pPr>
      <w:r>
        <w:rPr>
          <w:b/>
        </w:rPr>
        <w:t>RSI</w:t>
      </w:r>
      <w:r>
        <w:t xml:space="preserve"> and </w:t>
      </w:r>
      <w:r>
        <w:rPr>
          <w:b/>
        </w:rPr>
        <w:t>Stochastic Oscillator</w:t>
      </w:r>
      <w:r>
        <w:t xml:space="preserve"> both measure momentum; </w:t>
      </w:r>
      <w:r>
        <w:rPr>
          <w:sz w:val="26"/>
          <w:szCs w:val="26"/>
        </w:rPr>
        <w:t>including only</w:t>
      </w:r>
      <w:r>
        <w:rPr>
          <w:b/>
          <w:sz w:val="26"/>
          <w:szCs w:val="26"/>
        </w:rPr>
        <w:t xml:space="preserve"> RSI</w:t>
      </w:r>
      <w:r>
        <w:t xml:space="preserve"> reduces overlap.</w:t>
      </w:r>
    </w:p>
    <w:p w14:paraId="05D83761" w14:textId="77777777" w:rsidR="0032651A" w:rsidRDefault="00000000">
      <w:pPr>
        <w:numPr>
          <w:ilvl w:val="0"/>
          <w:numId w:val="4"/>
        </w:numPr>
        <w:spacing w:after="240"/>
      </w:pPr>
      <w:r>
        <w:rPr>
          <w:b/>
        </w:rPr>
        <w:t>Bollinger Bands</w:t>
      </w:r>
      <w:r>
        <w:t xml:space="preserve"> provide volatility insights without needing multiple volatility indicators.</w:t>
      </w:r>
    </w:p>
    <w:p w14:paraId="52D12791" w14:textId="77777777" w:rsidR="0032651A" w:rsidRDefault="00000000">
      <w:pPr>
        <w:rPr>
          <w:noProof/>
        </w:rPr>
      </w:pPr>
      <w:r>
        <w:br/>
      </w:r>
      <w:r>
        <w:br/>
      </w:r>
      <w:r>
        <w:br/>
      </w:r>
      <w:proofErr w:type="spellStart"/>
      <w:r>
        <w:lastRenderedPageBreak/>
        <w:t>Rsi</w:t>
      </w:r>
      <w:proofErr w:type="spellEnd"/>
      <w:r>
        <w:t xml:space="preserve"> based </w:t>
      </w:r>
      <w:proofErr w:type="gramStart"/>
      <w:r>
        <w:t>MA ?</w:t>
      </w:r>
      <w:proofErr w:type="gramEnd"/>
      <w:r>
        <w:br/>
      </w:r>
      <w:r>
        <w:rPr>
          <w:noProof/>
        </w:rPr>
        <w:drawing>
          <wp:inline distT="114300" distB="114300" distL="114300" distR="114300" wp14:anchorId="3CE7C506" wp14:editId="227E4329">
            <wp:extent cx="5943600" cy="1943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A2B72" w14:textId="77777777" w:rsidR="00D44C1D" w:rsidRPr="00D44C1D" w:rsidRDefault="00D44C1D" w:rsidP="00D44C1D"/>
    <w:p w14:paraId="1899426D" w14:textId="77777777" w:rsidR="00D44C1D" w:rsidRPr="00D44C1D" w:rsidRDefault="00D44C1D" w:rsidP="00D44C1D"/>
    <w:p w14:paraId="7A98C3B2" w14:textId="77777777" w:rsidR="00D44C1D" w:rsidRDefault="00D44C1D" w:rsidP="00D44C1D">
      <w:pPr>
        <w:rPr>
          <w:noProof/>
        </w:rPr>
      </w:pPr>
    </w:p>
    <w:p w14:paraId="640781CF" w14:textId="62FD49B7" w:rsidR="00D44C1D" w:rsidRDefault="00D44C1D" w:rsidP="00D44C1D">
      <w:r>
        <w:t>References:</w:t>
      </w:r>
    </w:p>
    <w:p w14:paraId="2431FFD2" w14:textId="77777777" w:rsidR="00D44C1D" w:rsidRDefault="00D44C1D" w:rsidP="00D44C1D"/>
    <w:p w14:paraId="37BCE6AB" w14:textId="50DCD2A1" w:rsidR="00D44C1D" w:rsidRDefault="00D44C1D" w:rsidP="00D44C1D">
      <w:r>
        <w:t>GDP and UNRATE dataset link:</w:t>
      </w:r>
    </w:p>
    <w:p w14:paraId="27B5D4B0" w14:textId="77777777" w:rsidR="00D44C1D" w:rsidRDefault="00D44C1D" w:rsidP="00D44C1D"/>
    <w:p w14:paraId="60C35D00" w14:textId="4AD5E1E9" w:rsidR="00D44C1D" w:rsidRPr="00D44C1D" w:rsidRDefault="00D44C1D" w:rsidP="00D44C1D">
      <w:r w:rsidRPr="00D44C1D">
        <w:t>https://fred.stlouisfed.org/series/UNRATE</w:t>
      </w:r>
    </w:p>
    <w:sectPr w:rsidR="00D44C1D" w:rsidRPr="00D44C1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04673" w14:textId="77777777" w:rsidR="0077154F" w:rsidRDefault="0077154F">
      <w:pPr>
        <w:spacing w:line="240" w:lineRule="auto"/>
      </w:pPr>
      <w:r>
        <w:separator/>
      </w:r>
    </w:p>
  </w:endnote>
  <w:endnote w:type="continuationSeparator" w:id="0">
    <w:p w14:paraId="013F67FC" w14:textId="77777777" w:rsidR="0077154F" w:rsidRDefault="007715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571FD" w14:textId="77777777" w:rsidR="0077154F" w:rsidRDefault="0077154F">
      <w:pPr>
        <w:spacing w:line="240" w:lineRule="auto"/>
      </w:pPr>
      <w:r>
        <w:separator/>
      </w:r>
    </w:p>
  </w:footnote>
  <w:footnote w:type="continuationSeparator" w:id="0">
    <w:p w14:paraId="76F3C2E4" w14:textId="77777777" w:rsidR="0077154F" w:rsidRDefault="007715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7CA1F" w14:textId="77777777" w:rsidR="0032651A" w:rsidRDefault="003265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86D21"/>
    <w:multiLevelType w:val="multilevel"/>
    <w:tmpl w:val="BDBED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772FF"/>
    <w:multiLevelType w:val="multilevel"/>
    <w:tmpl w:val="EAA44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861ABD"/>
    <w:multiLevelType w:val="multilevel"/>
    <w:tmpl w:val="D4124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0D463E"/>
    <w:multiLevelType w:val="multilevel"/>
    <w:tmpl w:val="E8327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341DF1"/>
    <w:multiLevelType w:val="multilevel"/>
    <w:tmpl w:val="981AC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3C0A77"/>
    <w:multiLevelType w:val="multilevel"/>
    <w:tmpl w:val="4300B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F1445B"/>
    <w:multiLevelType w:val="multilevel"/>
    <w:tmpl w:val="1576B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F5723C"/>
    <w:multiLevelType w:val="multilevel"/>
    <w:tmpl w:val="621AF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FB158C"/>
    <w:multiLevelType w:val="multilevel"/>
    <w:tmpl w:val="7B4C86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6112B93"/>
    <w:multiLevelType w:val="multilevel"/>
    <w:tmpl w:val="C82E1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0B1589"/>
    <w:multiLevelType w:val="multilevel"/>
    <w:tmpl w:val="9F8C4A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C541C24"/>
    <w:multiLevelType w:val="multilevel"/>
    <w:tmpl w:val="9D7AE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6B07CA"/>
    <w:multiLevelType w:val="multilevel"/>
    <w:tmpl w:val="DDB63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122039"/>
    <w:multiLevelType w:val="multilevel"/>
    <w:tmpl w:val="C81668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51370973">
    <w:abstractNumId w:val="6"/>
  </w:num>
  <w:num w:numId="2" w16cid:durableId="43063367">
    <w:abstractNumId w:val="0"/>
  </w:num>
  <w:num w:numId="3" w16cid:durableId="1814366301">
    <w:abstractNumId w:val="12"/>
  </w:num>
  <w:num w:numId="4" w16cid:durableId="799688874">
    <w:abstractNumId w:val="1"/>
  </w:num>
  <w:num w:numId="5" w16cid:durableId="1746226628">
    <w:abstractNumId w:val="4"/>
  </w:num>
  <w:num w:numId="6" w16cid:durableId="300381594">
    <w:abstractNumId w:val="3"/>
  </w:num>
  <w:num w:numId="7" w16cid:durableId="1835413820">
    <w:abstractNumId w:val="11"/>
  </w:num>
  <w:num w:numId="8" w16cid:durableId="370963476">
    <w:abstractNumId w:val="5"/>
  </w:num>
  <w:num w:numId="9" w16cid:durableId="495615421">
    <w:abstractNumId w:val="10"/>
  </w:num>
  <w:num w:numId="10" w16cid:durableId="1106196455">
    <w:abstractNumId w:val="9"/>
  </w:num>
  <w:num w:numId="11" w16cid:durableId="1717580957">
    <w:abstractNumId w:val="8"/>
  </w:num>
  <w:num w:numId="12" w16cid:durableId="1941254394">
    <w:abstractNumId w:val="2"/>
  </w:num>
  <w:num w:numId="13" w16cid:durableId="654996749">
    <w:abstractNumId w:val="7"/>
  </w:num>
  <w:num w:numId="14" w16cid:durableId="5026724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51A"/>
    <w:rsid w:val="0032651A"/>
    <w:rsid w:val="0077154F"/>
    <w:rsid w:val="00A06743"/>
    <w:rsid w:val="00D4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036C0"/>
  <w15:docId w15:val="{F26433E0-8990-8A4F-84D3-2AC839EB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SIKHA HARSHA</cp:lastModifiedBy>
  <cp:revision>2</cp:revision>
  <dcterms:created xsi:type="dcterms:W3CDTF">2024-12-10T19:35:00Z</dcterms:created>
  <dcterms:modified xsi:type="dcterms:W3CDTF">2024-12-10T19:35:00Z</dcterms:modified>
</cp:coreProperties>
</file>