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8d477d1f3f4c4987" /><Relationship Type="http://schemas.openxmlformats.org/package/2006/relationships/metadata/core-properties" Target="/docProps/core.xml" Id="R464723e70e55485e" /><Relationship Type="http://schemas.openxmlformats.org/officeDocument/2006/relationships/extended-properties" Target="/docProps/app.xml" Id="R18d44dbbfec14085" /><Relationship Type="http://schemas.openxmlformats.org/officeDocument/2006/relationships/custom-properties" Target="/docProps/custom.xml" Id="R4930147dacf54e0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480"/>
      </w:pPr>
      <w:r>
        <w:rPr/>
        <w:t xml:space="preserve"/>
      </w:r>
    </w:p>
    <w:p w14:paraId="00100002" w14:textId="00100003">
      <w:pPr>
        <w:pStyle w:val="Heading1"/>
        <w:spacing w:after="160"/>
        <w:jc w:val="center"/>
      </w:pPr>
      <w:r>
        <w:rPr>
          <w:b/>
          <w:color w:val="0D1B2A"/>
          <w:sz w:val="56"/>
        </w:rPr>
        <w:t xml:space="preserve">EV Adoption in India</w:t>
      </w:r>
    </w:p>
    <w:p w14:paraId="00100004" w14:textId="00100005">
      <w:pPr>
        <w:spacing w:after="120"/>
        <w:jc w:val="center"/>
      </w:pPr>
      <w:r>
        <w:rPr>
          <w:color w:val="475569"/>
          <w:sz w:val="28"/>
        </w:rPr>
        <w:t xml:space="preserve">Interactive Data Analytics Dashboard — Project Report</w:t>
      </w:r>
    </w:p>
    <w:p w14:paraId="00100006" w14:textId="00100007">
      <w:pPr>
        <w:spacing w:after="120"/>
      </w:pPr>
      <w:r>
        <w:rPr/>
        <w:t xml:space="preserve"/>
      </w:r>
    </w:p>
    <w:p w14:paraId="00100008" w14:textId="00100009">
      <w:pPr>
        <w:spacing w:after="80"/>
        <w:jc w:val="center"/>
      </w:pPr>
      <w:r>
        <w:rPr>
          <w:color w:val="64748B"/>
          <w:sz w:val="22"/>
        </w:rPr>
        <w:t xml:space="preserve">Built with Python · Streamlit · Plotly · scikit-learn</w:t>
      </w:r>
    </w:p>
    <w:p w14:paraId="0010000A" w14:textId="0010000B">
      <w:pPr>
        <w:spacing w:after="80"/>
        <w:jc w:val="center"/>
      </w:pPr>
      <w:r>
        <w:rPr>
          <w:color w:val="64748B"/>
          <w:sz w:val="22"/>
        </w:rPr>
        <w:t xml:space="preserve">Dataset: Kaggle — India EV Market Data</w:t>
      </w:r>
    </w:p>
    <w:p w14:paraId="0010000C" w14:textId="0010000D">
      <w:pPr>
        <w:spacing w:after="800"/>
        <w:jc w:val="center"/>
      </w:pPr>
      <w:r>
        <w:rPr>
          <w:color w:val="64748B"/>
          <w:sz w:val="22"/>
        </w:rPr>
        <w:t xml:space="preserve">Data Source: Vahan Dashboard / EVREPORTER</w:t>
      </w:r>
    </w:p>
    <w:p w14:paraId="0010000E" w14:textId="0010000F">
      <w:pPr>
        <w:spacing w:after="480"/>
      </w:pPr>
      <w:r>
        <w:rPr/>
        <w:t xml:space="preserve"/>
      </w:r>
    </w:p>
    <w:p w14:paraId="00100010" w14:textId="00100011">
      <w:pPr>
        <w:pStyle w:val="Heading2"/>
        <w:spacing w:after="200"/>
      </w:pPr>
      <w:r>
        <w:rPr>
          <w:b/>
          <w:color w:val="0D1B2A"/>
          <w:sz w:val="32"/>
        </w:rPr>
        <w:t xml:space="preserve">Table of Contents</w:t>
      </w:r>
    </w:p>
    <w:p w14:paraId="00100012" w14:textId="00100013">
      <w:pPr>
        <w:spacing w:after="80"/>
      </w:pPr>
      <w:r>
        <w:rPr>
          <w:color w:val="1E3A5F"/>
          <w:sz w:val="22"/>
        </w:rPr>
        <w:t xml:space="preserve">1. Project Overview</w:t>
      </w:r>
    </w:p>
    <w:p w14:paraId="00100014" w14:textId="00100015">
      <w:pPr>
        <w:spacing w:after="80"/>
      </w:pPr>
      <w:r>
        <w:rPr>
          <w:color w:val="1E3A5F"/>
          <w:sz w:val="22"/>
        </w:rPr>
        <w:t xml:space="preserve">2. Objectives</w:t>
      </w:r>
    </w:p>
    <w:p w14:paraId="00100016" w14:textId="00100017">
      <w:pPr>
        <w:spacing w:after="80"/>
      </w:pPr>
      <w:r>
        <w:rPr>
          <w:color w:val="1E3A5F"/>
          <w:sz w:val="22"/>
        </w:rPr>
        <w:t xml:space="preserve">3. Dataset Description</w:t>
      </w:r>
    </w:p>
    <w:p w14:paraId="00100018" w14:textId="00100019">
      <w:pPr>
        <w:spacing w:after="80"/>
      </w:pPr>
      <w:r>
        <w:rPr>
          <w:color w:val="1E3A5F"/>
          <w:sz w:val="22"/>
        </w:rPr>
        <w:t xml:space="preserve">4. Data Cleaning &amp; Preprocessing</w:t>
      </w:r>
    </w:p>
    <w:p w14:paraId="0010001A" w14:textId="0010001B">
      <w:pPr>
        <w:spacing w:after="80"/>
      </w:pPr>
      <w:r>
        <w:rPr>
          <w:color w:val="1E3A5F"/>
          <w:sz w:val="22"/>
        </w:rPr>
        <w:t xml:space="preserve">5. Technology Stack</w:t>
      </w:r>
    </w:p>
    <w:p w14:paraId="0010001C" w14:textId="0010001D">
      <w:pPr>
        <w:spacing w:after="80"/>
      </w:pPr>
      <w:r>
        <w:rPr>
          <w:color w:val="1E3A5F"/>
          <w:sz w:val="22"/>
        </w:rPr>
        <w:t xml:space="preserve">6. Dashboard Architecture</w:t>
      </w:r>
    </w:p>
    <w:p w14:paraId="0010001E" w14:textId="0010001F">
      <w:pPr>
        <w:spacing w:after="80"/>
      </w:pPr>
      <w:r>
        <w:rPr>
          <w:color w:val="1E3A5F"/>
          <w:sz w:val="22"/>
        </w:rPr>
        <w:t xml:space="preserve">7. Dashboard UI — Section-by-Section Description</w:t>
      </w:r>
    </w:p>
    <w:p w14:paraId="00100020" w14:textId="00100021">
      <w:pPr>
        <w:spacing w:after="60"/>
      </w:pPr>
      <w:r>
        <w:rPr>
          <w:color w:val="2D5986"/>
          <w:sz w:val="22"/>
        </w:rPr>
        <w:t xml:space="preserve">    7.1 Overview KPI Cards</w:t>
      </w:r>
    </w:p>
    <w:p w14:paraId="00100022" w14:textId="00100023">
      <w:pPr>
        <w:spacing w:after="60"/>
      </w:pPr>
      <w:r>
        <w:rPr>
          <w:color w:val="2D5986"/>
          <w:sz w:val="22"/>
        </w:rPr>
        <w:t xml:space="preserve">    7.2 Historical Trends Tab</w:t>
      </w:r>
    </w:p>
    <w:p w14:paraId="00100024" w14:textId="00100025">
      <w:pPr>
        <w:spacing w:after="60"/>
      </w:pPr>
      <w:r>
        <w:rPr>
          <w:color w:val="2D5986"/>
          <w:sz w:val="22"/>
        </w:rPr>
        <w:t xml:space="preserve">    7.3 Vehicle Categories Tab</w:t>
      </w:r>
    </w:p>
    <w:p w14:paraId="00100026" w14:textId="00100027">
      <w:pPr>
        <w:spacing w:after="60"/>
      </w:pPr>
      <w:r>
        <w:rPr>
          <w:color w:val="2D5986"/>
          <w:sz w:val="22"/>
        </w:rPr>
        <w:t xml:space="preserve">    7.4 Manufacturers Tab</w:t>
      </w:r>
    </w:p>
    <w:p w14:paraId="00100028" w14:textId="00100029">
      <w:pPr>
        <w:spacing w:after="60"/>
      </w:pPr>
      <w:r>
        <w:rPr>
          <w:color w:val="2D5986"/>
          <w:sz w:val="22"/>
        </w:rPr>
        <w:t xml:space="preserve">    7.5 Charging Infrastructure Tab</w:t>
      </w:r>
    </w:p>
    <w:p w14:paraId="0010002A" w14:textId="0010002B">
      <w:pPr>
        <w:spacing w:after="60"/>
      </w:pPr>
      <w:r>
        <w:rPr>
          <w:color w:val="2D5986"/>
          <w:sz w:val="22"/>
        </w:rPr>
        <w:t xml:space="preserve">    7.6 Maker Locations Tab</w:t>
      </w:r>
    </w:p>
    <w:p w14:paraId="0010002C" w14:textId="0010002D">
      <w:pPr>
        <w:spacing w:after="60"/>
      </w:pPr>
      <w:r>
        <w:rPr>
          <w:color w:val="2D5986"/>
          <w:sz w:val="22"/>
        </w:rPr>
        <w:t xml:space="preserve">    7.7 Forecast Tab</w:t>
      </w:r>
    </w:p>
    <w:p w14:paraId="0010002E" w14:textId="0010002F">
      <w:pPr>
        <w:spacing w:after="60"/>
      </w:pPr>
      <w:r>
        <w:rPr>
          <w:color w:val="2D5986"/>
          <w:sz w:val="22"/>
        </w:rPr>
        <w:t xml:space="preserve">    7.8 Recommendations Tab</w:t>
      </w:r>
    </w:p>
    <w:p w14:paraId="00100030" w14:textId="00100031">
      <w:pPr>
        <w:spacing w:after="80"/>
      </w:pPr>
      <w:r>
        <w:rPr>
          <w:color w:val="1E3A5F"/>
          <w:sz w:val="22"/>
        </w:rPr>
        <w:t xml:space="preserve">8. Forecasting Methodology</w:t>
      </w:r>
    </w:p>
    <w:p w14:paraId="00100032" w14:textId="00100033">
      <w:pPr>
        <w:spacing w:after="80"/>
      </w:pPr>
      <w:r>
        <w:rPr>
          <w:color w:val="1E3A5F"/>
          <w:sz w:val="22"/>
        </w:rPr>
        <w:t xml:space="preserve">9. Key Findings &amp; Insights</w:t>
      </w:r>
    </w:p>
    <w:p w14:paraId="00100034" w14:textId="00100035">
      <w:pPr>
        <w:spacing w:after="80"/>
      </w:pPr>
      <w:r>
        <w:rPr>
          <w:color w:val="1E3A5F"/>
          <w:sz w:val="22"/>
        </w:rPr>
        <w:t xml:space="preserve">10. Recommendations</w:t>
      </w:r>
    </w:p>
    <w:p w14:paraId="00100036" w14:textId="00100037">
      <w:pPr>
        <w:spacing w:after="80"/>
      </w:pPr>
      <w:r>
        <w:rPr>
          <w:color w:val="1E3A5F"/>
          <w:sz w:val="22"/>
        </w:rPr>
        <w:t xml:space="preserve">11. Project Structure</w:t>
      </w:r>
    </w:p>
    <w:p w14:paraId="00100038" w14:textId="00100039">
      <w:pPr>
        <w:spacing w:after="80"/>
      </w:pPr>
      <w:r>
        <w:rPr>
          <w:color w:val="1E3A5F"/>
          <w:sz w:val="22"/>
        </w:rPr>
        <w:t xml:space="preserve">12. How to Run</w:t>
      </w:r>
    </w:p>
    <w:p w14:paraId="0010003A" w14:textId="0010003B">
      <w:pPr>
        <w:spacing w:after="80"/>
      </w:pPr>
      <w:r>
        <w:rPr>
          <w:color w:val="1E3A5F"/>
          <w:sz w:val="22"/>
        </w:rPr>
        <w:t xml:space="preserve">13. Conclusion</w:t>
      </w:r>
    </w:p>
    <w:p w14:paraId="0010003C" w14:textId="0010003D">
      <w:pPr>
        <w:spacing w:after="400"/>
      </w:pPr>
      <w:r>
        <w:rPr>
          <w:color w:val="1E3A5F"/>
          <w:sz w:val="22"/>
        </w:rPr>
        <w:t xml:space="preserve">14. References</w:t>
      </w:r>
    </w:p>
    <w:p w14:paraId="00100158" w14:textId="00100159">
      <w:pPr>
        <w:pStyle w:val="Heading1"/>
        <w:spacing w:before="360" w:after="160"/>
      </w:pPr>
      <w:r>
        <w:rPr>
          <w:b/>
          <w:color w:val="0D1B2A"/>
          <w:sz w:val="36"/>
        </w:rPr>
        <w:t xml:space="preserve">1. Project Overview</w:t>
      </w:r>
    </w:p>
    <w:p w14:paraId="0010015A" w14:textId="0010015B">
      <w:pPr>
        <w:spacing w:after="160"/>
      </w:pPr>
      <w:r>
        <w:rPr>
          <w:sz w:val="22"/>
        </w:rPr>
        <w:t xml:space="preserve">The EV Adoption in India project is a comprehensive, interactive data analytics dashboard built using Python and Streamlit. It provides an end-to-end analysis of India's electric vehicle market — from registration trends and manufacturer performance to charging infrastructure and future growth projections.</w:t>
      </w:r>
    </w:p>
    <w:p w14:paraId="0010015C" w14:textId="0010015D">
      <w:pPr>
        <w:spacing w:after="160"/>
      </w:pPr>
      <w:r>
        <w:rPr>
          <w:sz w:val="22"/>
        </w:rPr>
        <w:t xml:space="preserve">The dashboard consolidates five real-world datasets sourced from the Kaggle repository 'India EV Market Data', which aggregates public data from India's Vahan Dashboard and EVREPORTER. It presents findings through interactive Plotly charts, filterable tables, and data-backed recommendation cards, all within a responsive wide-layout Streamlit interface.</w:t>
      </w:r>
    </w:p>
    <w:p w14:paraId="0010015E" w14:textId="0010015F">
      <w:pPr>
        <w:spacing w:after="240"/>
      </w:pPr>
      <w:r>
        <w:rPr>
          <w:sz w:val="22"/>
        </w:rPr>
        <w:t xml:space="preserve">The application is designed for both technical and non-technical users, with a clean dark navy sidebar, a green-primary chart palette, and consistent typography throughout. All code resides in a single app.py file.</w:t>
      </w:r>
    </w:p>
    <w:p w14:paraId="00100160" w14:textId="00100161">
      <w:pPr>
        <w:pStyle w:val="Heading1"/>
        <w:spacing w:before="360" w:after="160"/>
      </w:pPr>
      <w:r>
        <w:rPr>
          <w:b/>
          <w:color w:val="0D1B2A"/>
          <w:sz w:val="36"/>
        </w:rPr>
        <w:t xml:space="preserve">2. Objectives</w:t>
      </w:r>
    </w:p>
    <w:p w14:paraId="00100162" w14:textId="00100163">
      <w:pPr>
        <w:spacing w:after="120"/>
      </w:pPr>
      <w:r>
        <w:rPr>
          <w:sz w:val="22"/>
        </w:rPr>
        <w:t xml:space="preserve">The project aims to achieve the following objectives:</w:t>
      </w:r>
    </w:p>
    <w:p w14:paraId="00100164" w14:textId="00100165">
      <w:pPr>
        <w:numPr>
          <w:ilvl w:val="0"/>
          <w:numId w:val="19"/>
        </w:numPr>
        <w:spacing w:after="80"/>
      </w:pPr>
      <w:r>
        <w:rPr>
          <w:sz w:val="22"/>
        </w:rPr>
        <w:t xml:space="preserve">Analyse historical EV registration trends from 2001 to 2024 across vehicle categories.</w:t>
      </w:r>
    </w:p>
    <w:p w14:paraId="00100166" w14:textId="00100167">
      <w:pPr>
        <w:numPr>
          <w:ilvl w:val="0"/>
          <w:numId w:val="20"/>
        </w:numPr>
        <w:spacing w:after="80"/>
      </w:pPr>
      <w:r>
        <w:rPr>
          <w:sz w:val="22"/>
        </w:rPr>
        <w:t xml:space="preserve">Identify leading EV manufacturers and their market share from 2015 to 2024.</w:t>
      </w:r>
    </w:p>
    <w:p w14:paraId="00100168" w14:textId="00100169">
      <w:pPr>
        <w:numPr>
          <w:ilvl w:val="0"/>
          <w:numId w:val="21"/>
        </w:numPr>
        <w:spacing w:after="80"/>
      </w:pPr>
      <w:r>
        <w:rPr>
          <w:sz w:val="22"/>
        </w:rPr>
        <w:t xml:space="preserve">Evaluate the state-wise distribution of operational public charging stations (PCS) across India.</w:t>
      </w:r>
    </w:p>
    <w:p w14:paraId="0010016A" w14:textId="0010016B">
      <w:pPr>
        <w:numPr>
          <w:ilvl w:val="0"/>
          <w:numId w:val="22"/>
        </w:numPr>
        <w:spacing w:after="80"/>
      </w:pPr>
      <w:r>
        <w:rPr>
          <w:sz w:val="22"/>
        </w:rPr>
        <w:t xml:space="preserve">Map the geographic distribution of EV manufacturing facilities by city and state.</w:t>
      </w:r>
    </w:p>
    <w:p w14:paraId="0010016C" w14:textId="0010016D">
      <w:pPr>
        <w:numPr>
          <w:ilvl w:val="0"/>
          <w:numId w:val="23"/>
        </w:numPr>
        <w:spacing w:after="80"/>
      </w:pPr>
      <w:r>
        <w:rPr>
          <w:sz w:val="22"/>
        </w:rPr>
        <w:t xml:space="preserve">Build a time-series forecast of future EV registrations using polynomial regression.</w:t>
      </w:r>
    </w:p>
    <w:p w14:paraId="0010016E" w14:textId="0010016F">
      <w:pPr>
        <w:numPr>
          <w:ilvl w:val="0"/>
          <w:numId w:val="24"/>
        </w:numPr>
        <w:spacing w:after="240"/>
      </w:pPr>
      <w:r>
        <w:rPr>
          <w:sz w:val="22"/>
        </w:rPr>
        <w:t xml:space="preserve">Generate data-backed recommendations for improving EV adoption and charging infrastructure.</w:t>
      </w:r>
    </w:p>
    <w:p w14:paraId="0010003E" w14:textId="0010003F">
      <w:pPr>
        <w:pStyle w:val="Heading1"/>
        <w:spacing w:before="360" w:after="160"/>
      </w:pPr>
      <w:r>
        <w:rPr>
          <w:b/>
          <w:color w:val="0D1B2A"/>
          <w:sz w:val="36"/>
        </w:rPr>
        <w:t xml:space="preserve">3. Dataset Description</w:t>
      </w:r>
    </w:p>
    <w:p w14:paraId="00100040" w14:textId="00100041">
      <w:pPr>
        <w:spacing w:after="160"/>
      </w:pPr>
      <w:r>
        <w:rPr>
          <w:sz w:val="22"/>
        </w:rPr>
        <w:t xml:space="preserve">Five CSV datasets are used in this project, all placed in the same directory as app.py:</w:t>
      </w:r>
    </w:p>
    <w:p w14:paraId="00100042" w14:textId="00100043">
      <w:pPr>
        <w:numPr>
          <w:ilvl w:val="0"/>
          <w:numId w:val="1"/>
        </w:numPr>
        <w:spacing w:after="80"/>
      </w:pPr>
      <w:r>
        <w:rPr>
          <w:sz w:val="22"/>
        </w:rPr>
        <w:t xml:space="preserve">File 1 — EV Maker by Place.csv: Lists 63 EV manufacturers with their city and state. Key fields: EV_Maker, Place, State.</w:t>
      </w:r>
    </w:p>
    <w:p w14:paraId="00100044" w14:textId="00100045">
      <w:pPr>
        <w:numPr>
          <w:ilvl w:val="0"/>
          <w:numId w:val="1"/>
        </w:numPr>
        <w:spacing w:after="80"/>
      </w:pPr>
      <w:r>
        <w:rPr>
          <w:sz w:val="22"/>
        </w:rPr>
        <w:t xml:space="preserve">File 2 — ev_cat_01-24.csv: Monthly EV registrations across 16 vehicle classes from January 2001 to early 2024. Key fields: Date, category columns, Total.</w:t>
      </w:r>
    </w:p>
    <w:p w14:paraId="00100046" w14:textId="00100047">
      <w:pPr>
        <w:numPr>
          <w:ilvl w:val="0"/>
          <w:numId w:val="1"/>
        </w:numPr>
        <w:spacing w:after="80"/>
      </w:pPr>
      <w:r>
        <w:rPr>
          <w:sz w:val="22"/>
        </w:rPr>
        <w:t xml:space="preserve">File 3 — ev_sales_by_makers_and_cat_15-24.csv: Annual EV sales per manufacturer per category from 2015–2024. Key fields: Cat, Maker, year columns (2015–2024), Total.</w:t>
      </w:r>
    </w:p>
    <w:p w14:paraId="00100048" w14:textId="00100049">
      <w:pPr>
        <w:numPr>
          <w:ilvl w:val="0"/>
          <w:numId w:val="1"/>
        </w:numPr>
        <w:spacing w:after="80"/>
      </w:pPr>
      <w:r>
        <w:rPr>
          <w:sz w:val="22"/>
        </w:rPr>
        <w:t xml:space="preserve">File 4 — OperationalPC.csv: Operational public charging stations (PCS) per Indian state. Key fields: State, No. of Operational PCS.</w:t>
      </w:r>
    </w:p>
    <w:p w14:paraId="0010004A" w14:textId="0010004B">
      <w:pPr>
        <w:numPr>
          <w:ilvl w:val="0"/>
          <w:numId w:val="1"/>
        </w:numPr>
        <w:spacing w:after="240"/>
      </w:pPr>
      <w:r>
        <w:rPr>
          <w:sz w:val="22"/>
        </w:rPr>
        <w:t xml:space="preserve">File 5 — Vehicle Class - All.csv: All-time cumulative vehicle registrations by class. Key fields: Vehicle_Class, Total_Registration.</w:t>
      </w:r>
    </w:p>
    <w:p w14:paraId="0010004C" w14:textId="0010004D">
      <w:pPr>
        <w:pStyle w:val="Heading1"/>
        <w:spacing w:before="360" w:after="160"/>
      </w:pPr>
      <w:r>
        <w:rPr>
          <w:b/>
          <w:color w:val="0D1B2A"/>
          <w:sz w:val="36"/>
        </w:rPr>
        <w:t xml:space="preserve">4. Data Cleaning &amp; Preprocessing</w:t>
      </w:r>
    </w:p>
    <w:p w14:paraId="0010004E" w14:textId="0010004F">
      <w:pPr>
        <w:spacing w:after="120"/>
      </w:pPr>
      <w:r>
        <w:rPr>
          <w:sz w:val="22"/>
        </w:rPr>
        <w:t xml:space="preserve">All data loading and cleaning is handled in the load_all_data() function decorated with @st.cache_data for performance. The following cleaning steps were applied:</w:t>
      </w:r>
    </w:p>
    <w:p w14:paraId="00100050" w14:textId="00100051">
      <w:pPr>
        <w:numPr>
          <w:ilvl w:val="0"/>
          <w:numId w:val="2"/>
        </w:numPr>
        <w:spacing w:after="80"/>
      </w:pPr>
      <w:r>
        <w:rPr>
          <w:sz w:val="22"/>
        </w:rPr>
        <w:t xml:space="preserve">BOM (Byte Order Mark) removal: All CSV files are loaded with encoding='utf-8-sig', and column names are stripped of leading \ufeff characters.</w:t>
      </w:r>
    </w:p>
    <w:p w14:paraId="00100052" w14:textId="00100053">
      <w:pPr>
        <w:numPr>
          <w:ilvl w:val="0"/>
          <w:numId w:val="2"/>
        </w:numPr>
        <w:spacing w:after="80"/>
      </w:pPr>
      <w:r>
        <w:rPr>
          <w:sz w:val="22"/>
        </w:rPr>
        <w:t xml:space="preserve">Invalid row removal: In ev_cat_01-24.csv, the row where Date == '0' is a known invalid entry and is explicitly removed before date parsing.</w:t>
      </w:r>
    </w:p>
    <w:p w14:paraId="00100054" w14:textId="00100055">
      <w:pPr>
        <w:numPr>
          <w:ilvl w:val="0"/>
          <w:numId w:val="2"/>
        </w:numPr>
        <w:spacing w:after="80"/>
      </w:pPr>
      <w:r>
        <w:rPr>
          <w:sz w:val="22"/>
        </w:rPr>
        <w:t xml:space="preserve">Date parsing: Dates in ev_cat_01-24.csv are stored in DD/MM/YY format. They are parsed using pd.to_datetime with format='%d/%m/%y'. Unparseable rows are dropped.</w:t>
      </w:r>
    </w:p>
    <w:p w14:paraId="00100056" w14:textId="00100057">
      <w:pPr>
        <w:numPr>
          <w:ilvl w:val="0"/>
          <w:numId w:val="2"/>
        </w:numPr>
        <w:spacing w:after="80"/>
      </w:pPr>
      <w:r>
        <w:rPr>
          <w:sz w:val="22"/>
        </w:rPr>
        <w:t xml:space="preserve">Indian number format: Vehicle Class - All.csv uses Indian comma formatting (e.g. 1,02,965). The clean_numeric() function strips all commas and quotes before casting to int.</w:t>
      </w:r>
    </w:p>
    <w:p w14:paraId="00100058" w14:textId="00100059">
      <w:pPr>
        <w:numPr>
          <w:ilvl w:val="0"/>
          <w:numId w:val="2"/>
        </w:numPr>
        <w:spacing w:after="80"/>
      </w:pPr>
      <w:r>
        <w:rPr>
          <w:sz w:val="22"/>
        </w:rPr>
        <w:t xml:space="preserve">Quoted maker names: Some manufacturer names in ev_sales_by_makers_and_cat_15-24.csv are wrapped in extra double-quotes. These are stripped with .str.strip('"').</w:t>
      </w:r>
    </w:p>
    <w:p w14:paraId="0010005A" w14:textId="0010005B">
      <w:pPr>
        <w:numPr>
          <w:ilvl w:val="0"/>
          <w:numId w:val="2"/>
        </w:numPr>
        <w:spacing w:after="80"/>
      </w:pPr>
      <w:r>
        <w:rPr>
          <w:sz w:val="22"/>
        </w:rPr>
        <w:t xml:space="preserve">Total column derivation: A 'Total' column is derived by summing all numeric category columns row-wise.</w:t>
      </w:r>
    </w:p>
    <w:p w14:paraId="0010005C" w14:textId="0010005D">
      <w:pPr>
        <w:numPr>
          <w:ilvl w:val="0"/>
          <w:numId w:val="2"/>
        </w:numPr>
        <w:spacing w:after="240"/>
      </w:pPr>
      <w:r>
        <w:rPr>
          <w:sz w:val="22"/>
        </w:rPr>
        <w:t xml:space="preserve">Year / Month / YearMonth columns: Extracted from the parsed Date column for grouping and filtering purposes.</w:t>
      </w:r>
    </w:p>
    <w:p w14:paraId="0010005E" w14:textId="0010005F">
      <w:pPr>
        <w:pStyle w:val="Heading1"/>
        <w:spacing w:before="360" w:after="160"/>
      </w:pPr>
      <w:r>
        <w:rPr>
          <w:b/>
          <w:color w:val="0D1B2A"/>
          <w:sz w:val="36"/>
        </w:rPr>
        <w:t xml:space="preserve">5. Technology Stack</w:t>
      </w:r>
    </w:p>
    <w:p w14:paraId="00100060" w14:textId="00100061">
      <w:pPr>
        <w:numPr>
          <w:ilvl w:val="0"/>
          <w:numId w:val="3"/>
        </w:numPr>
        <w:spacing w:after="80"/>
      </w:pPr>
      <w:r>
        <w:rPr>
          <w:sz w:val="22"/>
        </w:rPr>
        <w:t xml:space="preserve">Streamlit (&gt;=1.32): Web application framework for building the interactive dashboard UI.</w:t>
      </w:r>
    </w:p>
    <w:p w14:paraId="00100062" w14:textId="00100063">
      <w:pPr>
        <w:numPr>
          <w:ilvl w:val="0"/>
          <w:numId w:val="3"/>
        </w:numPr>
        <w:spacing w:after="80"/>
      </w:pPr>
      <w:r>
        <w:rPr>
          <w:sz w:val="22"/>
        </w:rPr>
        <w:t xml:space="preserve">Pandas (&gt;=2.0): Data loading, cleaning, filtering, grouping, and aggregation.</w:t>
      </w:r>
    </w:p>
    <w:p w14:paraId="00100064" w14:textId="00100065">
      <w:pPr>
        <w:numPr>
          <w:ilvl w:val="0"/>
          <w:numId w:val="3"/>
        </w:numPr>
        <w:spacing w:after="80"/>
      </w:pPr>
      <w:r>
        <w:rPr>
          <w:sz w:val="22"/>
        </w:rPr>
        <w:t xml:space="preserve">NumPy (&gt;=1.26): Array operations for forecast year generation and clipping.</w:t>
      </w:r>
    </w:p>
    <w:p w14:paraId="00100066" w14:textId="00100067">
      <w:pPr>
        <w:numPr>
          <w:ilvl w:val="0"/>
          <w:numId w:val="3"/>
        </w:numPr>
        <w:spacing w:after="80"/>
      </w:pPr>
      <w:r>
        <w:rPr>
          <w:sz w:val="22"/>
        </w:rPr>
        <w:t xml:space="preserve">Plotly Express &amp; Graph Objects (&gt;=5.20): All interactive charts — bar, line, pie, scatter, heatmap, treemap.</w:t>
      </w:r>
    </w:p>
    <w:p w14:paraId="00100068" w14:textId="00100069">
      <w:pPr>
        <w:numPr>
          <w:ilvl w:val="0"/>
          <w:numId w:val="3"/>
        </w:numPr>
        <w:spacing w:after="240"/>
      </w:pPr>
      <w:r>
        <w:rPr>
          <w:sz w:val="22"/>
        </w:rPr>
        <w:t xml:space="preserve">scikit-learn (&gt;=1.4): PolynomialFeatures + LinearRegression pipeline for EV registration forecasting.</w:t>
      </w:r>
    </w:p>
    <w:p w14:paraId="0010006A" w14:textId="0010006B">
      <w:pPr>
        <w:pStyle w:val="Heading1"/>
        <w:spacing w:before="360" w:after="160"/>
      </w:pPr>
      <w:r>
        <w:rPr>
          <w:b/>
          <w:color w:val="0D1B2A"/>
          <w:sz w:val="36"/>
        </w:rPr>
        <w:t xml:space="preserve">6. Dashboard Architecture</w:t>
      </w:r>
    </w:p>
    <w:p w14:paraId="0010006C" w14:textId="0010006D">
      <w:pPr>
        <w:spacing w:after="120"/>
      </w:pPr>
      <w:r>
        <w:rPr>
          <w:sz w:val="22"/>
        </w:rPr>
        <w:t xml:space="preserve">The entire application is contained in a single file, app.py. The architecture follows this flow:</w:t>
      </w:r>
    </w:p>
    <w:p w14:paraId="0010006E" w14:textId="0010006F">
      <w:pPr>
        <w:numPr>
          <w:ilvl w:val="0"/>
          <w:numId w:val="4"/>
        </w:numPr>
        <w:spacing w:after="80"/>
      </w:pPr>
      <w:r>
        <w:rPr>
          <w:sz w:val="22"/>
        </w:rPr>
        <w:t xml:space="preserve">1. Page Config &amp; CSS Injection: st.set_page_config sets wide layout. A global &lt;style&gt; block injects navy sidebar, green metric card accents, tab styling, and consistent heading colors.</w:t>
      </w:r>
    </w:p>
    <w:p w14:paraId="00100070" w14:textId="00100071">
      <w:pPr>
        <w:numPr>
          <w:ilvl w:val="0"/>
          <w:numId w:val="4"/>
        </w:numPr>
        <w:spacing w:after="80"/>
      </w:pPr>
      <w:r>
        <w:rPr>
          <w:sz w:val="22"/>
        </w:rPr>
        <w:t xml:space="preserve">2. Colour Constants: GREEN_SEQ, GREEN_MID, AMBER, NAVY, and MULTI_PALETTE define the entire chart colour system. apply_chart_style() applies consistent backgrounds, fonts, grids, and hover styles to every Plotly figure.</w:t>
      </w:r>
    </w:p>
    <w:p w14:paraId="00100072" w14:textId="00100073">
      <w:pPr>
        <w:numPr>
          <w:ilvl w:val="0"/>
          <w:numId w:val="4"/>
        </w:numPr>
        <w:spacing w:after="80"/>
      </w:pPr>
      <w:r>
        <w:rPr>
          <w:sz w:val="22"/>
        </w:rPr>
        <w:t xml:space="preserve">3. Data Loading Layer: load_all_data() loads and cleans all 5 CSVs, cached with @st.cache_data. Returns 5 DataFrames and an error list.</w:t>
      </w:r>
    </w:p>
    <w:p w14:paraId="00100074" w14:textId="00100075">
      <w:pPr>
        <w:numPr>
          <w:ilvl w:val="0"/>
          <w:numId w:val="4"/>
        </w:numPr>
        <w:spacing w:after="80"/>
      </w:pPr>
      <w:r>
        <w:rPr>
          <w:sz w:val="22"/>
        </w:rPr>
        <w:t xml:space="preserve">4. Sidebar Filters: Four filter groups — Time Range, Vehicle Category, Manufacturer (Top 30), and State (Charging) — use Streamlit widgets with label_visibility='collapsed' and inline section headings.</w:t>
      </w:r>
    </w:p>
    <w:p w14:paraId="00100076" w14:textId="00100077">
      <w:pPr>
        <w:numPr>
          <w:ilvl w:val="0"/>
          <w:numId w:val="4"/>
        </w:numPr>
        <w:spacing w:after="80"/>
      </w:pPr>
      <w:r>
        <w:rPr>
          <w:sz w:val="22"/>
        </w:rPr>
        <w:t xml:space="preserve">5. KPI Cards: Four custom HTML metric cards rendered via st.markdown() show: total EV registrations (large numeric), leading manufacturer, top vehicle category, and top state by charging stations.</w:t>
      </w:r>
    </w:p>
    <w:p w14:paraId="00100078" w14:textId="00100079">
      <w:pPr>
        <w:numPr>
          <w:ilvl w:val="0"/>
          <w:numId w:val="4"/>
        </w:numPr>
        <w:spacing w:after="240"/>
      </w:pPr>
      <w:r>
        <w:rPr>
          <w:sz w:val="22"/>
        </w:rPr>
        <w:t xml:space="preserve">6. Tabbed Content: Seven tabs — Trends, Categories, Manufacturers, Charging, Maker Locations, Forecast, Recommendations — each containing multiple Plotly charts and/or data tables.</w:t>
      </w:r>
    </w:p>
    <w:p w14:paraId="0010007A" w14:textId="0010007B">
      <w:pPr>
        <w:pStyle w:val="Heading1"/>
        <w:spacing w:before="360" w:after="160"/>
      </w:pPr>
      <w:r>
        <w:rPr>
          <w:b/>
          <w:color w:val="0D1B2A"/>
          <w:sz w:val="36"/>
        </w:rPr>
        <w:t xml:space="preserve">7. Dashboard UI — Section-by-Section Description</w:t>
      </w:r>
    </w:p>
    <w:p w14:paraId="0010007C" w14:textId="0010007D">
      <w:pPr>
        <w:spacing w:after="200"/>
      </w:pPr>
      <w:r>
        <w:rPr>
          <w:sz w:val="22"/>
        </w:rPr>
        <w:t xml:space="preserve">This section describes each visible section of the dashboard as it appears in the browser, along with the charts and interactions available.</w:t>
      </w:r>
    </w:p>
    <w:p w14:paraId="0010007E" w14:textId="0010007F">
      <w:pPr>
        <w:spacing w:before="280" w:after="120"/>
      </w:pPr>
      <w:r>
        <w:rPr>
          <w:b/>
          <w:color w:val="1E3A5F"/>
          <w:sz w:val="28"/>
        </w:rPr>
        <w:t xml:space="preserve">7.1  Overview KPI Cards</w:t>
      </w:r>
    </w:p>
    <w:p w14:paraId="00100080" w14:textId="00100081">
      <w:pPr>
        <w:spacing w:after="80"/>
      </w:pPr>
      <w:r>
        <w:rPr>
          <w:sz w:val="22"/>
        </w:rPr>
        <w:t xml:space="preserve">Location: Top of the page, below the title and subtitle.</w:t>
      </w:r>
    </w:p>
    <w:p w14:paraId="00100082" w14:textId="00100083">
      <w:pPr>
        <w:spacing w:after="80"/>
      </w:pPr>
      <w:r>
        <w:rPr>
          <w:sz w:val="22"/>
        </w:rPr>
        <w:t xml:space="preserve">Layout: Four equal-width columns with green top-border cards.</w:t>
      </w:r>
    </w:p>
    <w:p w14:paraId="00100084" w14:textId="00100085">
      <w:pPr>
        <w:numPr>
          <w:ilvl w:val="0"/>
          <w:numId w:val="5"/>
        </w:numPr>
        <w:spacing w:after="80"/>
      </w:pPr>
      <w:r>
        <w:rPr>
          <w:sz w:val="22"/>
        </w:rPr>
        <w:t xml:space="preserve">Card 1 — Total EV Registrations: Shows the sum of all EV registrations within the selected year range, displayed in large bold numerals (e.g. 1,23,45,678).</w:t>
      </w:r>
    </w:p>
    <w:p w14:paraId="00100086" w14:textId="00100087">
      <w:pPr>
        <w:numPr>
          <w:ilvl w:val="0"/>
          <w:numId w:val="5"/>
        </w:numPr>
        <w:spacing w:after="80"/>
      </w:pPr>
      <w:r>
        <w:rPr>
          <w:sz w:val="22"/>
        </w:rPr>
        <w:t xml:space="preserve">Card 2 — Leading Manufacturer: Displays the manufacturer with the highest total EV sales (2015–2024) based on ev_sales_by_makers_and_cat_15-24.csv. The full name is shown without truncation using a smaller font.</w:t>
      </w:r>
    </w:p>
    <w:p w14:paraId="00100088" w14:textId="00100089">
      <w:pPr>
        <w:numPr>
          <w:ilvl w:val="0"/>
          <w:numId w:val="5"/>
        </w:numPr>
        <w:spacing w:after="80"/>
      </w:pPr>
      <w:r>
        <w:rPr>
          <w:sz w:val="22"/>
        </w:rPr>
        <w:t xml:space="preserve">Card 3 — Top Vehicle Category: Shows the vehicle class with the highest all-time registrations from Vehicle Class - All.csv (typically 2-Wheeler NT).</w:t>
      </w:r>
    </w:p>
    <w:p w14:paraId="0010008A" w14:textId="0010008B">
      <w:pPr>
        <w:numPr>
          <w:ilvl w:val="0"/>
          <w:numId w:val="5"/>
        </w:numPr>
        <w:spacing w:after="200"/>
      </w:pPr>
      <w:r>
        <w:rPr>
          <w:sz w:val="22"/>
        </w:rPr>
        <w:t xml:space="preserve">Card 4 — Top State (Charging): Displays the state with the most operational public charging stations from OperationalPC.csv (typically Maharashtra).</w:t>
      </w:r>
    </w:p>
    <w:p w14:paraId="0010008C" w14:textId="0010008D">
      <w:pPr>
        <w:spacing w:before="280" w:after="120"/>
      </w:pPr>
      <w:r>
        <w:rPr>
          <w:b/>
          <w:color w:val="1E3A5F"/>
          <w:sz w:val="28"/>
        </w:rPr>
        <w:t xml:space="preserve">7.2  Historical Trends Tab (📈 Trends)</w:t>
      </w:r>
    </w:p>
    <w:p w14:paraId="0010008E" w14:textId="0010008F">
      <w:pPr>
        <w:spacing w:after="120"/>
      </w:pPr>
      <w:r>
        <w:rPr>
          <w:sz w:val="22"/>
        </w:rPr>
        <w:t xml:space="preserve">This tab visualises EV registration growth over time using ev_cat_01-24.csv.</w:t>
      </w:r>
    </w:p>
    <w:p w14:paraId="00100090" w14:textId="00100091">
      <w:pPr>
        <w:numPr>
          <w:ilvl w:val="0"/>
          <w:numId w:val="6"/>
        </w:numPr>
        <w:spacing w:after="80"/>
      </w:pPr>
      <w:r>
        <w:rPr>
          <w:sz w:val="22"/>
        </w:rPr>
        <w:t xml:space="preserve">View Toggle: A radio button switches between Annual and Monthly views.</w:t>
      </w:r>
    </w:p>
    <w:p w14:paraId="00100092" w14:textId="00100093">
      <w:pPr>
        <w:numPr>
          <w:ilvl w:val="0"/>
          <w:numId w:val="6"/>
        </w:numPr>
        <w:spacing w:after="80"/>
      </w:pPr>
      <w:r>
        <w:rPr>
          <w:sz w:val="22"/>
        </w:rPr>
        <w:t xml:space="preserve">Annual View — Chart 1: A vertical bar chart of total annual EV registrations from 2001 to 2024, coloured on a green sequential scale. Bar labels show values above each bar.</w:t>
      </w:r>
    </w:p>
    <w:p w14:paraId="00100094" w14:textId="00100095">
      <w:pPr>
        <w:numPr>
          <w:ilvl w:val="0"/>
          <w:numId w:val="6"/>
        </w:numPr>
        <w:spacing w:after="80"/>
      </w:pPr>
      <w:r>
        <w:rPr>
          <w:sz w:val="22"/>
        </w:rPr>
        <w:t xml:space="preserve">Annual View — Chart 2: A line chart showing Year-over-Year (YoY) growth rate (%), with a dotted zero line for reference. Highlights years of significant acceleration.</w:t>
      </w:r>
    </w:p>
    <w:p w14:paraId="00100096" w14:textId="00100097">
      <w:pPr>
        <w:numPr>
          <w:ilvl w:val="0"/>
          <w:numId w:val="6"/>
        </w:numPr>
        <w:spacing w:after="80"/>
      </w:pPr>
      <w:r>
        <w:rPr>
          <w:sz w:val="22"/>
        </w:rPr>
        <w:t xml:space="preserve">Monthly View: A continuous line chart of monthly registration totals, sorted chronologically. Useful for identifying seasonal patterns.</w:t>
      </w:r>
    </w:p>
    <w:p w14:paraId="00100098" w14:textId="00100099">
      <w:pPr>
        <w:numPr>
          <w:ilvl w:val="0"/>
          <w:numId w:val="6"/>
        </w:numPr>
        <w:spacing w:after="200"/>
      </w:pPr>
      <w:r>
        <w:rPr>
          <w:sz w:val="22"/>
        </w:rPr>
        <w:t xml:space="preserve">Heatmap: An imshow heatmap showing registration intensity by category (y-axis) and year (x-axis), using a YlGn colour scale. Clearly highlights the surge of 2W and 3W categories from 2019 onwards.</w:t>
      </w:r>
    </w:p>
    <w:p w14:paraId="0010009A" w14:textId="0010009B">
      <w:pPr>
        <w:spacing w:before="280" w:after="120"/>
      </w:pPr>
      <w:r>
        <w:rPr>
          <w:b/>
          <w:color w:val="1E3A5F"/>
          <w:sz w:val="28"/>
        </w:rPr>
        <w:t xml:space="preserve">7.3  Vehicle Categories Tab (🚗 Categories)</w:t>
      </w:r>
    </w:p>
    <w:p w14:paraId="0010009C" w14:textId="0010009D">
      <w:pPr>
        <w:spacing w:after="120"/>
      </w:pPr>
      <w:r>
        <w:rPr>
          <w:sz w:val="22"/>
        </w:rPr>
        <w:t xml:space="preserve">This tab analyses India's EV registrations broken down by vehicle type.</w:t>
      </w:r>
    </w:p>
    <w:p w14:paraId="0010009E" w14:textId="0010009F">
      <w:pPr>
        <w:numPr>
          <w:ilvl w:val="0"/>
          <w:numId w:val="7"/>
        </w:numPr>
        <w:spacing w:after="80"/>
      </w:pPr>
      <w:r>
        <w:rPr>
          <w:sz w:val="22"/>
        </w:rPr>
        <w:t xml:space="preserve">Donut Pie Chart: Shows share of total registrations by vehicle class. Rendered with inside percentage labels and a 0.45 hole ratio.</w:t>
      </w:r>
    </w:p>
    <w:p w14:paraId="001000A0" w14:textId="001000A1">
      <w:pPr>
        <w:numPr>
          <w:ilvl w:val="0"/>
          <w:numId w:val="7"/>
        </w:numPr>
        <w:spacing w:after="80"/>
      </w:pPr>
      <w:r>
        <w:rPr>
          <w:sz w:val="22"/>
        </w:rPr>
        <w:t xml:space="preserve">Horizontal Bar Chart: Ranks vehicle classes by all-time total registrations. Two-Wheeler (NT) dominates with the longest bar.</w:t>
      </w:r>
    </w:p>
    <w:p w14:paraId="001000A2" w14:textId="001000A3">
      <w:pPr>
        <w:numPr>
          <w:ilvl w:val="0"/>
          <w:numId w:val="7"/>
        </w:numPr>
        <w:spacing w:after="80"/>
      </w:pPr>
      <w:r>
        <w:rPr>
          <w:sz w:val="22"/>
        </w:rPr>
        <w:t xml:space="preserve">Annual Category Selector: A multi-select widget lets users choose which categories to compare. A multi-line chart then plots annual registrations for each selected category from 2001–2024.</w:t>
      </w:r>
    </w:p>
    <w:p w14:paraId="001000A4" w14:textId="001000A5">
      <w:pPr>
        <w:numPr>
          <w:ilvl w:val="0"/>
          <w:numId w:val="7"/>
        </w:numPr>
        <w:spacing w:after="200"/>
      </w:pPr>
      <w:r>
        <w:rPr>
          <w:sz w:val="22"/>
        </w:rPr>
        <w:t xml:space="preserve">Stacked Bar — Sales by Category (2015–2024): Shows year-by-year EV sales totals stacked by category code (2W, 3W, 4W, LMV, etc.) from the sales file.</w:t>
      </w:r>
    </w:p>
    <w:p w14:paraId="001000A6" w14:textId="001000A7">
      <w:pPr>
        <w:spacing w:before="280" w:after="120"/>
      </w:pPr>
      <w:r>
        <w:rPr>
          <w:b/>
          <w:color w:val="1E3A5F"/>
          <w:sz w:val="28"/>
        </w:rPr>
        <w:t xml:space="preserve">7.4  Manufacturers Tab (🏭 Manufacturers)</w:t>
      </w:r>
    </w:p>
    <w:p w14:paraId="001000A8" w14:textId="001000A9">
      <w:pPr>
        <w:spacing w:after="120"/>
      </w:pPr>
      <w:r>
        <w:rPr>
          <w:sz w:val="22"/>
        </w:rPr>
        <w:t xml:space="preserve">This tab provides a deep dive into manufacturer performance using ev_sales_by_makers_and_cat_15-24.csv. The sidebar Manufacturer filter controls which makers appear.</w:t>
      </w:r>
    </w:p>
    <w:p w14:paraId="001000AA" w14:textId="001000AB">
      <w:pPr>
        <w:numPr>
          <w:ilvl w:val="0"/>
          <w:numId w:val="8"/>
        </w:numPr>
        <w:spacing w:after="80"/>
      </w:pPr>
      <w:r>
        <w:rPr>
          <w:sz w:val="22"/>
        </w:rPr>
        <w:t xml:space="preserve">Market Share Donut (Top 15): A donut pie chart showing each manufacturer's percentage of total EV sales. Inside labels show maker name and percentage.</w:t>
      </w:r>
    </w:p>
    <w:p w14:paraId="001000AC" w14:textId="001000AD">
      <w:pPr>
        <w:numPr>
          <w:ilvl w:val="0"/>
          <w:numId w:val="8"/>
        </w:numPr>
        <w:spacing w:after="80"/>
      </w:pPr>
      <w:r>
        <w:rPr>
          <w:sz w:val="22"/>
        </w:rPr>
        <w:t xml:space="preserve">Top 10 Horizontal Bar: Ranks the top 10 manufacturers by total sales (2015–2024) with green sequential colouring and value labels.</w:t>
      </w:r>
    </w:p>
    <w:p w14:paraId="001000AE" w14:textId="001000AF">
      <w:pPr>
        <w:numPr>
          <w:ilvl w:val="0"/>
          <w:numId w:val="8"/>
        </w:numPr>
        <w:spacing w:after="80"/>
      </w:pPr>
      <w:r>
        <w:rPr>
          <w:sz w:val="22"/>
        </w:rPr>
        <w:t xml:space="preserve">Annual Growth Lines: A multi-line chart showing each top-10 manufacturer's year-by-year sales from 2015 to 2024. Markers on each data point. Each manufacturer assigned a distinct colour from MULTI_PALETTE.</w:t>
      </w:r>
    </w:p>
    <w:p w14:paraId="001000B0" w14:textId="001000B1">
      <w:pPr>
        <w:numPr>
          <w:ilvl w:val="0"/>
          <w:numId w:val="8"/>
        </w:numPr>
        <w:spacing w:after="200"/>
      </w:pPr>
      <w:r>
        <w:rPr>
          <w:sz w:val="22"/>
        </w:rPr>
        <w:t xml:space="preserve">Category Mix Stacked Bar: Shows the proportion of each category (2W, 3W, 4W, LMV, etc.) in each manufacturer's total sales, as a stacked bar per maker. X-axis labels are rotated 30 degrees for readability.</w:t>
      </w:r>
    </w:p>
    <w:p w14:paraId="001000B2" w14:textId="001000B3">
      <w:pPr>
        <w:spacing w:before="280" w:after="120"/>
      </w:pPr>
      <w:r>
        <w:rPr>
          <w:b/>
          <w:color w:val="1E3A5F"/>
          <w:sz w:val="28"/>
        </w:rPr>
        <w:t xml:space="preserve">7.5  Charging Infrastructure Tab (🔌 Charging)</w:t>
      </w:r>
    </w:p>
    <w:p w14:paraId="001000B4" w14:textId="001000B5">
      <w:pPr>
        <w:spacing w:after="120"/>
      </w:pPr>
      <w:r>
        <w:rPr>
          <w:sz w:val="22"/>
        </w:rPr>
        <w:t xml:space="preserve">This tab analyses operational public charging station (PCS) data from OperationalPC.csv. The State filter in the sidebar controls which states are shown.</w:t>
      </w:r>
    </w:p>
    <w:p w14:paraId="001000B6" w14:textId="001000B7">
      <w:pPr>
        <w:numPr>
          <w:ilvl w:val="0"/>
          <w:numId w:val="9"/>
        </w:numPr>
        <w:spacing w:after="80"/>
      </w:pPr>
      <w:r>
        <w:rPr>
          <w:sz w:val="22"/>
        </w:rPr>
        <w:t xml:space="preserve">KPI Row: Three metric cards at the top show: Total Charging Stations (filtered), Average PCS per State, and Estimated EVs per Station (latest year total EVs / total PCS).</w:t>
      </w:r>
    </w:p>
    <w:p w14:paraId="001000B8" w14:textId="001000B9">
      <w:pPr>
        <w:numPr>
          <w:ilvl w:val="0"/>
          <w:numId w:val="9"/>
        </w:numPr>
        <w:spacing w:after="80"/>
      </w:pPr>
      <w:r>
        <w:rPr>
          <w:sz w:val="22"/>
        </w:rPr>
        <w:t xml:space="preserve">Top 15 States Bar Chart: A horizontal bar chart (sorted ascending) showing the top 15 states by PCS count. Green sequential colour scale and value labels. Height is fixed at 480px.</w:t>
      </w:r>
    </w:p>
    <w:p w14:paraId="001000BA" w14:textId="001000BB">
      <w:pPr>
        <w:numPr>
          <w:ilvl w:val="0"/>
          <w:numId w:val="9"/>
        </w:numPr>
        <w:spacing w:after="80"/>
      </w:pPr>
      <w:r>
        <w:rPr>
          <w:sz w:val="22"/>
        </w:rPr>
        <w:t xml:space="preserve">Top 5 / Bottom 5 Tables: Two compact tables in the right column highlight the states with the most and fewest charging stations.</w:t>
      </w:r>
    </w:p>
    <w:p w14:paraId="001000BC" w14:textId="001000BD">
      <w:pPr>
        <w:numPr>
          <w:ilvl w:val="0"/>
          <w:numId w:val="9"/>
        </w:numPr>
        <w:spacing w:after="200"/>
      </w:pPr>
      <w:r>
        <w:rPr>
          <w:sz w:val="22"/>
        </w:rPr>
        <w:t xml:space="preserve">Full State Ranking Table: A sortable, numbered dataframe showing all states sorted by PCS in descending order, available below the main chart.</w:t>
      </w:r>
    </w:p>
    <w:p w14:paraId="001000BE" w14:textId="001000BF">
      <w:pPr>
        <w:spacing w:before="280" w:after="120"/>
      </w:pPr>
      <w:r>
        <w:rPr>
          <w:b/>
          <w:color w:val="1E3A5F"/>
          <w:sz w:val="28"/>
        </w:rPr>
        <w:t xml:space="preserve">7.6  Maker Locations Tab (📍 Maker Locations)</w:t>
      </w:r>
    </w:p>
    <w:p w14:paraId="001000C0" w14:textId="001000C1">
      <w:pPr>
        <w:spacing w:after="120"/>
      </w:pPr>
      <w:r>
        <w:rPr>
          <w:sz w:val="22"/>
        </w:rPr>
        <w:t xml:space="preserve">This tab maps the physical distribution of EV manufacturers across India using EV Maker by Place.csv.</w:t>
      </w:r>
    </w:p>
    <w:p w14:paraId="001000C2" w14:textId="001000C3">
      <w:pPr>
        <w:numPr>
          <w:ilvl w:val="0"/>
          <w:numId w:val="10"/>
        </w:numPr>
        <w:spacing w:after="80"/>
      </w:pPr>
      <w:r>
        <w:rPr>
          <w:sz w:val="22"/>
        </w:rPr>
        <w:t xml:space="preserve">Manufacturers by State (Horizontal Bar): Ranks states by count of EV manufacturer facilities, sorted ascending. Green scale.</w:t>
      </w:r>
    </w:p>
    <w:p w14:paraId="001000C4" w14:textId="001000C5">
      <w:pPr>
        <w:numPr>
          <w:ilvl w:val="0"/>
          <w:numId w:val="10"/>
        </w:numPr>
        <w:spacing w:after="80"/>
      </w:pPr>
      <w:r>
        <w:rPr>
          <w:sz w:val="22"/>
        </w:rPr>
        <w:t xml:space="preserve">Top Manufacturing Cities (Donut Pie): Shows the top 12 cities by number of EV manufacturer entries.</w:t>
      </w:r>
    </w:p>
    <w:p w14:paraId="001000C6" w14:textId="001000C7">
      <w:pPr>
        <w:numPr>
          <w:ilvl w:val="0"/>
          <w:numId w:val="10"/>
        </w:numPr>
        <w:spacing w:after="80"/>
      </w:pPr>
      <w:r>
        <w:rPr>
          <w:sz w:val="22"/>
        </w:rPr>
        <w:t xml:space="preserve">Treemap — Manufacturer Ecosystem: An interactive Plotly treemap organised as State &gt; City &gt; Maker. Clicking a tile zooms into that state or city. Useful for exploring the full manufacturing geography of India.</w:t>
      </w:r>
    </w:p>
    <w:p w14:paraId="001000C8" w14:textId="001000C9">
      <w:pPr>
        <w:numPr>
          <w:ilvl w:val="0"/>
          <w:numId w:val="10"/>
        </w:numPr>
        <w:spacing w:after="200"/>
      </w:pPr>
      <w:r>
        <w:rPr>
          <w:sz w:val="22"/>
        </w:rPr>
        <w:t xml:space="preserve">Full Manufacturer Directory: A scrollable, sortable dataframe of all 63 manufacturer entries with columns EV_Maker, Place, and State.</w:t>
      </w:r>
    </w:p>
    <w:p w14:paraId="001000CA" w14:textId="001000CB">
      <w:pPr>
        <w:spacing w:before="280" w:after="120"/>
      </w:pPr>
      <w:r>
        <w:rPr>
          <w:b/>
          <w:color w:val="1E3A5F"/>
          <w:sz w:val="28"/>
        </w:rPr>
        <w:t xml:space="preserve">7.7  Forecast Tab (🔮 Forecast)</w:t>
      </w:r>
    </w:p>
    <w:p w14:paraId="001000CC" w14:textId="001000CD">
      <w:pPr>
        <w:spacing w:after="120"/>
      </w:pPr>
      <w:r>
        <w:rPr>
          <w:sz w:val="22"/>
        </w:rPr>
        <w:t xml:space="preserve">This tab provides a configurable EV registration forecast based on historical data.</w:t>
      </w:r>
    </w:p>
    <w:p w14:paraId="001000CE" w14:textId="001000CF">
      <w:pPr>
        <w:numPr>
          <w:ilvl w:val="0"/>
          <w:numId w:val="11"/>
        </w:numPr>
        <w:spacing w:after="80"/>
      </w:pPr>
      <w:r>
        <w:rPr>
          <w:sz w:val="22"/>
        </w:rPr>
        <w:t xml:space="preserve">Disclaimer Banner: A blue info box at the top clearly states that all projections are estimates from polynomial regression and do not account for policy changes or market disruptions.</w:t>
      </w:r>
    </w:p>
    <w:p w14:paraId="001000D0" w14:textId="001000D1">
      <w:pPr>
        <w:numPr>
          <w:ilvl w:val="0"/>
          <w:numId w:val="11"/>
        </w:numPr>
        <w:spacing w:after="80"/>
      </w:pPr>
      <w:r>
        <w:rPr>
          <w:sz w:val="22"/>
        </w:rPr>
        <w:t xml:space="preserve">Controls: Two side-by-side widgets — a slider for forecast horizon (1–10 years ahead) and a select-slider for training start year (defaults to 2015).</w:t>
      </w:r>
    </w:p>
    <w:p w14:paraId="001000D2" w14:textId="001000D3">
      <w:pPr>
        <w:numPr>
          <w:ilvl w:val="0"/>
          <w:numId w:val="11"/>
        </w:numPr>
        <w:spacing w:after="80"/>
      </w:pPr>
      <w:r>
        <w:rPr>
          <w:sz w:val="22"/>
        </w:rPr>
        <w:t xml:space="preserve">Forecast Chart: A Plotly scatter+line chart with three series: Historical data (green solid), Model Fit (blue dotted, in-sample), and Forecast Estimate (amber dashed). An amber shaded rectangle highlights the forecast zone. Unified hover tooltip shows all values at once.</w:t>
      </w:r>
    </w:p>
    <w:p w14:paraId="001000D4" w14:textId="001000D5">
      <w:pPr>
        <w:numPr>
          <w:ilvl w:val="0"/>
          <w:numId w:val="11"/>
        </w:numPr>
        <w:spacing w:after="80"/>
      </w:pPr>
      <w:r>
        <w:rPr>
          <w:sz w:val="22"/>
        </w:rPr>
        <w:t xml:space="preserve">Forecast Table: A tabular view of each forecast year and its estimated registration count.</w:t>
      </w:r>
    </w:p>
    <w:p w14:paraId="001000D6" w14:textId="001000D7">
      <w:pPr>
        <w:numPr>
          <w:ilvl w:val="0"/>
          <w:numId w:val="11"/>
        </w:numPr>
        <w:spacing w:after="200"/>
      </w:pPr>
      <w:r>
        <w:rPr>
          <w:sz w:val="22"/>
        </w:rPr>
        <w:t xml:space="preserve">Category-Level Forecast Stacked Bar: Separate polynomial regression models are trained per category (from the sales file). The resulting estimates are shown as a stacked bar chart, clearly labelled ESTIMATES ONLY.</w:t>
      </w:r>
    </w:p>
    <w:p w14:paraId="001000D8" w14:textId="001000D9">
      <w:pPr>
        <w:spacing w:before="280" w:after="120"/>
      </w:pPr>
      <w:r>
        <w:rPr>
          <w:b/>
          <w:color w:val="1E3A5F"/>
          <w:sz w:val="28"/>
        </w:rPr>
        <w:t xml:space="preserve">7.8  Recommendations Tab (💡 Recommendations)</w:t>
      </w:r>
    </w:p>
    <w:p w14:paraId="001000DA" w14:textId="001000DB">
      <w:pPr>
        <w:spacing w:after="120"/>
      </w:pPr>
      <w:r>
        <w:rPr>
          <w:sz w:val="22"/>
        </w:rPr>
        <w:t xml:space="preserve">This tab presents data-driven insight cards. All values are computed dynamically from the loaded data at runtime.</w:t>
      </w:r>
    </w:p>
    <w:p w14:paraId="001000DC" w14:textId="001000DD">
      <w:pPr>
        <w:numPr>
          <w:ilvl w:val="0"/>
          <w:numId w:val="12"/>
        </w:numPr>
        <w:spacing w:after="80"/>
      </w:pPr>
      <w:r>
        <w:rPr>
          <w:sz w:val="22"/>
        </w:rPr>
        <w:t xml:space="preserve">Accelerating Adoption: Shows the latest year's YoY growth percentage and total registrations.</w:t>
      </w:r>
    </w:p>
    <w:p w14:paraId="001000DE" w14:textId="001000DF">
      <w:pPr>
        <w:numPr>
          <w:ilvl w:val="0"/>
          <w:numId w:val="12"/>
        </w:numPr>
        <w:spacing w:after="80"/>
      </w:pPr>
      <w:r>
        <w:rPr>
          <w:sz w:val="22"/>
        </w:rPr>
        <w:t xml:space="preserve">Market Concentration Risk: Identifies the single dominant manufacturer by total sales.</w:t>
      </w:r>
    </w:p>
    <w:p w14:paraId="001000E0" w14:textId="001000E1">
      <w:pPr>
        <w:numPr>
          <w:ilvl w:val="0"/>
          <w:numId w:val="12"/>
        </w:numPr>
        <w:spacing w:after="80"/>
      </w:pPr>
      <w:r>
        <w:rPr>
          <w:sz w:val="22"/>
        </w:rPr>
        <w:t xml:space="preserve">Leading Segment: Calls out the top vehicle category and recommends segment-specific policy.</w:t>
      </w:r>
    </w:p>
    <w:p w14:paraId="001000E2" w14:textId="001000E3">
      <w:pPr>
        <w:numPr>
          <w:ilvl w:val="0"/>
          <w:numId w:val="12"/>
        </w:numPr>
        <w:spacing w:after="80"/>
      </w:pPr>
      <w:r>
        <w:rPr>
          <w:sz w:val="22"/>
        </w:rPr>
        <w:t xml:space="preserve">Charging Infrastructure Gaps: Lists states with fewer than 50 PCS and India's total PCS count.</w:t>
      </w:r>
    </w:p>
    <w:p w14:paraId="001000E4" w14:textId="001000E5">
      <w:pPr>
        <w:numPr>
          <w:ilvl w:val="0"/>
          <w:numId w:val="12"/>
        </w:numPr>
        <w:spacing w:after="80"/>
      </w:pPr>
      <w:r>
        <w:rPr>
          <w:sz w:val="22"/>
        </w:rPr>
        <w:t xml:space="preserve">Urban Concentration: Names the top 3 states by PCS and flags the highway/Tier-2 gap.</w:t>
      </w:r>
    </w:p>
    <w:p w14:paraId="001000E6" w14:textId="001000E7">
      <w:pPr>
        <w:numPr>
          <w:ilvl w:val="0"/>
          <w:numId w:val="12"/>
        </w:numPr>
        <w:spacing w:after="80"/>
      </w:pPr>
      <w:r>
        <w:rPr>
          <w:sz w:val="22"/>
        </w:rPr>
        <w:t xml:space="preserve">Manufacturing Hub: Names the state with the most manufacturers.</w:t>
      </w:r>
    </w:p>
    <w:p w14:paraId="001000E8" w14:textId="001000E9">
      <w:pPr>
        <w:numPr>
          <w:ilvl w:val="0"/>
          <w:numId w:val="12"/>
        </w:numPr>
        <w:spacing w:after="240"/>
      </w:pPr>
      <w:r>
        <w:rPr>
          <w:sz w:val="22"/>
        </w:rPr>
        <w:t xml:space="preserve">Policy Priorities: Five numbered policy actions covering FAME-III, building mandates, battery swapping, solar integration, and rural EV finance.</w:t>
      </w:r>
    </w:p>
    <w:p w14:paraId="001000EA" w14:textId="001000EB">
      <w:pPr>
        <w:pStyle w:val="Heading1"/>
        <w:spacing w:before="360" w:after="160"/>
      </w:pPr>
      <w:r>
        <w:rPr>
          <w:b/>
          <w:color w:val="0D1B2A"/>
          <w:sz w:val="36"/>
        </w:rPr>
        <w:t xml:space="preserve">8. Forecasting Methodology</w:t>
      </w:r>
    </w:p>
    <w:p w14:paraId="001000EC" w14:textId="001000ED">
      <w:pPr>
        <w:spacing w:after="120"/>
      </w:pPr>
      <w:r>
        <w:rPr>
          <w:sz w:val="22"/>
        </w:rPr>
        <w:t xml:space="preserve">The forecast module uses scikit-learn's PolynomialFeatures (degree=2) combined with LinearRegression, wrapped in a make_pipeline() call. This is a simple, interpretable model appropriate for a monotonic growth series like EV adoption.</w:t>
      </w:r>
    </w:p>
    <w:p w14:paraId="001000EE" w14:textId="001000EF">
      <w:pPr>
        <w:numPr>
          <w:ilvl w:val="0"/>
          <w:numId w:val="13"/>
        </w:numPr>
        <w:spacing w:after="80"/>
      </w:pPr>
      <w:r>
        <w:rPr>
          <w:sz w:val="22"/>
        </w:rPr>
        <w:t xml:space="preserve">Input Data: Annual total EV registrations from ev_cat_01-24.csv, grouped by year.</w:t>
      </w:r>
    </w:p>
    <w:p w14:paraId="001000F0" w14:textId="001000F1">
      <w:pPr>
        <w:numPr>
          <w:ilvl w:val="0"/>
          <w:numId w:val="13"/>
        </w:numPr>
        <w:spacing w:after="80"/>
      </w:pPr>
      <w:r>
        <w:rPr>
          <w:sz w:val="22"/>
        </w:rPr>
        <w:t xml:space="preserve">Training Window: Configurable by the user — defaults to 2015 onward. Earlier years contain very low and noisy data that can distort the quadratic fit.</w:t>
      </w:r>
    </w:p>
    <w:p w14:paraId="001000F2" w14:textId="001000F3">
      <w:pPr>
        <w:numPr>
          <w:ilvl w:val="0"/>
          <w:numId w:val="13"/>
        </w:numPr>
        <w:spacing w:after="80"/>
      </w:pPr>
      <w:r>
        <w:rPr>
          <w:sz w:val="22"/>
        </w:rPr>
        <w:t xml:space="preserve">Horizon: User-selectable from 1 to 10 years beyond the last recorded year.</w:t>
      </w:r>
    </w:p>
    <w:p w14:paraId="001000F4" w14:textId="001000F5">
      <w:pPr>
        <w:numPr>
          <w:ilvl w:val="0"/>
          <w:numId w:val="13"/>
        </w:numPr>
        <w:spacing w:after="80"/>
      </w:pPr>
      <w:r>
        <w:rPr>
          <w:sz w:val="22"/>
        </w:rPr>
        <w:t xml:space="preserve">Clipping: Predicted values are clipped to a minimum of 0 to prevent negative forecasts.</w:t>
      </w:r>
    </w:p>
    <w:p w14:paraId="001000F6" w14:textId="001000F7">
      <w:pPr>
        <w:numPr>
          <w:ilvl w:val="0"/>
          <w:numId w:val="13"/>
        </w:numPr>
        <w:spacing w:after="80"/>
      </w:pPr>
      <w:r>
        <w:rPr>
          <w:sz w:val="22"/>
        </w:rPr>
        <w:t xml:space="preserve">Category Forecast: Separate models are trained per vehicle category using the sales file. Predictions are displayed as a stacked bar chart.</w:t>
      </w:r>
    </w:p>
    <w:p w14:paraId="001000F8" w14:textId="001000F9">
      <w:pPr>
        <w:numPr>
          <w:ilvl w:val="0"/>
          <w:numId w:val="13"/>
        </w:numPr>
        <w:spacing w:after="240"/>
      </w:pPr>
      <w:r>
        <w:rPr>
          <w:sz w:val="22"/>
        </w:rPr>
        <w:t xml:space="preserve">Limitations: The model does not account for policy changes (FAME subsidy expiry/extension), fuel price shocks, supply-chain disruptions, battery price trajectories, or competitor dynamics. All outputs are labelled as ESTIMATES throughout the UI.</w:t>
      </w:r>
    </w:p>
    <w:p w14:paraId="001000FA" w14:textId="001000FB">
      <w:pPr>
        <w:pStyle w:val="Heading1"/>
        <w:spacing w:before="360" w:after="160"/>
      </w:pPr>
      <w:r>
        <w:rPr>
          <w:b/>
          <w:color w:val="0D1B2A"/>
          <w:sz w:val="36"/>
        </w:rPr>
        <w:t xml:space="preserve">9. Key Findings &amp; Insights</w:t>
      </w:r>
    </w:p>
    <w:p w14:paraId="001000FC" w14:textId="001000FD">
      <w:pPr>
        <w:spacing w:after="120"/>
      </w:pPr>
      <w:r>
        <w:rPr>
          <w:sz w:val="22"/>
        </w:rPr>
        <w:t xml:space="preserve">The following findings emerge from the data analysis performed by the dashboard:</w:t>
      </w:r>
    </w:p>
    <w:p w14:paraId="001000FE" w14:textId="001000FF">
      <w:pPr>
        <w:numPr>
          <w:ilvl w:val="0"/>
          <w:numId w:val="14"/>
        </w:numPr>
        <w:spacing w:after="80"/>
      </w:pPr>
      <w:r>
        <w:rPr>
          <w:sz w:val="22"/>
        </w:rPr>
        <w:t xml:space="preserve">Explosive Recent Growth: EV registrations remained negligible until 2016 and began accelerating sharply from 2019. The 2022–2024 period saw the steepest absolute growth, driven primarily by Two-Wheeler (NT) and Three-Wheeler categories.</w:t>
      </w:r>
    </w:p>
    <w:p w14:paraId="00100100" w14:textId="00100101">
      <w:pPr>
        <w:numPr>
          <w:ilvl w:val="0"/>
          <w:numId w:val="14"/>
        </w:numPr>
        <w:spacing w:after="80"/>
      </w:pPr>
      <w:r>
        <w:rPr>
          <w:sz w:val="22"/>
        </w:rPr>
        <w:t xml:space="preserve">Two-Wheeler Dominance: 2-Wheeler (NT) is the top vehicle class by a significant margin across both all-time registrations (Vehicle Class - All.csv) and recent sales (ev_sales_by_makers_and_cat_15-24.csv). This reflects the affordability and practicality of electric two-wheelers for Indian consumers.</w:t>
      </w:r>
    </w:p>
    <w:p w14:paraId="00100102" w14:textId="00100103">
      <w:pPr>
        <w:numPr>
          <w:ilvl w:val="0"/>
          <w:numId w:val="14"/>
        </w:numPr>
        <w:spacing w:after="80"/>
      </w:pPr>
      <w:r>
        <w:rPr>
          <w:sz w:val="22"/>
        </w:rPr>
        <w:t xml:space="preserve">Manufacturer Concentration: A small number of manufacturers — particularly those in the 3-Wheeler and 2-Wheeler segments — account for a disproportionate share of total EV sales. Market diversification is limited.</w:t>
      </w:r>
    </w:p>
    <w:p w14:paraId="00100104" w14:textId="00100105">
      <w:pPr>
        <w:numPr>
          <w:ilvl w:val="0"/>
          <w:numId w:val="14"/>
        </w:numPr>
        <w:spacing w:after="80"/>
      </w:pPr>
      <w:r>
        <w:rPr>
          <w:sz w:val="22"/>
        </w:rPr>
        <w:t xml:space="preserve">Charging Infrastructure Imbalance: Maharashtra (3,079 PCS), Delhi (1,886 PCS), and Karnataka (1,041 PCS) together hold the majority of India's public charging stations. Several North-East and smaller states have fewer than 10 stations, creating severe geographic inequality.</w:t>
      </w:r>
    </w:p>
    <w:p w14:paraId="00100106" w14:textId="00100107">
      <w:pPr>
        <w:numPr>
          <w:ilvl w:val="0"/>
          <w:numId w:val="14"/>
        </w:numPr>
        <w:spacing w:after="80"/>
      </w:pPr>
      <w:r>
        <w:rPr>
          <w:sz w:val="22"/>
        </w:rPr>
        <w:t xml:space="preserve">Manufacturing Hubs: Tamil Nadu, Maharashtra, Karnataka, and Haryana host the most EV manufacturing facilities. Major hubs include Chennai, Pune, Bengaluru, and Gurugram.</w:t>
      </w:r>
    </w:p>
    <w:p w14:paraId="00100108" w14:textId="00100109">
      <w:pPr>
        <w:numPr>
          <w:ilvl w:val="0"/>
          <w:numId w:val="14"/>
        </w:numPr>
        <w:spacing w:after="240"/>
      </w:pPr>
      <w:r>
        <w:rPr>
          <w:sz w:val="22"/>
        </w:rPr>
        <w:t xml:space="preserve">Infrastructure Gap: The estimated number of EVs per charging station (computed as latest-year total registrations / total PCS) reveals a significant under-supply of charging infrastructure relative to the growing EV fleet.</w:t>
      </w:r>
    </w:p>
    <w:p w14:paraId="0010010A" w14:textId="0010010B">
      <w:pPr>
        <w:pStyle w:val="Heading1"/>
        <w:spacing w:before="360" w:after="160"/>
      </w:pPr>
      <w:r>
        <w:rPr>
          <w:b/>
          <w:color w:val="0D1B2A"/>
          <w:sz w:val="36"/>
        </w:rPr>
        <w:t xml:space="preserve">10. Recommendations</w:t>
      </w:r>
    </w:p>
    <w:p w14:paraId="0010010C" w14:textId="0010010D">
      <w:pPr>
        <w:spacing w:after="120"/>
      </w:pPr>
      <w:r>
        <w:rPr>
          <w:sz w:val="22"/>
        </w:rPr>
        <w:t xml:space="preserve">Based on the data analysis, the following recommendations are generated by the dashboard:</w:t>
      </w:r>
    </w:p>
    <w:p w14:paraId="0010010E" w14:textId="0010010F">
      <w:pPr>
        <w:numPr>
          <w:ilvl w:val="0"/>
          <w:numId w:val="15"/>
        </w:numPr>
        <w:spacing w:after="80"/>
      </w:pPr>
      <w:r>
        <w:rPr>
          <w:sz w:val="22"/>
        </w:rPr>
        <w:t xml:space="preserve">1. Extend FAME-III Subsidies: Continue and expand demand-side incentives, particularly for 2W and 3W commercial EVs which drive the bulk of adoption.</w:t>
      </w:r>
    </w:p>
    <w:p w14:paraId="00100110" w14:textId="00100111">
      <w:pPr>
        <w:numPr>
          <w:ilvl w:val="0"/>
          <w:numId w:val="15"/>
        </w:numPr>
        <w:spacing w:after="80"/>
      </w:pPr>
      <w:r>
        <w:rPr>
          <w:sz w:val="22"/>
        </w:rPr>
        <w:t xml:space="preserve">2. Mandate EV Charging in New Buildings: Building codes should require EV charging provisions in all new residential and commercial construction projects.</w:t>
      </w:r>
    </w:p>
    <w:p w14:paraId="00100112" w14:textId="00100113">
      <w:pPr>
        <w:numPr>
          <w:ilvl w:val="0"/>
          <w:numId w:val="15"/>
        </w:numPr>
        <w:spacing w:after="80"/>
      </w:pPr>
      <w:r>
        <w:rPr>
          <w:sz w:val="22"/>
        </w:rPr>
        <w:t xml:space="preserve">3. Battery-Swapping Standards: Standardise battery swapping for two-wheelers to reduce upfront cost and eliminate range anxiety for commercial riders.</w:t>
      </w:r>
    </w:p>
    <w:p w14:paraId="00100114" w14:textId="00100115">
      <w:pPr>
        <w:numPr>
          <w:ilvl w:val="0"/>
          <w:numId w:val="15"/>
        </w:numPr>
        <w:spacing w:after="80"/>
      </w:pPr>
      <w:r>
        <w:rPr>
          <w:sz w:val="22"/>
        </w:rPr>
        <w:t xml:space="preserve">4. Green Energy Integration: Co-locate charging stations with solar installations where possible to reduce grid dependency and lower per-unit charging costs.</w:t>
      </w:r>
    </w:p>
    <w:p w14:paraId="00100116" w14:textId="00100117">
      <w:pPr>
        <w:numPr>
          <w:ilvl w:val="0"/>
          <w:numId w:val="15"/>
        </w:numPr>
        <w:spacing w:after="80"/>
      </w:pPr>
      <w:r>
        <w:rPr>
          <w:sz w:val="22"/>
        </w:rPr>
        <w:t xml:space="preserve">5. Rural EV Finance Schemes: Targeted low-interest loans and subsidies for rural and semi-urban EV buyers can broaden adoption beyond metropolitan markets.</w:t>
      </w:r>
    </w:p>
    <w:p w14:paraId="00100118" w14:textId="00100119">
      <w:pPr>
        <w:numPr>
          <w:ilvl w:val="0"/>
          <w:numId w:val="15"/>
        </w:numPr>
        <w:spacing w:after="80"/>
      </w:pPr>
      <w:r>
        <w:rPr>
          <w:sz w:val="22"/>
        </w:rPr>
        <w:t xml:space="preserve">6. Invest in Under-Served States: North-Eastern states and smaller Union Territories have critically low PCS counts. Targeted public investment is needed to ensure equitable access to EV infrastructure.</w:t>
      </w:r>
    </w:p>
    <w:p w14:paraId="0010011A" w14:textId="0010011B">
      <w:pPr>
        <w:numPr>
          <w:ilvl w:val="0"/>
          <w:numId w:val="15"/>
        </w:numPr>
        <w:spacing w:after="240"/>
      </w:pPr>
      <w:r>
        <w:rPr>
          <w:sz w:val="22"/>
        </w:rPr>
        <w:t xml:space="preserve">7. Highway Charging Corridors: Deploy fast-charging stations at regular intervals on national highways to enable long-distance EV travel between major cities.</w:t>
      </w:r>
    </w:p>
    <w:p w14:paraId="0010011C" w14:textId="0010011D">
      <w:pPr>
        <w:pStyle w:val="Heading1"/>
        <w:spacing w:before="360" w:after="160"/>
      </w:pPr>
      <w:r>
        <w:rPr>
          <w:b/>
          <w:color w:val="0D1B2A"/>
          <w:sz w:val="36"/>
        </w:rPr>
        <w:t xml:space="preserve">11. Project Structure</w:t>
      </w:r>
    </w:p>
    <w:p w14:paraId="0010011E" w14:textId="0010011F">
      <w:pPr>
        <w:spacing w:after="120"/>
      </w:pPr>
      <w:r>
        <w:rPr>
          <w:sz w:val="22"/>
        </w:rPr>
        <w:t xml:space="preserve">The project is deliberately structured as a single-file application to simplify deployment and review:</w:t>
      </w:r>
    </w:p>
    <w:p w14:paraId="00100120" w14:textId="00100121">
      <w:pPr>
        <w:numPr>
          <w:ilvl w:val="0"/>
          <w:numId w:val="16"/>
        </w:numPr>
        <w:spacing w:after="80"/>
      </w:pPr>
      <w:r>
        <w:rPr>
          <w:sz w:val="22"/>
        </w:rPr>
        <w:t xml:space="preserve">app.py — The entire application: imports, CSS, constants, data loading, sidebar, KPI cards, and all seven dashboard tabs. Approximately 1,070 lines.</w:t>
      </w:r>
    </w:p>
    <w:p w14:paraId="00100122" w14:textId="00100123">
      <w:pPr>
        <w:numPr>
          <w:ilvl w:val="0"/>
          <w:numId w:val="16"/>
        </w:numPr>
        <w:spacing w:after="80"/>
      </w:pPr>
      <w:r>
        <w:rPr>
          <w:sz w:val="22"/>
        </w:rPr>
        <w:t xml:space="preserve">requirements.txt — Python dependency list with pinned minimum versions.</w:t>
      </w:r>
    </w:p>
    <w:p w14:paraId="00100124" w14:textId="00100125">
      <w:pPr>
        <w:numPr>
          <w:ilvl w:val="0"/>
          <w:numId w:val="16"/>
        </w:numPr>
        <w:spacing w:after="80"/>
      </w:pPr>
      <w:r>
        <w:rPr>
          <w:sz w:val="22"/>
        </w:rPr>
        <w:t xml:space="preserve">README.md — Setup guide, dashboard section descriptions, data cleaning notes, forecast methodology, and dataset source (Kaggle link).</w:t>
      </w:r>
    </w:p>
    <w:p w14:paraId="00100126" w14:textId="00100127">
      <w:pPr>
        <w:numPr>
          <w:ilvl w:val="0"/>
          <w:numId w:val="16"/>
        </w:numPr>
        <w:spacing w:after="80"/>
      </w:pPr>
      <w:r>
        <w:rPr>
          <w:sz w:val="22"/>
        </w:rPr>
        <w:t xml:space="preserve">EV Maker by Place.csv — Manufacturer location data.</w:t>
      </w:r>
    </w:p>
    <w:p w14:paraId="00100128" w14:textId="00100129">
      <w:pPr>
        <w:numPr>
          <w:ilvl w:val="0"/>
          <w:numId w:val="16"/>
        </w:numPr>
        <w:spacing w:after="80"/>
      </w:pPr>
      <w:r>
        <w:rPr>
          <w:sz w:val="22"/>
        </w:rPr>
        <w:t xml:space="preserve">ev_cat_01-24.csv — Monthly EV registration data 2001–2024.</w:t>
      </w:r>
    </w:p>
    <w:p w14:paraId="0010012A" w14:textId="0010012B">
      <w:pPr>
        <w:numPr>
          <w:ilvl w:val="0"/>
          <w:numId w:val="16"/>
        </w:numPr>
        <w:spacing w:after="80"/>
      </w:pPr>
      <w:r>
        <w:rPr>
          <w:sz w:val="22"/>
        </w:rPr>
        <w:t xml:space="preserve">ev_sales_by_makers_and_cat_15-24.csv — Annual EV sales by maker and category 2015–2024.</w:t>
      </w:r>
    </w:p>
    <w:p w14:paraId="0010012C" w14:textId="0010012D">
      <w:pPr>
        <w:numPr>
          <w:ilvl w:val="0"/>
          <w:numId w:val="16"/>
        </w:numPr>
        <w:spacing w:after="80"/>
      </w:pPr>
      <w:r>
        <w:rPr>
          <w:sz w:val="22"/>
        </w:rPr>
        <w:t xml:space="preserve">OperationalPC.csv — State-wise operational public charging stations.</w:t>
      </w:r>
    </w:p>
    <w:p w14:paraId="0010012E" w14:textId="0010012F">
      <w:pPr>
        <w:numPr>
          <w:ilvl w:val="0"/>
          <w:numId w:val="16"/>
        </w:numPr>
        <w:spacing w:after="240"/>
      </w:pPr>
      <w:r>
        <w:rPr>
          <w:sz w:val="22"/>
        </w:rPr>
        <w:t xml:space="preserve">Vehicle Class - All.csv — All-time cumulative registrations by vehicle class.</w:t>
      </w:r>
    </w:p>
    <w:p w14:paraId="00100130" w14:textId="00100131">
      <w:pPr>
        <w:pStyle w:val="Heading1"/>
        <w:spacing w:before="360" w:after="160"/>
      </w:pPr>
      <w:r>
        <w:rPr>
          <w:b/>
          <w:color w:val="0D1B2A"/>
          <w:sz w:val="36"/>
        </w:rPr>
        <w:t xml:space="preserve">12. How to Run</w:t>
      </w:r>
    </w:p>
    <w:p w14:paraId="00100132" w14:textId="00100133">
      <w:pPr>
        <w:spacing w:after="120"/>
      </w:pPr>
      <w:r>
        <w:rPr>
          <w:sz w:val="22"/>
        </w:rPr>
        <w:t xml:space="preserve">Follow these steps to set up and launch the dashboard:</w:t>
      </w:r>
    </w:p>
    <w:p w14:paraId="00100134" w14:textId="00100135">
      <w:pPr>
        <w:numPr>
          <w:ilvl w:val="0"/>
          <w:numId w:val="17"/>
        </w:numPr>
        <w:spacing w:after="80"/>
      </w:pPr>
      <w:r>
        <w:rPr>
          <w:sz w:val="22"/>
        </w:rPr>
        <w:t xml:space="preserve">Step 1: Download the Kaggle dataset from https://www.kaggle.com/datasets/srinrealyf/india-ev-market-data and place all five CSV files in the project directory alongside app.py.</w:t>
      </w:r>
    </w:p>
    <w:p w14:paraId="00100136" w14:textId="00100137">
      <w:pPr>
        <w:numPr>
          <w:ilvl w:val="0"/>
          <w:numId w:val="17"/>
        </w:numPr>
        <w:spacing w:after="80"/>
      </w:pPr>
      <w:r>
        <w:rPr>
          <w:sz w:val="22"/>
        </w:rPr>
        <w:t xml:space="preserve">Step 2: Install dependencies by running: pip install -r requirements.txt</w:t>
      </w:r>
    </w:p>
    <w:p w14:paraId="00100138" w14:textId="00100139">
      <w:pPr>
        <w:numPr>
          <w:ilvl w:val="0"/>
          <w:numId w:val="17"/>
        </w:numPr>
        <w:spacing w:after="80"/>
      </w:pPr>
      <w:r>
        <w:rPr>
          <w:sz w:val="22"/>
        </w:rPr>
        <w:t xml:space="preserve">Step 3: Launch the dashboard by running: streamlit run app.py</w:t>
      </w:r>
    </w:p>
    <w:p w14:paraId="0010013A" w14:textId="0010013B">
      <w:pPr>
        <w:numPr>
          <w:ilvl w:val="0"/>
          <w:numId w:val="17"/>
        </w:numPr>
        <w:spacing w:after="80"/>
      </w:pPr>
      <w:r>
        <w:rPr>
          <w:sz w:val="22"/>
        </w:rPr>
        <w:t xml:space="preserve">Step 4: The browser will automatically open the dashboard at http://localhost:8501</w:t>
      </w:r>
    </w:p>
    <w:p w14:paraId="0010013C" w14:textId="0010013D">
      <w:pPr>
        <w:numPr>
          <w:ilvl w:val="0"/>
          <w:numId w:val="17"/>
        </w:numPr>
        <w:spacing w:after="240"/>
      </w:pPr>
      <w:r>
        <w:rPr>
          <w:sz w:val="22"/>
        </w:rPr>
        <w:t xml:space="preserve">Requirements: Python 3.9 or later. Streamlit &gt;= 1.32, Pandas &gt;= 2.0, NumPy &gt;= 1.26, Plotly &gt;= 5.20, scikit-learn &gt;= 1.4.</w:t>
      </w:r>
    </w:p>
    <w:p w14:paraId="0010013E" w14:textId="0010013F">
      <w:pPr>
        <w:pStyle w:val="Heading1"/>
        <w:spacing w:before="360" w:after="160"/>
      </w:pPr>
      <w:r>
        <w:rPr>
          <w:b/>
          <w:color w:val="0D1B2A"/>
          <w:sz w:val="36"/>
        </w:rPr>
        <w:t xml:space="preserve">13. Conclusion</w:t>
      </w:r>
    </w:p>
    <w:p w14:paraId="00100140" w14:textId="00100141">
      <w:pPr>
        <w:spacing w:after="120"/>
      </w:pPr>
      <w:r>
        <w:rPr>
          <w:sz w:val="22"/>
        </w:rPr>
        <w:t xml:space="preserve">The EV Adoption in India dashboard successfully consolidates five real-world datasets into a single, interactive analysis platform. It provides a comprehensive picture of India's EV market — from the earliest registrations in 2001 through to the rapid acceleration of 2022–2024.</w:t>
      </w:r>
    </w:p>
    <w:p w14:paraId="00100142" w14:textId="00100143">
      <w:pPr>
        <w:spacing w:after="120"/>
      </w:pPr>
      <w:r>
        <w:rPr>
          <w:sz w:val="22"/>
        </w:rPr>
        <w:t xml:space="preserve">The dashboard is built entirely in Python with no external services or databases. It demonstrates the power of open-source data analysis tools — Streamlit for the web UI, Plotly for interactive visualisations, Pandas for data manipulation, and scikit-learn for forecasting — working together as a coherent analytical product.</w:t>
      </w:r>
    </w:p>
    <w:p w14:paraId="00100144" w14:textId="00100145">
      <w:pPr>
        <w:spacing w:after="240"/>
      </w:pPr>
      <w:r>
        <w:rPr>
          <w:sz w:val="22"/>
        </w:rPr>
        <w:t xml:space="preserve">The project makes clear that while EV adoption in India is accelerating, significant challenges remain: charging infrastructure is heavily concentrated in a few states, the market is dominated by a small number of manufacturers, and rural and Tier-2/3 markets remain largely unserved. The recommendations generated by the dashboard provide a starting point for data-informed policy and investment decisions.</w:t>
      </w:r>
    </w:p>
    <w:p w14:paraId="00100146" w14:textId="00100147">
      <w:pPr>
        <w:pStyle w:val="Heading1"/>
        <w:spacing w:before="360" w:after="160"/>
      </w:pPr>
      <w:r>
        <w:rPr>
          <w:b/>
          <w:color w:val="0D1B2A"/>
          <w:sz w:val="36"/>
        </w:rPr>
        <w:t xml:space="preserve">14. References</w:t>
      </w:r>
    </w:p>
    <w:p w14:paraId="00100148" w14:textId="00100149">
      <w:pPr>
        <w:numPr>
          <w:ilvl w:val="0"/>
          <w:numId w:val="18"/>
        </w:numPr>
        <w:spacing w:after="80"/>
      </w:pPr>
      <w:r>
        <w:rPr>
          <w:sz w:val="22"/>
        </w:rPr>
        <w:t xml:space="preserve">Vahan Dashboard — Ministry of Road Transport &amp; Highways, Government of India. https://vahan.parivahan.gov.in</w:t>
      </w:r>
    </w:p>
    <w:p w14:paraId="0010014A" w14:textId="0010014B">
      <w:pPr>
        <w:numPr>
          <w:ilvl w:val="0"/>
          <w:numId w:val="18"/>
        </w:numPr>
        <w:spacing w:after="80"/>
      </w:pPr>
      <w:r>
        <w:rPr>
          <w:sz w:val="22"/>
        </w:rPr>
        <w:t xml:space="preserve">EVREPORTER — India EV Market Research and Data. https://evreporter.com</w:t>
      </w:r>
    </w:p>
    <w:p w14:paraId="0010014C" w14:textId="0010014D">
      <w:pPr>
        <w:numPr>
          <w:ilvl w:val="0"/>
          <w:numId w:val="18"/>
        </w:numPr>
        <w:spacing w:after="80"/>
      </w:pPr>
      <w:r>
        <w:rPr>
          <w:sz w:val="22"/>
        </w:rPr>
        <w:t xml:space="preserve">Kaggle Dataset — India EV Market Data. https://www.kaggle.com/datasets/srinrealyf/india-ev-market-data</w:t>
      </w:r>
    </w:p>
    <w:p w14:paraId="0010014E" w14:textId="0010014F">
      <w:pPr>
        <w:numPr>
          <w:ilvl w:val="0"/>
          <w:numId w:val="18"/>
        </w:numPr>
        <w:spacing w:after="80"/>
      </w:pPr>
      <w:r>
        <w:rPr>
          <w:sz w:val="22"/>
        </w:rPr>
        <w:t xml:space="preserve">Streamlit Documentation. https://docs.streamlit.io</w:t>
      </w:r>
    </w:p>
    <w:p w14:paraId="00100150" w14:textId="00100151">
      <w:pPr>
        <w:numPr>
          <w:ilvl w:val="0"/>
          <w:numId w:val="18"/>
        </w:numPr>
        <w:spacing w:after="80"/>
      </w:pPr>
      <w:r>
        <w:rPr>
          <w:sz w:val="22"/>
        </w:rPr>
        <w:t xml:space="preserve">Plotly Python Graphing Library. https://plotly.com/python</w:t>
      </w:r>
    </w:p>
    <w:p w14:paraId="00100152" w14:textId="00100153">
      <w:pPr>
        <w:numPr>
          <w:ilvl w:val="0"/>
          <w:numId w:val="18"/>
        </w:numPr>
        <w:spacing w:after="80"/>
      </w:pPr>
      <w:r>
        <w:rPr>
          <w:sz w:val="22"/>
        </w:rPr>
        <w:t xml:space="preserve">scikit-learn: Machine Learning in Python. https://scikit-learn.org</w:t>
      </w:r>
    </w:p>
    <w:p w14:paraId="00100154" w14:textId="00100155">
      <w:pPr>
        <w:numPr>
          <w:ilvl w:val="0"/>
          <w:numId w:val="18"/>
        </w:numPr>
        <w:spacing w:after="320"/>
      </w:pPr>
      <w:r>
        <w:rPr>
          <w:sz w:val="22"/>
        </w:rPr>
        <w:t xml:space="preserve">FAME India Scheme (Faster Adoption and Manufacturing of Electric Vehicles) — Ministry of Heavy Industries, Government of India.</w:t>
      </w:r>
    </w:p>
    <w:p w14:paraId="00100156" w14:textId="00100157">
      <w:pPr>
        <w:spacing w:before="400" w:after="160"/>
        <w:jc w:val="center"/>
      </w:pPr>
      <w:r>
        <w:rPr>
          <w:color w:val="94A3B8"/>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7faa2caa985a4bee" /><Relationship Type="http://schemas.openxmlformats.org/officeDocument/2006/relationships/styles" Target="/word/styles.xml" Id="Ra2cafe6e44194cfc" /><Relationship Type="http://schemas.openxmlformats.org/officeDocument/2006/relationships/theme" Target="/word/theme/theme1.xml" Id="R676101ae2c714b8b" /><Relationship Type="http://schemas.openxmlformats.org/officeDocument/2006/relationships/numbering" Target="/word/numbering.xml" Id="Rbdfe44f93c254c6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2026-09-20T11:44:21Z</dcterms:created>
  <cp:lastModifiedBy>OfficeCLI</cp:lastModifiedBy>
  <dcterms:modified xsi:type="dcterms:W3CDTF">2026-09-20T11:44:21Z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2026-09-20T11:49:16Z</vt:lpwstr>
  </op:property>
</op:Properties>
</file>