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All CIL Aggregate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Comprehensive Operational &amp; Financial Executive Brief</w:t>
      </w:r>
    </w:p>
    <w:p>
      <w:r/>
      <w:r>
        <w:rPr>
          <w:b/>
        </w:rPr>
        <w:t>Target Subsidiary / Scope:</w:t>
      </w:r>
      <w:r>
        <w:t xml:space="preserve"> All CIL Aggregate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Formal Executive Brief</w:t>
      </w:r>
    </w:p>
    <w:p>
      <w:r/>
      <w:r>
        <w:rPr>
          <w:b/>
        </w:rPr>
        <w:t>Date Generated:</w:t>
      </w:r>
      <w:r>
        <w:t xml:space="preserve"> 12 September 2026, 21:26:31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Production Performance</w:t>
      </w:r>
      <w:r>
        <w:t xml:space="preserve">: Mahanadi Coalfields Limited (MCL) delivered </w:t>
      </w:r>
      <w:r>
        <w:rPr>
          <w:b/>
        </w:rPr>
        <w:t>193.30 Mt</w:t>
      </w:r>
      <w:r>
        <w:t xml:space="preserve"> of raw coal from the </w:t>
      </w:r>
      <w:r>
        <w:rPr>
          <w:b/>
        </w:rPr>
        <w:t>Talcher coalfield</w:t>
      </w:r>
      <w:r>
        <w:t xml:space="preserve"> in FY 2023‑24, representing a </w:t>
      </w:r>
      <w:r>
        <w:rPr>
          <w:b/>
        </w:rPr>
        <w:t>3.2 % increase</w:t>
      </w:r>
      <w:r>
        <w:t xml:space="preserve"> over FY 2022‑23 and positioning Talcher as the single largest contributor within the CIL aggregate portfolio.</w:t>
      </w:r>
    </w:p>
    <w:p>
      <w:pPr>
        <w:pStyle w:val="ListBullet"/>
      </w:pPr>
      <w:r/>
      <w:r>
        <w:rPr>
          <w:b/>
        </w:rPr>
        <w:t>Strategic Intent</w:t>
      </w:r>
      <w:r>
        <w:t xml:space="preserve">: The brief is directed to furnish senior CIL leadership with a </w:t>
      </w:r>
      <w:r>
        <w:rPr>
          <w:b/>
        </w:rPr>
        <w:t>comprehensive operational and financial snapshot</w:t>
      </w:r>
      <w:r>
        <w:t xml:space="preserve"> of Talcher’s FY 2023‑24 performance, identify </w:t>
      </w:r>
      <w:r>
        <w:rPr>
          <w:b/>
        </w:rPr>
        <w:t>value‑creation levers</w:t>
      </w:r>
      <w:r>
        <w:t xml:space="preserve">, and prescribe </w:t>
      </w:r>
      <w:r>
        <w:rPr>
          <w:b/>
        </w:rPr>
        <w:t>actionable recommendations</w:t>
      </w:r>
      <w:r>
        <w:t xml:space="preserve"> for FY 2024‑25 and beyond.</w:t>
      </w:r>
    </w:p>
    <w:p>
      <w:pPr>
        <w:pStyle w:val="ListBullet"/>
      </w:pPr>
      <w:r/>
      <w:r>
        <w:rPr>
          <w:b/>
        </w:rPr>
        <w:t>Key Objectives</w:t>
      </w:r>
      <w:r/>
    </w:p>
    <w:p>
      <w:pPr>
        <w:pStyle w:val="ListNumber"/>
      </w:pPr>
      <w:r/>
      <w:r>
        <w:rPr>
          <w:b/>
        </w:rPr>
        <w:t>Validate</w:t>
      </w:r>
      <w:r>
        <w:t xml:space="preserve"> production against geological reserves and mine plans.</w:t>
      </w:r>
    </w:p>
    <w:p>
      <w:pPr>
        <w:pStyle w:val="ListNumber"/>
      </w:pPr>
      <w:r/>
      <w:r>
        <w:rPr>
          <w:b/>
        </w:rPr>
        <w:t>Quantify</w:t>
      </w:r>
      <w:r>
        <w:t xml:space="preserve"> cost efficiency (cash cost, operating ratio) and profitability margins.</w:t>
      </w:r>
    </w:p>
    <w:p>
      <w:pPr>
        <w:pStyle w:val="ListNumber"/>
      </w:pPr>
      <w:r/>
      <w:r>
        <w:rPr>
          <w:b/>
        </w:rPr>
        <w:t>Assess</w:t>
      </w:r>
      <w:r>
        <w:t xml:space="preserve"> equipment utilization, labor productivity, and safety performance.</w:t>
      </w:r>
    </w:p>
    <w:p>
      <w:pPr>
        <w:pStyle w:val="ListNumber"/>
      </w:pPr>
      <w:r/>
      <w:r>
        <w:rPr>
          <w:b/>
        </w:rPr>
        <w:t>Highlight</w:t>
      </w:r>
      <w:r>
        <w:t xml:space="preserve"> financial exposure (debt service, capital commitments) and cash‑flow implications.</w:t>
      </w:r>
    </w:p>
    <w:p>
      <w:pPr>
        <w:pStyle w:val="ListNumber"/>
      </w:pPr>
      <w:r/>
      <w:r>
        <w:rPr>
          <w:b/>
        </w:rPr>
        <w:t>Recommend</w:t>
      </w:r>
      <w:r>
        <w:t xml:space="preserve"> strategic interventions to sustain growth, improve margins, and mitigate operational risks.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pPr>
        <w:pStyle w:val="Heading2"/>
      </w:pPr>
      <w:r>
        <w:t>2.1 Geological Profile – Talcher Coalfield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3312"/>
          </w:tcPr>
          <w:p>
            <w:r>
              <w:t>Coal Seam(s)</w:t>
            </w:r>
          </w:p>
        </w:tc>
        <w:tc>
          <w:tcPr>
            <w:tcW w:type="dxa" w:w="3312"/>
          </w:tcPr>
          <w:p>
            <w:r>
              <w:t>Talcher Seam (average thickness 3.2 m) and Kalyanpur Seam (2.1 m)</w:t>
            </w:r>
          </w:p>
        </w:tc>
        <w:tc>
          <w:tcPr>
            <w:tcW w:type="dxa" w:w="3312"/>
          </w:tcPr>
          <w:p>
            <w:r>
              <w:t>High‑volatile A bituminous, ASH ≤ 12 %, VM ≥ 30 %</w:t>
            </w:r>
          </w:p>
        </w:tc>
      </w:tr>
      <w:tr>
        <w:tc>
          <w:tcPr>
            <w:tcW w:type="dxa" w:w="3312"/>
          </w:tcPr>
          <w:p>
            <w:r>
              <w:t>Reserve Base (as of 31‑Mar‑2024)</w:t>
            </w:r>
          </w:p>
        </w:tc>
        <w:tc>
          <w:tcPr>
            <w:tcW w:type="dxa" w:w="3312"/>
          </w:tcPr>
          <w:p>
            <w:r>
              <w:t>1,210 Mt (proved &amp; probable)</w:t>
            </w:r>
          </w:p>
        </w:tc>
        <w:tc>
          <w:tcPr>
            <w:tcW w:type="dxa" w:w="3312"/>
          </w:tcPr>
          <w:p>
            <w:r>
              <w:t>16 % of CIL’s total reserves</w:t>
            </w:r>
          </w:p>
        </w:tc>
      </w:tr>
      <w:tr>
        <w:tc>
          <w:tcPr>
            <w:tcW w:type="dxa" w:w="3312"/>
          </w:tcPr>
          <w:p>
            <w:r>
              <w:t>Overburden Depth</w:t>
            </w:r>
          </w:p>
        </w:tc>
        <w:tc>
          <w:tcPr>
            <w:tcW w:type="dxa" w:w="3312"/>
          </w:tcPr>
          <w:p>
            <w:r>
              <w:t>12‑18 m (average)</w:t>
            </w:r>
          </w:p>
        </w:tc>
        <w:tc>
          <w:tcPr>
            <w:tcW w:type="dxa" w:w="3312"/>
          </w:tcPr>
          <w:p>
            <w:r>
              <w:t>Favorable for open‑cast extraction</w:t>
            </w:r>
          </w:p>
        </w:tc>
      </w:tr>
      <w:tr>
        <w:tc>
          <w:tcPr>
            <w:tcW w:type="dxa" w:w="3312"/>
          </w:tcPr>
          <w:p>
            <w:r>
              <w:t>Coal Quality</w:t>
            </w:r>
          </w:p>
        </w:tc>
        <w:tc>
          <w:tcPr>
            <w:tcW w:type="dxa" w:w="3312"/>
          </w:tcPr>
          <w:p>
            <w:r>
              <w:t>Calorific Value 5,200 kcal/kg, Sulphur ≤ 0.6 %</w:t>
            </w:r>
          </w:p>
        </w:tc>
        <w:tc>
          <w:tcPr>
            <w:tcW w:type="dxa" w:w="3312"/>
          </w:tcPr>
          <w:p>
            <w:r>
              <w:t>Meets domestic thermal plant specifications</w:t>
            </w:r>
          </w:p>
        </w:tc>
      </w:tr>
      <w:tr>
        <w:tc>
          <w:tcPr>
            <w:tcW w:type="dxa" w:w="3312"/>
          </w:tcPr>
          <w:p>
            <w:r>
              <w:t>Geotechnical Conditions</w:t>
            </w:r>
          </w:p>
        </w:tc>
        <w:tc>
          <w:tcPr>
            <w:tcW w:type="dxa" w:w="3312"/>
          </w:tcPr>
          <w:p>
            <w:r>
              <w:t>Predominantly hard shale overburden, low seismicity</w:t>
            </w:r>
          </w:p>
        </w:tc>
        <w:tc>
          <w:tcPr>
            <w:tcW w:type="dxa" w:w="3312"/>
          </w:tcPr>
          <w:p>
            <w:r>
              <w:t>Supports high‑capacity dragline and shovels</w:t>
            </w:r>
          </w:p>
        </w:tc>
      </w:tr>
    </w:tbl>
    <w:p/>
    <w:p>
      <w:pPr>
        <w:pStyle w:val="Heading2"/>
      </w:pPr>
      <w:r>
        <w:t>2.2 Mine Planning &amp; Production Scheduling</w:t>
      </w:r>
    </w:p>
    <w:p>
      <w:pPr>
        <w:pStyle w:val="ListBullet"/>
      </w:pPr>
      <w:r/>
      <w:r>
        <w:rPr>
          <w:b/>
        </w:rPr>
        <w:t>Annual Production Target (FY 2023‑24)</w:t>
      </w:r>
      <w:r>
        <w:t>: 190 Mt (revised to 193.30 Mt after mid‑year ramp‑up).</w:t>
      </w:r>
    </w:p>
    <w:p>
      <w:pPr>
        <w:pStyle w:val="ListBullet"/>
      </w:pPr>
      <w:r/>
      <w:r>
        <w:rPr>
          <w:b/>
        </w:rPr>
        <w:t>Extraction Method</w:t>
      </w:r>
      <w:r>
        <w:t xml:space="preserve">: </w:t>
      </w:r>
      <w:r>
        <w:rPr>
          <w:b/>
        </w:rPr>
        <w:t>Open‑cast</w:t>
      </w:r>
      <w:r>
        <w:t xml:space="preserve"> with </w:t>
      </w:r>
      <w:r>
        <w:rPr>
          <w:b/>
        </w:rPr>
        <w:t>dragline‑shovel‑truck</w:t>
      </w:r>
      <w:r>
        <w:t xml:space="preserve"> fleet; </w:t>
      </w:r>
      <w:r>
        <w:rPr>
          <w:b/>
        </w:rPr>
        <w:t>bench height</w:t>
      </w:r>
      <w:r>
        <w:t xml:space="preserve"> 12 m, </w:t>
      </w:r>
      <w:r>
        <w:rPr>
          <w:b/>
        </w:rPr>
        <w:t>bench width</w:t>
      </w:r>
      <w:r>
        <w:t xml:space="preserve"> 30 m.</w:t>
      </w:r>
    </w:p>
    <w:p>
      <w:pPr>
        <w:pStyle w:val="ListBullet"/>
      </w:pPr>
      <w:r/>
      <w:r>
        <w:rPr>
          <w:b/>
        </w:rPr>
        <w:t>Pit Design</w:t>
      </w:r>
      <w:r>
        <w:t xml:space="preserve">: Optimized </w:t>
      </w:r>
      <w:r>
        <w:rPr>
          <w:b/>
        </w:rPr>
        <w:t>pit slope</w:t>
      </w:r>
      <w:r>
        <w:t xml:space="preserve"> of 1:1.5 (vertical:horizontal) to minimize dilution and maintain pit stability.</w:t>
      </w:r>
    </w:p>
    <w:p>
      <w:pPr>
        <w:pStyle w:val="ListBullet"/>
      </w:pPr>
      <w:r/>
      <w:r>
        <w:rPr>
          <w:b/>
        </w:rPr>
        <w:t>Reserve Depletion Rate</w:t>
      </w:r>
      <w:r>
        <w:t xml:space="preserve">: </w:t>
      </w:r>
      <w:r>
        <w:rPr>
          <w:b/>
        </w:rPr>
        <w:t>15.9 Mt</w:t>
      </w:r>
      <w:r>
        <w:t xml:space="preserve"> extracted in FY 2023‑24, representing </w:t>
      </w:r>
      <w:r>
        <w:rPr>
          <w:b/>
        </w:rPr>
        <w:t>1.31 %</w:t>
      </w:r>
      <w:r>
        <w:t xml:space="preserve"> of the reserve base – within the sustainable depletion envelope (≤ 2 %/yr).</w:t>
      </w:r>
    </w:p>
    <w:p>
      <w:pPr>
        <w:pStyle w:val="Heading2"/>
      </w:pPr>
      <w:r>
        <w:t>2.3 Technical Performance Indicators</w:t>
      </w:r>
    </w:p>
    <w:p>
      <w:pPr>
        <w:pStyle w:val="ListBullet"/>
      </w:pPr>
      <w:r/>
      <w:r>
        <w:rPr>
          <w:b/>
        </w:rPr>
        <w:t>Recovery Ratio</w:t>
      </w:r>
      <w:r>
        <w:t xml:space="preserve">: </w:t>
      </w:r>
      <w:r>
        <w:rPr>
          <w:b/>
        </w:rPr>
        <w:t>94.5 %</w:t>
      </w:r>
      <w:r>
        <w:t xml:space="preserve"> (average overburden-to-coal ratio) – aligns with CMPDI’s benchmark of ≥ 93 %.</w:t>
      </w:r>
    </w:p>
    <w:p>
      <w:pPr>
        <w:pStyle w:val="ListBullet"/>
      </w:pPr>
      <w:r/>
      <w:r>
        <w:rPr>
          <w:b/>
        </w:rPr>
        <w:t>Dilution Factor</w:t>
      </w:r>
      <w:r>
        <w:t xml:space="preserve">: </w:t>
      </w:r>
      <w:r>
        <w:rPr>
          <w:b/>
        </w:rPr>
        <w:t>3.2 %</w:t>
      </w:r>
      <w:r>
        <w:t xml:space="preserve"> – within the target ceiling of 4 %.</w:t>
      </w:r>
    </w:p>
    <w:p>
      <w:pPr>
        <w:pStyle w:val="ListBullet"/>
      </w:pPr>
      <w:r/>
      <w:r>
        <w:rPr>
          <w:b/>
        </w:rPr>
        <w:t>Equipment Availability</w:t>
      </w:r>
      <w:r>
        <w:t>:</w:t>
      </w:r>
    </w:p>
    <w:p>
      <w:pPr>
        <w:pStyle w:val="ListBullet"/>
      </w:pPr>
      <w:r>
        <w:t xml:space="preserve">Draglines: </w:t>
      </w:r>
      <w:r>
        <w:rPr>
          <w:b/>
        </w:rPr>
        <w:t>88 %</w:t>
      </w:r>
      <w:r>
        <w:t xml:space="preserve"> (up from 84 % FY 2022‑23)</w:t>
      </w:r>
    </w:p>
    <w:p>
      <w:pPr>
        <w:pStyle w:val="ListBullet"/>
      </w:pPr>
      <w:r>
        <w:t xml:space="preserve">Shovels: </w:t>
      </w:r>
      <w:r>
        <w:rPr>
          <w:b/>
        </w:rPr>
        <w:t>85 %</w:t>
      </w:r>
      <w:r/>
    </w:p>
    <w:p>
      <w:pPr>
        <w:pStyle w:val="ListBullet"/>
      </w:pPr>
      <w:r>
        <w:t xml:space="preserve">Trucks: </w:t>
      </w:r>
      <w:r>
        <w:rPr>
          <w:b/>
        </w:rPr>
        <w:t>81 %</w:t>
      </w:r>
      <w:r/>
    </w:p>
    <w:p>
      <w:pPr>
        <w:pStyle w:val="ListBullet"/>
      </w:pPr>
      <w:r/>
      <w:r>
        <w:rPr>
          <w:b/>
        </w:rPr>
        <w:t>Labor Productivity</w:t>
      </w:r>
      <w:r>
        <w:t xml:space="preserve">: </w:t>
      </w:r>
      <w:r>
        <w:rPr>
          <w:b/>
        </w:rPr>
        <w:t>0.78 Mt/worker/month</w:t>
      </w:r>
      <w:r>
        <w:t xml:space="preserve"> – a </w:t>
      </w:r>
      <w:r>
        <w:rPr>
          <w:b/>
        </w:rPr>
        <w:t>5 %</w:t>
      </w:r>
      <w:r>
        <w:t xml:space="preserve"> uplift versus the previous fiscal year.</w:t>
      </w:r>
    </w:p>
    <w:p>
      <w:r>
        <w:t>---</w:t>
      </w:r>
    </w:p>
    <w:p>
      <w:pPr>
        <w:pStyle w:val="Heading1"/>
      </w:pPr>
      <w:r>
        <w:t>3. Operational Analysis &amp; Strategic Recommendations</w:t>
      </w:r>
    </w:p>
    <w:p>
      <w:pPr>
        <w:pStyle w:val="Heading2"/>
      </w:pPr>
      <w:r>
        <w:t>3.1 Cost &amp; Financial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FY 2023‑24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FY 2022‑23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Δ (%)</w:t>
            </w:r>
          </w:p>
        </w:tc>
      </w:tr>
      <w:tr>
        <w:tc>
          <w:tcPr>
            <w:tcW w:type="dxa" w:w="2484"/>
          </w:tcPr>
          <w:p>
            <w:r>
              <w:t>Cash Cost per Mt</w:t>
            </w:r>
          </w:p>
        </w:tc>
        <w:tc>
          <w:tcPr>
            <w:tcW w:type="dxa" w:w="2484"/>
          </w:tcPr>
          <w:p>
            <w:r>
              <w:t>₹1,120</w:t>
            </w:r>
          </w:p>
        </w:tc>
        <w:tc>
          <w:tcPr>
            <w:tcW w:type="dxa" w:w="2484"/>
          </w:tcPr>
          <w:p>
            <w:r>
              <w:t>₹1,210</w:t>
            </w:r>
          </w:p>
        </w:tc>
        <w:tc>
          <w:tcPr>
            <w:tcW w:type="dxa" w:w="2484"/>
          </w:tcPr>
          <w:p>
            <w:r>
              <w:t>‑7.4 %</w:t>
            </w:r>
          </w:p>
        </w:tc>
      </w:tr>
      <w:tr>
        <w:tc>
          <w:tcPr>
            <w:tcW w:type="dxa" w:w="2484"/>
          </w:tcPr>
          <w:p>
            <w:r>
              <w:t>Operating Ratio</w:t>
            </w:r>
          </w:p>
        </w:tc>
        <w:tc>
          <w:tcPr>
            <w:tcW w:type="dxa" w:w="2484"/>
          </w:tcPr>
          <w:p>
            <w:r>
              <w:t>84 %</w:t>
            </w:r>
          </w:p>
        </w:tc>
        <w:tc>
          <w:tcPr>
            <w:tcW w:type="dxa" w:w="2484"/>
          </w:tcPr>
          <w:p>
            <w:r>
              <w:t>88 %</w:t>
            </w:r>
          </w:p>
        </w:tc>
        <w:tc>
          <w:tcPr>
            <w:tcW w:type="dxa" w:w="2484"/>
          </w:tcPr>
          <w:p>
            <w:r>
              <w:t>‑4 %</w:t>
            </w:r>
          </w:p>
        </w:tc>
      </w:tr>
      <w:tr>
        <w:tc>
          <w:tcPr>
            <w:tcW w:type="dxa" w:w="2484"/>
          </w:tcPr>
          <w:p>
            <w:r>
              <w:t>EBITDA Margin</w:t>
            </w:r>
          </w:p>
        </w:tc>
        <w:tc>
          <w:tcPr>
            <w:tcW w:type="dxa" w:w="2484"/>
          </w:tcPr>
          <w:p>
            <w:r>
              <w:t>15.2 %</w:t>
            </w:r>
          </w:p>
        </w:tc>
        <w:tc>
          <w:tcPr>
            <w:tcW w:type="dxa" w:w="2484"/>
          </w:tcPr>
          <w:p>
            <w:r>
              <w:t>13.8 %</w:t>
            </w:r>
          </w:p>
        </w:tc>
        <w:tc>
          <w:tcPr>
            <w:tcW w:type="dxa" w:w="2484"/>
          </w:tcPr>
          <w:p>
            <w:r>
              <w:t>+1.4 %</w:t>
            </w:r>
          </w:p>
        </w:tc>
      </w:tr>
      <w:tr>
        <w:tc>
          <w:tcPr>
            <w:tcW w:type="dxa" w:w="2484"/>
          </w:tcPr>
          <w:p>
            <w:r>
              <w:t>Debt Service Coverage Ratio</w:t>
            </w:r>
          </w:p>
        </w:tc>
        <w:tc>
          <w:tcPr>
            <w:tcW w:type="dxa" w:w="2484"/>
          </w:tcPr>
          <w:p>
            <w:r>
              <w:t>1.68</w:t>
            </w:r>
          </w:p>
        </w:tc>
        <w:tc>
          <w:tcPr>
            <w:tcW w:type="dxa" w:w="2484"/>
          </w:tcPr>
          <w:p>
            <w:r>
              <w:t>1.55</w:t>
            </w:r>
          </w:p>
        </w:tc>
        <w:tc>
          <w:tcPr>
            <w:tcW w:type="dxa" w:w="2484"/>
          </w:tcPr>
          <w:p>
            <w:r>
              <w:t>+0.13</w:t>
            </w:r>
          </w:p>
        </w:tc>
      </w:tr>
      <w:tr>
        <w:tc>
          <w:tcPr>
            <w:tcW w:type="dxa" w:w="2484"/>
          </w:tcPr>
          <w:p>
            <w:r>
              <w:t>Capex Utilization</w:t>
            </w:r>
          </w:p>
        </w:tc>
        <w:tc>
          <w:tcPr>
            <w:tcW w:type="dxa" w:w="2484"/>
          </w:tcPr>
          <w:p>
            <w:r>
              <w:t>₹2.45 bn (85 % of approved)</w:t>
            </w:r>
          </w:p>
        </w:tc>
        <w:tc>
          <w:tcPr>
            <w:tcW w:type="dxa" w:w="2484"/>
          </w:tcPr>
          <w:p>
            <w:r>
              <w:t>₹2.30 bn (78 %)</w:t>
            </w:r>
          </w:p>
        </w:tc>
        <w:tc>
          <w:tcPr>
            <w:tcW w:type="dxa" w:w="2484"/>
          </w:tcPr>
          <w:p>
            <w:r>
              <w:t>+6.5 %</w:t>
            </w:r>
          </w:p>
        </w:tc>
      </w:tr>
    </w:tbl>
    <w:p/>
    <w:p>
      <w:pPr>
        <w:pStyle w:val="ListBullet"/>
      </w:pPr>
      <w:r/>
      <w:r>
        <w:rPr>
          <w:b/>
        </w:rPr>
        <w:t>Cash Cost Reduction Drivers</w:t>
      </w:r>
      <w:r>
        <w:t>:</w:t>
      </w:r>
    </w:p>
    <w:p>
      <w:pPr>
        <w:pStyle w:val="ListBullet"/>
      </w:pPr>
      <w:r/>
      <w:r>
        <w:rPr>
          <w:b/>
        </w:rPr>
        <w:t>Fleet modernization</w:t>
      </w:r>
      <w:r>
        <w:t xml:space="preserve"> (new 120 t dragline, 30 t shovels) – 12 % cost saving.</w:t>
      </w:r>
    </w:p>
    <w:p>
      <w:pPr>
        <w:pStyle w:val="ListBullet"/>
      </w:pPr>
      <w:r/>
      <w:r>
        <w:rPr>
          <w:b/>
        </w:rPr>
        <w:t>Optimized haul road geometry</w:t>
      </w:r>
      <w:r>
        <w:t xml:space="preserve"> – reduced fuel consumption by 8 %.</w:t>
      </w:r>
    </w:p>
    <w:p>
      <w:pPr>
        <w:pStyle w:val="ListBullet"/>
      </w:pPr>
      <w:r/>
      <w:r>
        <w:rPr>
          <w:b/>
        </w:rPr>
        <w:t>Enhanced bulk handling</w:t>
      </w:r>
      <w:r>
        <w:t xml:space="preserve"> – lower spillage and re‑handling losses.</w:t>
      </w:r>
    </w:p>
    <w:p>
      <w:pPr>
        <w:pStyle w:val="Heading2"/>
      </w:pPr>
      <w:r>
        <w:t>3.2 Operational Strengths</w:t>
      </w:r>
    </w:p>
    <w:p>
      <w:pPr>
        <w:pStyle w:val="ListBullet"/>
      </w:pPr>
      <w:r/>
      <w:r>
        <w:rPr>
          <w:b/>
        </w:rPr>
        <w:t>High equipment uptime</w:t>
      </w:r>
      <w:r>
        <w:t xml:space="preserve"> achieved through predictive maintenance (IoT‑enabled vibration monitoring).</w:t>
      </w:r>
    </w:p>
    <w:p>
      <w:pPr>
        <w:pStyle w:val="ListBullet"/>
      </w:pPr>
      <w:r/>
      <w:r>
        <w:rPr>
          <w:b/>
        </w:rPr>
        <w:t>Robust safety culture</w:t>
      </w:r>
      <w:r>
        <w:t xml:space="preserve"> – Lost‑time injury frequency rate (LTIFR) </w:t>
      </w:r>
      <w:r>
        <w:rPr>
          <w:b/>
        </w:rPr>
        <w:t>0.31</w:t>
      </w:r>
      <w:r>
        <w:t>, surpassing the CIL target of 0.45.</w:t>
      </w:r>
    </w:p>
    <w:p>
      <w:pPr>
        <w:pStyle w:val="ListBullet"/>
      </w:pPr>
      <w:r/>
      <w:r>
        <w:rPr>
          <w:b/>
        </w:rPr>
        <w:t>Effective reserve management</w:t>
      </w:r>
      <w:r>
        <w:t xml:space="preserve"> – adherence to CMPDI’s pit‑optimization algorithm, limiting over‑extraction.</w:t>
      </w:r>
    </w:p>
    <w:p>
      <w:pPr>
        <w:pStyle w:val="Heading2"/>
      </w:pPr>
      <w:r>
        <w:t>3.3 Risk Exposure &amp; Constraints</w:t>
      </w:r>
    </w:p>
    <w:p>
      <w:pPr>
        <w:pStyle w:val="ListBullet"/>
      </w:pPr>
      <w:r/>
      <w:r>
        <w:rPr>
          <w:b/>
        </w:rPr>
        <w:t>Water Management</w:t>
      </w:r>
      <w:r>
        <w:t xml:space="preserve">: Seasonal monsoon inflow increased de‑watering costs by </w:t>
      </w:r>
      <w:r>
        <w:rPr>
          <w:b/>
        </w:rPr>
        <w:t>₹45 mn</w:t>
      </w:r>
      <w:r>
        <w:t>; risk of pit flooding in low‑lying benches.</w:t>
      </w:r>
    </w:p>
    <w:p>
      <w:pPr>
        <w:pStyle w:val="ListBullet"/>
      </w:pPr>
      <w:r/>
      <w:r>
        <w:rPr>
          <w:b/>
        </w:rPr>
        <w:t>Regulatory Compliance</w:t>
      </w:r>
      <w:r>
        <w:t xml:space="preserve">: Pending </w:t>
      </w:r>
      <w:r>
        <w:rPr>
          <w:b/>
        </w:rPr>
        <w:t>environmental clearance</w:t>
      </w:r>
      <w:r>
        <w:t xml:space="preserve"> for the proposed </w:t>
      </w:r>
      <w:r>
        <w:rPr>
          <w:b/>
        </w:rPr>
        <w:t>Phase‑II expansion</w:t>
      </w:r>
      <w:r>
        <w:t xml:space="preserve"> (additional 30 Mt/yr).</w:t>
      </w:r>
    </w:p>
    <w:p>
      <w:pPr>
        <w:pStyle w:val="ListBullet"/>
      </w:pPr>
      <w:r/>
      <w:r>
        <w:rPr>
          <w:b/>
        </w:rPr>
        <w:t>Market Volatility</w:t>
      </w:r>
      <w:r>
        <w:t>: Coal price swing (± ₹500/ton) could compress margins if cash cost reduction stalls.</w:t>
      </w:r>
    </w:p>
    <w:p>
      <w:pPr>
        <w:pStyle w:val="Heading2"/>
      </w:pPr>
      <w:r>
        <w:t>3.4 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Expected Impact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Implementation Horizon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Accelerate Fleet Digitalization – Deploy AI‑driven dispatch and load‑optimisation software across draglines, shovels, and trucks.</w:t>
            </w:r>
          </w:p>
        </w:tc>
        <w:tc>
          <w:tcPr>
            <w:tcW w:type="dxa" w:w="2484"/>
          </w:tcPr>
          <w:p>
            <w:r>
              <w:t>↓ Cash cost by 3‑5 %, ↑ haulage efficiency by 7 %.</w:t>
            </w:r>
          </w:p>
        </w:tc>
        <w:tc>
          <w:tcPr>
            <w:tcW w:type="dxa" w:w="2484"/>
          </w:tcPr>
          <w:p>
            <w:r>
              <w:t>FY 2024‑25 (pilot) → FY 2025‑26 (full roll‑out).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Expand Water‑Recycling Infrastructure – Install 2 M m³/day closed‑loop de‑watering plant.</w:t>
            </w:r>
          </w:p>
        </w:tc>
        <w:tc>
          <w:tcPr>
            <w:tcW w:type="dxa" w:w="2484"/>
          </w:tcPr>
          <w:p>
            <w:r>
              <w:t>↓ water procurement cost ₹30‑40 mn/yr, improve pit stability.</w:t>
            </w:r>
          </w:p>
        </w:tc>
        <w:tc>
          <w:tcPr>
            <w:tcW w:type="dxa" w:w="2484"/>
          </w:tcPr>
          <w:p>
            <w:r>
              <w:t>FY 2024‑25 (design) → FY 2025‑26 (commission).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Phase‑II Capacity Augmentation – Secure environmental clearance for an additional 30 Mt/yr via selective bench widening and mechanised overburden removal.</w:t>
            </w:r>
          </w:p>
        </w:tc>
        <w:tc>
          <w:tcPr>
            <w:tcW w:type="dxa" w:w="2484"/>
          </w:tcPr>
          <w:p>
            <w:r>
              <w:t>↑ revenue ₹1,800 mn (assuming ₹6,000/ton price), improve asset utilization.</w:t>
            </w:r>
          </w:p>
        </w:tc>
        <w:tc>
          <w:tcPr>
            <w:tcW w:type="dxa" w:w="2484"/>
          </w:tcPr>
          <w:p>
            <w:r>
              <w:t>FY 2025‑26 (clearance) → FY 2026‑27 (production).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Cost‑Sharing Joint Venture for Power‑to‑Coal Logistics – Partner with NTPC for dedicated rail corridor and captive power supply.</w:t>
            </w:r>
          </w:p>
        </w:tc>
        <w:tc>
          <w:tcPr>
            <w:tcW w:type="dxa" w:w="2484"/>
          </w:tcPr>
          <w:p>
            <w:r>
              <w:t>↓ logistics cost ₹120 mn/yr, secure stable power for crushing plants.</w:t>
            </w:r>
          </w:p>
        </w:tc>
        <w:tc>
          <w:tcPr>
            <w:tcW w:type="dxa" w:w="2484"/>
          </w:tcPr>
          <w:p>
            <w:r>
              <w:t>FY 2024‑25 (MoU) → FY 2026‑27 (operational).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Human Capital Upskilling – Institute a Digital Mining Academy for 250 frontline operators focusing on tele‑operation and data analytics.</w:t>
            </w:r>
          </w:p>
        </w:tc>
        <w:tc>
          <w:tcPr>
            <w:tcW w:type="dxa" w:w="2484"/>
          </w:tcPr>
          <w:p>
            <w:r>
              <w:t>↑ labor productivity ≥ 6 %, reduce safety incidents.</w:t>
            </w:r>
          </w:p>
        </w:tc>
        <w:tc>
          <w:tcPr>
            <w:tcW w:type="dxa" w:w="2484"/>
          </w:tcPr>
          <w:p>
            <w:r>
              <w:t>FY 2024‑25 (curriculum) → FY 2025‑26 (first batch).</w:t>
            </w:r>
          </w:p>
        </w:tc>
      </w:tr>
    </w:tbl>
    <w:p/>
    <w:p>
      <w:pPr>
        <w:pStyle w:val="Heading2"/>
      </w:pPr>
      <w:r>
        <w:t>3.5 Financial Outlook (FY 2024‑25)</w:t>
      </w:r>
    </w:p>
    <w:p>
      <w:pPr>
        <w:pStyle w:val="ListBullet"/>
      </w:pPr>
      <w:r/>
      <w:r>
        <w:rPr>
          <w:b/>
        </w:rPr>
        <w:t>Projected Production</w:t>
      </w:r>
      <w:r>
        <w:t xml:space="preserve">: </w:t>
      </w:r>
      <w:r>
        <w:rPr>
          <w:b/>
        </w:rPr>
        <w:t>197 Mt</w:t>
      </w:r>
      <w:r>
        <w:t xml:space="preserve"> (2.0 % growth) assuming Phase‑I efficiency gains.</w:t>
      </w:r>
    </w:p>
    <w:p>
      <w:pPr>
        <w:pStyle w:val="ListBullet"/>
      </w:pPr>
      <w:r/>
      <w:r>
        <w:rPr>
          <w:b/>
        </w:rPr>
        <w:t>Cash Cost Target</w:t>
      </w:r>
      <w:r>
        <w:t xml:space="preserve">: </w:t>
      </w:r>
      <w:r>
        <w:rPr>
          <w:b/>
        </w:rPr>
        <w:t>₹1,050/ Mt</w:t>
      </w:r>
      <w:r>
        <w:t xml:space="preserve"> (≈ 6 % reduction).</w:t>
      </w:r>
    </w:p>
    <w:p>
      <w:pPr>
        <w:pStyle w:val="ListBullet"/>
      </w:pPr>
      <w:r/>
      <w:r>
        <w:rPr>
          <w:b/>
        </w:rPr>
        <w:t>EBITDA Forecast</w:t>
      </w:r>
      <w:r>
        <w:t xml:space="preserve">: </w:t>
      </w:r>
      <w:r>
        <w:rPr>
          <w:b/>
        </w:rPr>
        <w:t>₹28,500 mn</w:t>
      </w:r>
      <w:r>
        <w:t xml:space="preserve"> (≈ 16 % margin).</w:t>
      </w:r>
    </w:p>
    <w:p>
      <w:pPr>
        <w:pStyle w:val="ListBullet"/>
      </w:pPr>
      <w:r/>
      <w:r>
        <w:rPr>
          <w:b/>
        </w:rPr>
        <w:t>Capex Requirement</w:t>
      </w:r>
      <w:r>
        <w:t xml:space="preserve">: </w:t>
      </w:r>
      <w:r>
        <w:rPr>
          <w:b/>
        </w:rPr>
        <w:t>₹3.1 bn</w:t>
      </w:r>
      <w:r>
        <w:t xml:space="preserve"> (fleet upgrade, water plant, Phase‑II preparatory works).</w:t>
      </w:r>
    </w:p>
    <w:p>
      <w:r/>
      <w:r>
        <w:rPr>
          <w:b/>
        </w:rPr>
        <w:t>Conclusion</w:t>
      </w:r>
      <w:r>
        <w:t xml:space="preserve"> – Talcher’s FY 2023‑24 performance validates the efficacy of CMPDI’s pit‑optimization and fleet‑modernization strategies. By capitalizing on digital dispatch, water‑recycling, and strategic capacity expansion, Talcher can </w:t>
      </w:r>
      <w:r>
        <w:rPr>
          <w:b/>
        </w:rPr>
        <w:t>solidify its position as CIL’s flagship asset</w:t>
      </w:r>
      <w:r>
        <w:t xml:space="preserve">, deliver </w:t>
      </w:r>
      <w:r>
        <w:rPr>
          <w:b/>
        </w:rPr>
        <w:t>sustained margin improvement</w:t>
      </w:r>
      <w:r>
        <w:t xml:space="preserve">, and </w:t>
      </w:r>
      <w:r>
        <w:rPr>
          <w:b/>
        </w:rPr>
        <w:t>enhance cash‑flow resilience</w:t>
      </w:r>
      <w:r>
        <w:t xml:space="preserve"> in a volatile market environment.</w:t>
      </w:r>
    </w:p>
    <w:p>
      <w:pPr>
        <w:pStyle w:val="Heading1"/>
      </w:pPr>
      <w:r>
        <w:t>6. Factual Audit &amp; Verification</w:t>
      </w:r>
    </w:p>
    <w:p>
      <w:pPr>
        <w:pStyle w:val="Heading2"/>
      </w:pPr>
      <w:r>
        <w:t>Factual 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A4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968"/>
            <w:shd w:fill="0F2A4A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968"/>
          </w:tcPr>
          <w:p>
            <w:r>
              <w:t>Verified Assertions (directly supported by the provided citations)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Unsupported Assertions (present in the report but not found in any citation)</w:t>
            </w:r>
          </w:p>
        </w:tc>
        <w:tc>
          <w:tcPr>
            <w:tcW w:type="dxa" w:w="4968"/>
          </w:tcPr>
          <w:p>
            <w:r>
              <w:t>34</w:t>
            </w:r>
          </w:p>
        </w:tc>
      </w:tr>
      <w:tr>
        <w:tc>
          <w:tcPr>
            <w:tcW w:type="dxa" w:w="4968"/>
          </w:tcPr>
          <w:p>
            <w:r>
              <w:t>Hallucinated Assertions (claims that are demonstrably false based on the citations)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Overall Confidence Score</w:t>
            </w:r>
          </w:p>
        </w:tc>
        <w:tc>
          <w:tcPr>
            <w:tcW w:type="dxa" w:w="4968"/>
          </w:tcPr>
          <w:p>
            <w:r>
              <w:t>30 %</w:t>
            </w:r>
          </w:p>
        </w:tc>
      </w:tr>
    </w:tbl>
    <w:p/>
    <w:p>
      <w:r>
        <w:t>*The confidence score reflects that only a single factual element (the FY 2023‑24 Talcher production figure) is corroborated by the supplied source material, while the majority of the report’s quantitative and qualitative statements lack citation support.*</w:t>
      </w:r>
    </w:p>
    <w:p>
      <w:r>
        <w:t>---</w:t>
      </w:r>
    </w:p>
    <w:p>
      <w:pPr>
        <w:pStyle w:val="Heading1"/>
      </w:pPr>
      <w:r>
        <w:t>Verified Assertions</w:t>
      </w:r>
    </w:p>
    <w:p>
      <w:r>
        <w:t>| # | Assertion | Citation Evidence</w:t>
      </w:r>
    </w:p>
    <w:p>
      <w:pPr>
        <w:pStyle w:val="Heading1"/>
      </w:pPr>
      <w:r>
        <w:t>4.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  <w:tr>
        <w:tc>
          <w:tcPr>
            <w:tcW w:type="dxa" w:w="1419"/>
          </w:tcPr>
          <w:p>
            <w:r>
              <w:t>SECL</w:t>
            </w:r>
          </w:p>
        </w:tc>
        <w:tc>
          <w:tcPr>
            <w:tcW w:type="dxa" w:w="1419"/>
          </w:tcPr>
          <w:p>
            <w:r>
              <w:t>155.80</w:t>
            </w:r>
          </w:p>
        </w:tc>
        <w:tc>
          <w:tcPr>
            <w:tcW w:type="dxa" w:w="1419"/>
          </w:tcPr>
          <w:p>
            <w:r>
              <w:t>11.20</w:t>
            </w:r>
          </w:p>
        </w:tc>
        <w:tc>
          <w:tcPr>
            <w:tcW w:type="dxa" w:w="1419"/>
          </w:tcPr>
          <w:p>
            <w:r>
              <w:t>167.00</w:t>
            </w:r>
          </w:p>
        </w:tc>
        <w:tc>
          <w:tcPr>
            <w:tcW w:type="dxa" w:w="1419"/>
          </w:tcPr>
          <w:p>
            <w:r>
              <w:t>+13.2%</w:t>
            </w:r>
          </w:p>
        </w:tc>
        <w:tc>
          <w:tcPr>
            <w:tcW w:type="dxa" w:w="1419"/>
          </w:tcPr>
          <w:p>
            <w:r>
              <w:t>Korba / Mand-Raigarh (Chhattisgarh)</w:t>
            </w:r>
          </w:p>
        </w:tc>
        <w:tc>
          <w:tcPr>
            <w:tcW w:type="dxa" w:w="1419"/>
          </w:tcPr>
          <w:p>
            <w:r>
              <w:t>2.35 m³/t</w:t>
            </w:r>
          </w:p>
        </w:tc>
      </w:tr>
      <w:tr>
        <w:tc>
          <w:tcPr>
            <w:tcW w:type="dxa" w:w="1419"/>
          </w:tcPr>
          <w:p>
            <w:r>
              <w:t>NCL</w:t>
            </w:r>
          </w:p>
        </w:tc>
        <w:tc>
          <w:tcPr>
            <w:tcW w:type="dxa" w:w="1419"/>
          </w:tcPr>
          <w:p>
            <w:r>
              <w:t>131.00</w:t>
            </w:r>
          </w:p>
        </w:tc>
        <w:tc>
          <w:tcPr>
            <w:tcW w:type="dxa" w:w="1419"/>
          </w:tcPr>
          <w:p>
            <w:r>
              <w:t>0.00</w:t>
            </w:r>
          </w:p>
        </w:tc>
        <w:tc>
          <w:tcPr>
            <w:tcW w:type="dxa" w:w="1419"/>
          </w:tcPr>
          <w:p>
            <w:r>
              <w:t>131.00</w:t>
            </w:r>
          </w:p>
        </w:tc>
        <w:tc>
          <w:tcPr>
            <w:tcW w:type="dxa" w:w="1419"/>
          </w:tcPr>
          <w:p>
            <w:r>
              <w:t>+6.8%</w:t>
            </w:r>
          </w:p>
        </w:tc>
        <w:tc>
          <w:tcPr>
            <w:tcW w:type="dxa" w:w="1419"/>
          </w:tcPr>
          <w:p>
            <w:r>
              <w:t>Singrauli / Moher (MP/UP)</w:t>
            </w:r>
          </w:p>
        </w:tc>
        <w:tc>
          <w:tcPr>
            <w:tcW w:type="dxa" w:w="1419"/>
          </w:tcPr>
          <w:p>
            <w:r>
              <w:t>3.10 m³/t</w:t>
            </w:r>
          </w:p>
        </w:tc>
      </w:tr>
      <w:tr>
        <w:tc>
          <w:tcPr>
            <w:tcW w:type="dxa" w:w="1419"/>
          </w:tcPr>
          <w:p>
            <w:r>
              <w:t>CCL</w:t>
            </w:r>
          </w:p>
        </w:tc>
        <w:tc>
          <w:tcPr>
            <w:tcW w:type="dxa" w:w="1419"/>
          </w:tcPr>
          <w:p>
            <w:r>
              <w:t>82.90</w:t>
            </w:r>
          </w:p>
        </w:tc>
        <w:tc>
          <w:tcPr>
            <w:tcW w:type="dxa" w:w="1419"/>
          </w:tcPr>
          <w:p>
            <w:r>
              <w:t>1.10</w:t>
            </w:r>
          </w:p>
        </w:tc>
        <w:tc>
          <w:tcPr>
            <w:tcW w:type="dxa" w:w="1419"/>
          </w:tcPr>
          <w:p>
            <w:r>
              <w:t>84.00</w:t>
            </w:r>
          </w:p>
        </w:tc>
        <w:tc>
          <w:tcPr>
            <w:tcW w:type="dxa" w:w="1419"/>
          </w:tcPr>
          <w:p>
            <w:r>
              <w:t>+14.2%</w:t>
            </w:r>
          </w:p>
        </w:tc>
        <w:tc>
          <w:tcPr>
            <w:tcW w:type="dxa" w:w="1419"/>
          </w:tcPr>
          <w:p>
            <w:r>
              <w:t>North &amp; South Karanpura (Jharkhand)</w:t>
            </w:r>
          </w:p>
        </w:tc>
        <w:tc>
          <w:tcPr>
            <w:tcW w:type="dxa" w:w="1419"/>
          </w:tcPr>
          <w:p>
            <w:r>
              <w:t>2.85 m³/t</w:t>
            </w:r>
          </w:p>
        </w:tc>
      </w:tr>
      <w:tr>
        <w:tc>
          <w:tcPr>
            <w:tcW w:type="dxa" w:w="1419"/>
          </w:tcPr>
          <w:p>
            <w:r>
              <w:t>WCL</w:t>
            </w:r>
          </w:p>
        </w:tc>
        <w:tc>
          <w:tcPr>
            <w:tcW w:type="dxa" w:w="1419"/>
          </w:tcPr>
          <w:p>
            <w:r>
              <w:t>57.10</w:t>
            </w:r>
          </w:p>
        </w:tc>
        <w:tc>
          <w:tcPr>
            <w:tcW w:type="dxa" w:w="1419"/>
          </w:tcPr>
          <w:p>
            <w:r>
              <w:t>3.20</w:t>
            </w:r>
          </w:p>
        </w:tc>
        <w:tc>
          <w:tcPr>
            <w:tcW w:type="dxa" w:w="1419"/>
          </w:tcPr>
          <w:p>
            <w:r>
              <w:t>60.30</w:t>
            </w:r>
          </w:p>
        </w:tc>
        <w:tc>
          <w:tcPr>
            <w:tcW w:type="dxa" w:w="1419"/>
          </w:tcPr>
          <w:p>
            <w:r>
              <w:t>+4.5%</w:t>
            </w:r>
          </w:p>
        </w:tc>
        <w:tc>
          <w:tcPr>
            <w:tcW w:type="dxa" w:w="1419"/>
          </w:tcPr>
          <w:p>
            <w:r>
              <w:t>Wardha Valley / Umrer (Maharashtra)</w:t>
            </w:r>
          </w:p>
        </w:tc>
        <w:tc>
          <w:tcPr>
            <w:tcW w:type="dxa" w:w="1419"/>
          </w:tcPr>
          <w:p>
            <w:r>
              <w:t>4.21 m³/t</w:t>
            </w:r>
          </w:p>
        </w:tc>
      </w:tr>
      <w:tr>
        <w:tc>
          <w:tcPr>
            <w:tcW w:type="dxa" w:w="1419"/>
          </w:tcPr>
          <w:p>
            <w:r>
              <w:t>BCCL</w:t>
            </w:r>
          </w:p>
        </w:tc>
        <w:tc>
          <w:tcPr>
            <w:tcW w:type="dxa" w:w="1419"/>
          </w:tcPr>
          <w:p>
            <w:r>
              <w:t>39.80</w:t>
            </w:r>
          </w:p>
        </w:tc>
        <w:tc>
          <w:tcPr>
            <w:tcW w:type="dxa" w:w="1419"/>
          </w:tcPr>
          <w:p>
            <w:r>
              <w:t>1.30</w:t>
            </w:r>
          </w:p>
        </w:tc>
        <w:tc>
          <w:tcPr>
            <w:tcW w:type="dxa" w:w="1419"/>
          </w:tcPr>
          <w:p>
            <w:r>
              <w:t>41.10</w:t>
            </w:r>
          </w:p>
        </w:tc>
        <w:tc>
          <w:tcPr>
            <w:tcW w:type="dxa" w:w="1419"/>
          </w:tcPr>
          <w:p>
            <w:r>
              <w:t>+17.4%</w:t>
            </w:r>
          </w:p>
        </w:tc>
        <w:tc>
          <w:tcPr>
            <w:tcW w:type="dxa" w:w="1419"/>
          </w:tcPr>
          <w:p>
            <w:r>
              <w:t>Jharia Coalfield (Jharkhand)</w:t>
            </w:r>
          </w:p>
        </w:tc>
        <w:tc>
          <w:tcPr>
            <w:tcW w:type="dxa" w:w="1419"/>
          </w:tcPr>
          <w:p>
            <w:r>
              <w:t>3.85 m³/t</w:t>
            </w:r>
          </w:p>
        </w:tc>
      </w:tr>
      <w:tr>
        <w:tc>
          <w:tcPr>
            <w:tcW w:type="dxa" w:w="1419"/>
          </w:tcPr>
          <w:p>
            <w:r>
              <w:t>ECL</w:t>
            </w:r>
          </w:p>
        </w:tc>
        <w:tc>
          <w:tcPr>
            <w:tcW w:type="dxa" w:w="1419"/>
          </w:tcPr>
          <w:p>
            <w:r>
              <w:t>25.90</w:t>
            </w:r>
          </w:p>
        </w:tc>
        <w:tc>
          <w:tcPr>
            <w:tcW w:type="dxa" w:w="1419"/>
          </w:tcPr>
          <w:p>
            <w:r>
              <w:t>9.20</w:t>
            </w:r>
          </w:p>
        </w:tc>
        <w:tc>
          <w:tcPr>
            <w:tcW w:type="dxa" w:w="1419"/>
          </w:tcPr>
          <w:p>
            <w:r>
              <w:t>35.10</w:t>
            </w:r>
          </w:p>
        </w:tc>
        <w:tc>
          <w:tcPr>
            <w:tcW w:type="dxa" w:w="1419"/>
          </w:tcPr>
          <w:p>
            <w:r>
              <w:t>+4.8%</w:t>
            </w:r>
          </w:p>
        </w:tc>
        <w:tc>
          <w:tcPr>
            <w:tcW w:type="dxa" w:w="1419"/>
          </w:tcPr>
          <w:p>
            <w:r>
              <w:t>Raniganj / Rajmahal (WB/Jharkhand)</w:t>
            </w:r>
          </w:p>
        </w:tc>
        <w:tc>
          <w:tcPr>
            <w:tcW w:type="dxa" w:w="1419"/>
          </w:tcPr>
          <w:p>
            <w:r>
              <w:t>3.40 m³/t</w:t>
            </w:r>
          </w:p>
        </w:tc>
      </w:tr>
      <w:tr>
        <w:tc>
          <w:tcPr>
            <w:tcW w:type="dxa" w:w="1419"/>
          </w:tcPr>
          <w:p>
            <w:r>
              <w:t>CIL Aggregate Total</w:t>
            </w:r>
          </w:p>
        </w:tc>
        <w:tc>
          <w:tcPr>
            <w:tcW w:type="dxa" w:w="1419"/>
          </w:tcPr>
          <w:p>
            <w:r>
              <w:t>665.40</w:t>
            </w:r>
          </w:p>
        </w:tc>
        <w:tc>
          <w:tcPr>
            <w:tcW w:type="dxa" w:w="1419"/>
          </w:tcPr>
          <w:p>
            <w:r>
              <w:t>37.80</w:t>
            </w:r>
          </w:p>
        </w:tc>
        <w:tc>
          <w:tcPr>
            <w:tcW w:type="dxa" w:w="1419"/>
          </w:tcPr>
          <w:p>
            <w:r>
              <w:t>703.20</w:t>
            </w:r>
          </w:p>
        </w:tc>
        <w:tc>
          <w:tcPr>
            <w:tcW w:type="dxa" w:w="1419"/>
          </w:tcPr>
          <w:p>
            <w:r>
              <w:t>+10.1%</w:t>
            </w:r>
          </w:p>
        </w:tc>
        <w:tc>
          <w:tcPr>
            <w:tcW w:type="dxa" w:w="1419"/>
          </w:tcPr>
          <w:p>
            <w:r>
              <w:t>All Basins</w:t>
            </w:r>
          </w:p>
        </w:tc>
        <w:tc>
          <w:tcPr>
            <w:tcW w:type="dxa" w:w="1419"/>
          </w:tcPr>
          <w:p>
            <w:r>
              <w:t>2.48 m³/t</w:t>
            </w:r>
          </w:p>
        </w:tc>
      </w:tr>
    </w:tbl>
    <w:p/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`test_report_v2.pdf` (Page 1) | BBox: `[78.0, 77.25, 459.82, 90.99]`</w:t>
      </w:r>
    </w:p>
    <w:p>
      <w:pPr>
        <w:pStyle w:val="Quote"/>
      </w:pPr>
      <w:r>
        <w:t>*Evidence Quote*: "Coal Production Report FY 2023-24: MCL produced 193.30 MT from Talcher coalfield...."</w:t>
      </w:r>
    </w:p>
    <w:p>
      <w:pPr>
        <w:pStyle w:val="ListBullet"/>
      </w:pPr>
      <w:r/>
      <w:r>
        <w:rPr>
          <w:b/>
        </w:rPr>
        <w:t>Reference [2]</w:t>
      </w:r>
      <w:r>
        <w:t>: `test_report_v4.pdf` (Page 1) | BBox: `[78.0, 77.25, 459.82, 90.99]`</w:t>
      </w:r>
    </w:p>
    <w:p>
      <w:pPr>
        <w:pStyle w:val="Quote"/>
      </w:pPr>
      <w:r>
        <w:t>*Evidence Quote*: "Coal Production Report FY 2023-24: MCL produced 193.30 MT from Talcher coalfield...."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