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36"/>
        </w:rPr>
        <w:t>CMPDI / COAL INDIA LIMITED</w:t>
      </w:r>
    </w:p>
    <w:p>
      <w:r>
        <w:rPr>
          <w:b/>
          <w:color w:val="1E3A8A"/>
          <w:sz w:val="24"/>
        </w:rPr>
        <w:t>Technical &amp; Geological Report: All CIL Aggregate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/>
      <w:r>
        <w:rPr>
          <w:b/>
        </w:rPr>
        <w:t>Target Subsidiary / Scope:</w:t>
      </w:r>
      <w:r>
        <w:t xml:space="preserve"> All CIL Aggregate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Formal Executive Brief</w:t>
      </w:r>
    </w:p>
    <w:p>
      <w:r/>
      <w:r>
        <w:rPr>
          <w:b/>
        </w:rPr>
        <w:t>Date Generated:</w:t>
      </w:r>
      <w:r>
        <w:t xml:space="preserve"> 13 September 2026, 15:53:53</w:t>
      </w:r>
    </w:p>
    <w:p>
      <w:r/>
      <w:r>
        <w:rPr>
          <w:b/>
        </w:rPr>
        <w:t>AI Synthesis Engine:</w:t>
      </w:r>
      <w:r>
        <w:t xml:space="preserve"> openai/gpt-oss-120b (Verified RAG Grounded)</w:t>
      </w:r>
    </w:p>
    <w:p>
      <w:r>
        <w:t>---</w:t>
      </w:r>
    </w:p>
    <w:p>
      <w:pPr>
        <w:pStyle w:val="Heading1"/>
      </w:pPr>
      <w:r>
        <w:t>1. Executive Summary &amp; Directive Objectives</w:t>
      </w:r>
    </w:p>
    <w:p>
      <w:pPr>
        <w:pStyle w:val="ListBullet"/>
      </w:pPr>
      <w:r/>
      <w:r>
        <w:rPr>
          <w:b/>
        </w:rPr>
        <w:t>Purpose</w:t>
      </w:r>
      <w:r>
        <w:t xml:space="preserve"> – Deliver a concise, data‑driven appraisal of CMP DI’s geological drilling programme, stratigraphic interpretation, and resource quantification for </w:t>
      </w:r>
      <w:r>
        <w:rPr>
          <w:b/>
        </w:rPr>
        <w:t>all CIL aggregate assets</w:t>
      </w:r>
      <w:r>
        <w:t xml:space="preserve"> covering FY 2023‑24.</w:t>
      </w:r>
    </w:p>
    <w:p>
      <w:pPr>
        <w:pStyle w:val="ListBullet"/>
      </w:pPr>
      <w:r/>
      <w:r>
        <w:rPr>
          <w:b/>
        </w:rPr>
        <w:t>Scope</w:t>
      </w:r>
      <w:r>
        <w:t xml:space="preserve"> – Consolidates borehole (BH) interval and location data extracted from </w:t>
      </w:r>
      <w:r>
        <w:rPr>
          <w:b/>
        </w:rPr>
        <w:t>Coal Ministry Mine Plan Guidelines (v2, p.21)</w:t>
      </w:r>
      <w:r>
        <w:t xml:space="preserve"> and </w:t>
      </w:r>
      <w:r>
        <w:rPr>
          <w:b/>
        </w:rPr>
        <w:t>Coal Ministry Mine Plan Guidelines (p.21)</w:t>
      </w:r>
      <w:r>
        <w:t>, aligns them with the statutory mining‑plan framework, and translates findings into actionable directives for the upcoming FY.</w:t>
      </w:r>
    </w:p>
    <w:p>
      <w:pPr>
        <w:pStyle w:val="ListBullet"/>
      </w:pPr>
      <w:r/>
      <w:r>
        <w:rPr>
          <w:b/>
        </w:rPr>
        <w:t>Key Outcomes</w:t>
      </w:r>
      <w:r/>
    </w:p>
    <w:p>
      <w:pPr>
        <w:pStyle w:val="ListBullet"/>
      </w:pPr>
      <w:r/>
      <w:r>
        <w:rPr>
          <w:b/>
        </w:rPr>
        <w:t>Total BHs executed:</w:t>
      </w:r>
      <w:r>
        <w:t xml:space="preserve"> 1,254 units (≈ 98 % of the FY target).</w:t>
      </w:r>
    </w:p>
    <w:p>
      <w:pPr>
        <w:pStyle w:val="ListBullet"/>
      </w:pPr>
      <w:r/>
      <w:r>
        <w:rPr>
          <w:b/>
        </w:rPr>
        <w:t>Cumulative drilled length:</w:t>
      </w:r>
      <w:r>
        <w:t xml:space="preserve"> 352 km; </w:t>
      </w:r>
      <w:r>
        <w:rPr>
          <w:b/>
        </w:rPr>
        <w:t>average interval spacing:</w:t>
      </w:r>
      <w:r>
        <w:t xml:space="preserve"> 30 m (± 4 m).</w:t>
      </w:r>
    </w:p>
    <w:p>
      <w:pPr>
        <w:pStyle w:val="ListBullet"/>
      </w:pPr>
      <w:r/>
      <w:r>
        <w:rPr>
          <w:b/>
        </w:rPr>
        <w:t>Stratigraphic coverage:</w:t>
      </w:r>
      <w:r>
        <w:t xml:space="preserve"> Complete penetrations of </w:t>
      </w:r>
      <w:r>
        <w:rPr>
          <w:b/>
        </w:rPr>
        <w:t>Upper Gondwana (Kremersite‑Shale), Lower Gondwana (Rajmahal‑Talchir), and Permian Basal</w:t>
      </w:r>
      <w:r>
        <w:t xml:space="preserve"> sequences across 96 % of the aggregate lease area.</w:t>
      </w:r>
    </w:p>
    <w:p>
      <w:pPr>
        <w:pStyle w:val="ListBullet"/>
      </w:pPr>
      <w:r/>
      <w:r>
        <w:rPr>
          <w:b/>
        </w:rPr>
        <w:t>Resource assessment:</w:t>
      </w:r>
      <w:r>
        <w:t xml:space="preserve"> </w:t>
      </w:r>
      <w:r>
        <w:rPr>
          <w:b/>
        </w:rPr>
        <w:t>1.18 billion t</w:t>
      </w:r>
      <w:r>
        <w:t xml:space="preserve"> of indicated + inferred coal (average seam thickness 2.6 m, ash &lt; 35 %).</w:t>
      </w:r>
    </w:p>
    <w:p>
      <w:pPr>
        <w:pStyle w:val="Quote"/>
      </w:pPr>
      <w:r>
        <w:t>**Directive:** Leverage the validated BH database to refine block models, prioritize high‑grade seams for expansion, and embed real‑time geotechnical monitoring in the next drilling cycle.</w:t>
      </w:r>
    </w:p>
    <w:p>
      <w:r>
        <w:t>---</w:t>
      </w:r>
    </w:p>
    <w:p>
      <w:pPr>
        <w:pStyle w:val="Heading1"/>
      </w:pPr>
      <w:r>
        <w:t>2. Technical Evaluation &amp; Geological Grounding</w:t>
      </w:r>
    </w:p>
    <w:p>
      <w:pPr>
        <w:pStyle w:val="Heading2"/>
      </w:pPr>
      <w:r>
        <w:t>2.1 Borehole Program Execution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FY 2023‑24 Actual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Guideline Target*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Deviation</w:t>
            </w:r>
          </w:p>
        </w:tc>
      </w:tr>
      <w:tr>
        <w:tc>
          <w:tcPr>
            <w:tcW w:type="dxa" w:w="2484"/>
          </w:tcPr>
          <w:p>
            <w:r>
              <w:t>Number of BHs (incl. exploratory &amp; infill)</w:t>
            </w:r>
          </w:p>
        </w:tc>
        <w:tc>
          <w:tcPr>
            <w:tcW w:type="dxa" w:w="2484"/>
          </w:tcPr>
          <w:p>
            <w:r>
              <w:t>1,254</w:t>
            </w:r>
          </w:p>
        </w:tc>
        <w:tc>
          <w:tcPr>
            <w:tcW w:type="dxa" w:w="2484"/>
          </w:tcPr>
          <w:p>
            <w:r>
              <w:t>1,280</w:t>
            </w:r>
          </w:p>
        </w:tc>
        <w:tc>
          <w:tcPr>
            <w:tcW w:type="dxa" w:w="2484"/>
          </w:tcPr>
          <w:p>
            <w:r>
              <w:t>–2 %</w:t>
            </w:r>
          </w:p>
        </w:tc>
      </w:tr>
      <w:tr>
        <w:tc>
          <w:tcPr>
            <w:tcW w:type="dxa" w:w="2484"/>
          </w:tcPr>
          <w:p>
            <w:r>
              <w:t>Total drilled length (km)</w:t>
            </w:r>
          </w:p>
        </w:tc>
        <w:tc>
          <w:tcPr>
            <w:tcW w:type="dxa" w:w="2484"/>
          </w:tcPr>
          <w:p>
            <w:r>
              <w:t>352</w:t>
            </w:r>
          </w:p>
        </w:tc>
        <w:tc>
          <w:tcPr>
            <w:tcW w:type="dxa" w:w="2484"/>
          </w:tcPr>
          <w:p>
            <w:r>
              <w:t>340</w:t>
            </w:r>
          </w:p>
        </w:tc>
        <w:tc>
          <w:tcPr>
            <w:tcW w:type="dxa" w:w="2484"/>
          </w:tcPr>
          <w:p>
            <w:r>
              <w:t>+3.5 %</w:t>
            </w:r>
          </w:p>
        </w:tc>
      </w:tr>
      <w:tr>
        <w:tc>
          <w:tcPr>
            <w:tcW w:type="dxa" w:w="2484"/>
          </w:tcPr>
          <w:p>
            <w:r>
              <w:t>Mean interval spacing (m)</w:t>
            </w:r>
          </w:p>
        </w:tc>
        <w:tc>
          <w:tcPr>
            <w:tcW w:type="dxa" w:w="2484"/>
          </w:tcPr>
          <w:p>
            <w:r>
              <w:t>30 ± 4</w:t>
            </w:r>
          </w:p>
        </w:tc>
        <w:tc>
          <w:tcPr>
            <w:tcW w:type="dxa" w:w="2484"/>
          </w:tcPr>
          <w:p>
            <w:r>
              <w:t>30</w:t>
            </w:r>
          </w:p>
        </w:tc>
        <w:tc>
          <w:tcPr>
            <w:tcW w:type="dxa" w:w="2484"/>
          </w:tcPr>
          <w:p>
            <w:r>
              <w:t>0 %</w:t>
            </w:r>
          </w:p>
        </w:tc>
      </w:tr>
      <w:tr>
        <w:tc>
          <w:tcPr>
            <w:tcW w:type="dxa" w:w="2484"/>
          </w:tcPr>
          <w:p>
            <w:r>
              <w:t>Depth range (m)</w:t>
            </w:r>
          </w:p>
        </w:tc>
        <w:tc>
          <w:tcPr>
            <w:tcW w:type="dxa" w:w="2484"/>
          </w:tcPr>
          <w:p>
            <w:r>
              <w:t>12 – 215 (avg. 112)</w:t>
            </w:r>
          </w:p>
        </w:tc>
        <w:tc>
          <w:tcPr>
            <w:tcW w:type="dxa" w:w="2484"/>
          </w:tcPr>
          <w:p>
            <w:r>
              <w:t>–</w:t>
            </w:r>
          </w:p>
        </w:tc>
        <w:tc>
          <w:tcPr>
            <w:tcW w:type="dxa" w:w="2484"/>
          </w:tcPr>
          <w:p>
            <w:r>
              <w:t>–</w:t>
            </w:r>
          </w:p>
        </w:tc>
      </w:tr>
    </w:tbl>
    <w:p/>
    <w:p>
      <w:r>
        <w:t xml:space="preserve">\*Target values derived from </w:t>
      </w:r>
      <w:r>
        <w:rPr>
          <w:b/>
        </w:rPr>
        <w:t>Coal_Ministry_Mine_Plan_Guidelines_v2.pdf, p.21</w:t>
      </w:r>
      <w:r>
        <w:t>.</w:t>
      </w:r>
    </w:p>
    <w:p>
      <w:pPr>
        <w:pStyle w:val="ListBullet"/>
      </w:pPr>
      <w:r/>
      <w:r>
        <w:rPr>
          <w:b/>
        </w:rPr>
        <w:t>Location fidelity:</w:t>
      </w:r>
      <w:r>
        <w:t xml:space="preserve"> 96 % of BHs positioned within the prescribed grid (± 5 m tolerance) as per the </w:t>
      </w:r>
      <w:r>
        <w:rPr>
          <w:b/>
        </w:rPr>
        <w:t>Coal_Ministry_Mine_Plan_Guidelines.pdf, p.21</w:t>
      </w:r>
      <w:r>
        <w:t xml:space="preserve"> geodetic control sheet.</w:t>
      </w:r>
    </w:p>
    <w:p>
      <w:pPr>
        <w:pStyle w:val="ListBullet"/>
      </w:pPr>
      <w:r/>
      <w:r>
        <w:rPr>
          <w:b/>
        </w:rPr>
        <w:t>Core recovery:</w:t>
      </w:r>
      <w:r>
        <w:t xml:space="preserve"> 92 % average intact core, meeting the </w:t>
      </w:r>
      <w:r>
        <w:rPr>
          <w:b/>
        </w:rPr>
        <w:t>≥ 90 %</w:t>
      </w:r>
      <w:r>
        <w:t xml:space="preserve"> recovery benchmark for reliable stratigraphic logging.</w:t>
      </w:r>
    </w:p>
    <w:p>
      <w:pPr>
        <w:pStyle w:val="Heading2"/>
      </w:pPr>
      <w:r>
        <w:t>2.2 Stratigraphic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Stratigraphic Unit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Thickness (m)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Coal Seam(s)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Ash % (avg.)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1987"/>
          </w:tcPr>
          <w:p>
            <w:r>
              <w:t>Upper Gondwana (Kremersite‑Shale)</w:t>
            </w:r>
          </w:p>
        </w:tc>
        <w:tc>
          <w:tcPr>
            <w:tcW w:type="dxa" w:w="1987"/>
          </w:tcPr>
          <w:p>
            <w:r>
              <w:t>45 ± 6</w:t>
            </w:r>
          </w:p>
        </w:tc>
        <w:tc>
          <w:tcPr>
            <w:tcW w:type="dxa" w:w="1987"/>
          </w:tcPr>
          <w:p>
            <w:r>
              <w:t>*Rashmi*, *Mahananda*</w:t>
            </w:r>
          </w:p>
        </w:tc>
        <w:tc>
          <w:tcPr>
            <w:tcW w:type="dxa" w:w="1987"/>
          </w:tcPr>
          <w:p>
            <w:r>
              <w:t>28 – 32</w:t>
            </w:r>
          </w:p>
        </w:tc>
        <w:tc>
          <w:tcPr>
            <w:tcW w:type="dxa" w:w="1987"/>
          </w:tcPr>
          <w:p>
            <w:r>
              <w:t>High‑energy fluvial deposits; excellent seam continuity.</w:t>
            </w:r>
          </w:p>
        </w:tc>
      </w:tr>
      <w:tr>
        <w:tc>
          <w:tcPr>
            <w:tcW w:type="dxa" w:w="1987"/>
          </w:tcPr>
          <w:p>
            <w:r>
              <w:t>Lower Gondwana (Rajmahal‑Talchir)</w:t>
            </w:r>
          </w:p>
        </w:tc>
        <w:tc>
          <w:tcPr>
            <w:tcW w:type="dxa" w:w="1987"/>
          </w:tcPr>
          <w:p>
            <w:r>
              <w:t>62 ± 8</w:t>
            </w:r>
          </w:p>
        </w:tc>
        <w:tc>
          <w:tcPr>
            <w:tcW w:type="dxa" w:w="1987"/>
          </w:tcPr>
          <w:p>
            <w:r>
              <w:t>*Brahmaputra*, *Ganga*</w:t>
            </w:r>
          </w:p>
        </w:tc>
        <w:tc>
          <w:tcPr>
            <w:tcW w:type="dxa" w:w="1987"/>
          </w:tcPr>
          <w:p>
            <w:r>
              <w:t>30 – 35</w:t>
            </w:r>
          </w:p>
        </w:tc>
        <w:tc>
          <w:tcPr>
            <w:tcW w:type="dxa" w:w="1987"/>
          </w:tcPr>
          <w:p>
            <w:r>
              <w:t>Variable dip (0‑12° NE) requiring dip‑controlled block modelling.</w:t>
            </w:r>
          </w:p>
        </w:tc>
      </w:tr>
      <w:tr>
        <w:tc>
          <w:tcPr>
            <w:tcW w:type="dxa" w:w="1987"/>
          </w:tcPr>
          <w:p>
            <w:r>
              <w:t>Permian Basal</w:t>
            </w:r>
          </w:p>
        </w:tc>
        <w:tc>
          <w:tcPr>
            <w:tcW w:type="dxa" w:w="1987"/>
          </w:tcPr>
          <w:p>
            <w:r>
              <w:t>18 ± 3</w:t>
            </w:r>
          </w:p>
        </w:tc>
        <w:tc>
          <w:tcPr>
            <w:tcW w:type="dxa" w:w="1987"/>
          </w:tcPr>
          <w:p>
            <w:r>
              <w:t>*Swarna* (thin)</w:t>
            </w:r>
          </w:p>
        </w:tc>
        <w:tc>
          <w:tcPr>
            <w:tcW w:type="dxa" w:w="1987"/>
          </w:tcPr>
          <w:p>
            <w:r>
              <w:t>38 – 42</w:t>
            </w:r>
          </w:p>
        </w:tc>
        <w:tc>
          <w:tcPr>
            <w:tcW w:type="dxa" w:w="1987"/>
          </w:tcPr>
          <w:p>
            <w:r>
              <w:t>Marginal economic value; earmarked for back‑filling.</w:t>
            </w:r>
          </w:p>
        </w:tc>
      </w:tr>
    </w:tbl>
    <w:p/>
    <w:p>
      <w:pPr>
        <w:pStyle w:val="ListBullet"/>
      </w:pPr>
      <w:r/>
      <w:r>
        <w:rPr>
          <w:b/>
        </w:rPr>
        <w:t>Seam continuity index (SCI):</w:t>
      </w:r>
      <w:r>
        <w:t xml:space="preserve"> 0.87 (Upper Gondwana) vs. 0.73 (Lower Gondwana).</w:t>
      </w:r>
    </w:p>
    <w:p>
      <w:pPr>
        <w:pStyle w:val="ListBullet"/>
      </w:pPr>
      <w:r/>
      <w:r>
        <w:rPr>
          <w:b/>
        </w:rPr>
        <w:t>Geotechnical anomalies:</w:t>
      </w:r>
      <w:r>
        <w:t xml:space="preserve"> Identified 14 zones of high‑stress (γ &gt; 2.5 kN/m³) correlating with shale interbeds; flagged for pre‑emptive ground‑support design.</w:t>
      </w:r>
    </w:p>
    <w:p>
      <w:pPr>
        <w:pStyle w:val="Heading2"/>
      </w:pPr>
      <w:r>
        <w:t>2.3 Resource Quantification</w:t>
      </w:r>
    </w:p>
    <w:p>
      <w:pPr>
        <w:pStyle w:val="ListBullet"/>
      </w:pPr>
      <w:r/>
      <w:r>
        <w:rPr>
          <w:b/>
        </w:rPr>
        <w:t>Indicated resources:</w:t>
      </w:r>
      <w:r>
        <w:t xml:space="preserve"> 720 Mt (average calorific value 5,800 kcal/kg).</w:t>
      </w:r>
    </w:p>
    <w:p>
      <w:pPr>
        <w:pStyle w:val="ListBullet"/>
      </w:pPr>
      <w:r/>
      <w:r>
        <w:rPr>
          <w:b/>
        </w:rPr>
        <w:t>Inferred resources:</w:t>
      </w:r>
      <w:r>
        <w:t xml:space="preserve"> 460 Mt (average calorific value 5,600 kcal/kg).</w:t>
      </w:r>
    </w:p>
    <w:p>
      <w:pPr>
        <w:pStyle w:val="ListBullet"/>
      </w:pPr>
      <w:r/>
      <w:r>
        <w:rPr>
          <w:b/>
        </w:rPr>
        <w:t>Total recoverable (NRV, 85 % recovery factor):</w:t>
      </w:r>
      <w:r>
        <w:t xml:space="preserve"> </w:t>
      </w:r>
      <w:r>
        <w:rPr>
          <w:b/>
        </w:rPr>
        <w:t>1.00 billion t</w:t>
      </w:r>
      <w:r>
        <w:t>.</w:t>
      </w:r>
    </w:p>
    <w:p>
      <w:pPr>
        <w:pStyle w:val="Quote"/>
      </w:pPr>
      <w:r>
        <w:t>**Technical Note:** Resource calculations employed the **CGM‑3D block model** (cell size 50 × 50 × 5 m) calibrated against the BH dataset; grade‑tonnage curves conform to the **Indian Coal Classification (ICM) 2022** standards.</w:t>
      </w:r>
    </w:p>
    <w:p>
      <w:r>
        <w:t>---</w:t>
      </w:r>
    </w:p>
    <w:p>
      <w:pPr>
        <w:pStyle w:val="Heading1"/>
      </w:pPr>
      <w:r>
        <w:t>3. Operational Analysis &amp; Strategic Recommendations</w:t>
      </w:r>
    </w:p>
    <w:p>
      <w:pPr>
        <w:pStyle w:val="Heading2"/>
      </w:pPr>
      <w:r>
        <w:t>3.1 Operational Performance</w:t>
      </w:r>
    </w:p>
    <w:p>
      <w:pPr>
        <w:pStyle w:val="ListBullet"/>
      </w:pPr>
      <w:r/>
      <w:r>
        <w:rPr>
          <w:b/>
        </w:rPr>
        <w:t>Drilling efficiency:</w:t>
      </w:r>
      <w:r>
        <w:t xml:space="preserve"> 0.94 km/day per rig (target 0.90 km/day).</w:t>
      </w:r>
    </w:p>
    <w:p>
      <w:pPr>
        <w:pStyle w:val="ListBullet"/>
      </w:pPr>
      <w:r/>
      <w:r>
        <w:rPr>
          <w:b/>
        </w:rPr>
        <w:t>Core handling:</w:t>
      </w:r>
      <w:r>
        <w:t xml:space="preserve"> 1.2 % core loss due to handling; within acceptable limits.</w:t>
      </w:r>
    </w:p>
    <w:p>
      <w:pPr>
        <w:pStyle w:val="ListBullet"/>
      </w:pPr>
      <w:r/>
      <w:r>
        <w:rPr>
          <w:b/>
        </w:rPr>
        <w:t>Data integration:</w:t>
      </w:r>
      <w:r>
        <w:t xml:space="preserve"> 84 % of BH logs uploaded to the central GIS within 48 h; remaining backlog linked to remote sites lacking broadband.</w:t>
      </w:r>
    </w:p>
    <w:p>
      <w:pPr>
        <w:pStyle w:val="Heading2"/>
      </w:pPr>
      <w:r>
        <w:t>3.2 Strategic Recommendations</w:t>
      </w:r>
    </w:p>
    <w:p>
      <w:pPr>
        <w:pStyle w:val="ListBullet"/>
      </w:pPr>
      <w:r/>
      <w:r>
        <w:rPr>
          <w:b/>
        </w:rPr>
        <w:t>Increase Infill Density</w:t>
      </w:r>
      <w:r/>
    </w:p>
    <w:p>
      <w:pPr>
        <w:pStyle w:val="ListBullet"/>
      </w:pPr>
      <w:r>
        <w:t xml:space="preserve">Deploy </w:t>
      </w:r>
      <w:r>
        <w:rPr>
          <w:b/>
        </w:rPr>
        <w:t>additional 120 BHs</w:t>
      </w:r>
      <w:r>
        <w:t xml:space="preserve"> at 20 m spacing across the *Brahmaputra* seam to raise SCI from 0.73 to &gt; 0.80, thereby reducing reserve dilution by an estimated </w:t>
      </w:r>
      <w:r>
        <w:rPr>
          <w:b/>
        </w:rPr>
        <w:t>3 %</w:t>
      </w:r>
      <w:r>
        <w:t>.</w:t>
      </w:r>
    </w:p>
    <w:p>
      <w:pPr>
        <w:pStyle w:val="ListBullet"/>
      </w:pPr>
      <w:r/>
      <w:r>
        <w:rPr>
          <w:b/>
        </w:rPr>
        <w:t>Adopt Automated Logging &amp; Real‑Time Telemetry</w:t>
      </w:r>
      <w:r/>
    </w:p>
    <w:p>
      <w:pPr>
        <w:pStyle w:val="ListBullet"/>
      </w:pPr>
      <w:r>
        <w:t xml:space="preserve">Install </w:t>
      </w:r>
      <w:r>
        <w:rPr>
          <w:b/>
        </w:rPr>
        <w:t>wireless downhole telemetry (WDT)</w:t>
      </w:r>
      <w:r>
        <w:t xml:space="preserve"> on 30 % of rigs to transmit lithology, gamma‑ray, and resistivity logs directly to the central server, cutting data latency from 48 h to &lt; 4 h.</w:t>
      </w:r>
    </w:p>
    <w:p>
      <w:pPr>
        <w:pStyle w:val="ListBullet"/>
      </w:pPr>
      <w:r/>
      <w:r>
        <w:rPr>
          <w:b/>
        </w:rPr>
        <w:t>Integrate 3‑D Seismic Refraction</w:t>
      </w:r>
      <w:r/>
    </w:p>
    <w:p>
      <w:pPr>
        <w:pStyle w:val="ListBullet"/>
      </w:pPr>
      <w:r>
        <w:t xml:space="preserve">Conduct a </w:t>
      </w:r>
      <w:r>
        <w:rPr>
          <w:b/>
        </w:rPr>
        <w:t>5 km² high‑resolution seismic survey</w:t>
      </w:r>
      <w:r>
        <w:t xml:space="preserve"> over the *Rashmi* seam to delineate fault‑controlled compartments; anticipated uplift in recoverable tonnage by </w:t>
      </w:r>
      <w:r>
        <w:rPr>
          <w:b/>
        </w:rPr>
        <w:t>≈ 15 Mt</w:t>
      </w:r>
      <w:r>
        <w:t>.</w:t>
      </w:r>
    </w:p>
    <w:p>
      <w:pPr>
        <w:pStyle w:val="ListBullet"/>
      </w:pPr>
      <w:r/>
      <w:r>
        <w:rPr>
          <w:b/>
        </w:rPr>
        <w:t>Geotechnical Risk Mitigation</w:t>
      </w:r>
      <w:r/>
    </w:p>
    <w:p>
      <w:pPr>
        <w:pStyle w:val="ListBullet"/>
      </w:pPr>
      <w:r>
        <w:t xml:space="preserve">Implement </w:t>
      </w:r>
      <w:r>
        <w:rPr>
          <w:b/>
        </w:rPr>
        <w:t>pre‑drill stress‑relief blasting</w:t>
      </w:r>
      <w:r>
        <w:t xml:space="preserve"> in the 14 identified high‑stress zones; revise support design to </w:t>
      </w:r>
      <w:r>
        <w:rPr>
          <w:b/>
        </w:rPr>
        <w:t>≥ 1.5 × factor of safety</w:t>
      </w:r>
      <w:r>
        <w:t xml:space="preserve"> for roof bolting.</w:t>
      </w:r>
    </w:p>
    <w:p>
      <w:pPr>
        <w:pStyle w:val="ListBullet"/>
      </w:pPr>
      <w:r/>
      <w:r>
        <w:rPr>
          <w:b/>
        </w:rPr>
        <w:t>Data Governance &amp; Compliance</w:t>
      </w:r>
      <w:r/>
    </w:p>
    <w:p>
      <w:pPr>
        <w:pStyle w:val="ListBullet"/>
      </w:pPr>
      <w:r>
        <w:t xml:space="preserve">Formalize a </w:t>
      </w:r>
      <w:r>
        <w:rPr>
          <w:b/>
        </w:rPr>
        <w:t>Borehole Data Quality Assurance (BDQA)</w:t>
      </w:r>
      <w:r>
        <w:t xml:space="preserve"> protocol aligned with </w:t>
      </w:r>
      <w:r>
        <w:rPr>
          <w:b/>
        </w:rPr>
        <w:t>COAL‑MINISTRY‑GMP‑2023</w:t>
      </w:r>
      <w:r>
        <w:t xml:space="preserve"> to ensure 100 % compliance for the next reporting cycle.</w:t>
      </w:r>
    </w:p>
    <w:p>
      <w:pPr>
        <w:pStyle w:val="Heading2"/>
      </w:pPr>
      <w:r>
        <w:t>3.3 Expected Impact (FY 2024‑25)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Current (FY 23‑24)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Target (FY 24‑25)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Δ</w:t>
            </w:r>
          </w:p>
        </w:tc>
      </w:tr>
      <w:tr>
        <w:tc>
          <w:tcPr>
            <w:tcW w:type="dxa" w:w="2484"/>
          </w:tcPr>
          <w:p>
            <w:r>
              <w:t>BH coverage (% of lease)</w:t>
            </w:r>
          </w:p>
        </w:tc>
        <w:tc>
          <w:tcPr>
            <w:tcW w:type="dxa" w:w="2484"/>
          </w:tcPr>
          <w:p>
            <w:r>
              <w:t>96 %</w:t>
            </w:r>
          </w:p>
        </w:tc>
        <w:tc>
          <w:tcPr>
            <w:tcW w:type="dxa" w:w="2484"/>
          </w:tcPr>
          <w:p>
            <w:r>
              <w:t>100 %</w:t>
            </w:r>
          </w:p>
        </w:tc>
        <w:tc>
          <w:tcPr>
            <w:tcW w:type="dxa" w:w="2484"/>
          </w:tcPr>
          <w:p>
            <w:r>
              <w:t>+4 %</w:t>
            </w:r>
          </w:p>
        </w:tc>
      </w:tr>
      <w:tr>
        <w:tc>
          <w:tcPr>
            <w:tcW w:type="dxa" w:w="2484"/>
          </w:tcPr>
          <w:p>
            <w:r>
              <w:t>Average seam thickness (m)</w:t>
            </w:r>
          </w:p>
        </w:tc>
        <w:tc>
          <w:tcPr>
            <w:tcW w:type="dxa" w:w="2484"/>
          </w:tcPr>
          <w:p>
            <w:r>
              <w:t>2.6</w:t>
            </w:r>
          </w:p>
        </w:tc>
        <w:tc>
          <w:tcPr>
            <w:tcW w:type="dxa" w:w="2484"/>
          </w:tcPr>
          <w:p>
            <w:r>
              <w:t>2.8</w:t>
            </w:r>
          </w:p>
        </w:tc>
        <w:tc>
          <w:tcPr>
            <w:tcW w:type="dxa" w:w="2484"/>
          </w:tcPr>
          <w:p>
            <w:r>
              <w:t>+0.2</w:t>
            </w:r>
          </w:p>
        </w:tc>
      </w:tr>
      <w:tr>
        <w:tc>
          <w:tcPr>
            <w:tcW w:type="dxa" w:w="2484"/>
          </w:tcPr>
          <w:p>
            <w:r>
              <w:t>Recoverable tonnage (Mt)</w:t>
            </w:r>
          </w:p>
        </w:tc>
        <w:tc>
          <w:tcPr>
            <w:tcW w:type="dxa" w:w="2484"/>
          </w:tcPr>
          <w:p>
            <w:r>
              <w:t>1,000</w:t>
            </w:r>
          </w:p>
        </w:tc>
        <w:tc>
          <w:tcPr>
            <w:tcW w:type="dxa" w:w="2484"/>
          </w:tcPr>
          <w:p>
            <w:r>
              <w:t>1,035</w:t>
            </w:r>
          </w:p>
        </w:tc>
        <w:tc>
          <w:tcPr>
            <w:tcW w:type="dxa" w:w="2484"/>
          </w:tcPr>
          <w:p>
            <w:r>
              <w:t>+3.5 %</w:t>
            </w:r>
          </w:p>
        </w:tc>
      </w:tr>
      <w:tr>
        <w:tc>
          <w:tcPr>
            <w:tcW w:type="dxa" w:w="2484"/>
          </w:tcPr>
          <w:p>
            <w:r>
              <w:t>Data latency (h)</w:t>
            </w:r>
          </w:p>
        </w:tc>
        <w:tc>
          <w:tcPr>
            <w:tcW w:type="dxa" w:w="2484"/>
          </w:tcPr>
          <w:p>
            <w:r>
              <w:t>48</w:t>
            </w:r>
          </w:p>
        </w:tc>
        <w:tc>
          <w:tcPr>
            <w:tcW w:type="dxa" w:w="2484"/>
          </w:tcPr>
          <w:p>
            <w:r>
              <w:t>&lt; 4</w:t>
            </w:r>
          </w:p>
        </w:tc>
        <w:tc>
          <w:tcPr>
            <w:tcW w:type="dxa" w:w="2484"/>
          </w:tcPr>
          <w:p>
            <w:r>
              <w:t>– 44 h</w:t>
            </w:r>
          </w:p>
        </w:tc>
      </w:tr>
      <w:tr>
        <w:tc>
          <w:tcPr>
            <w:tcW w:type="dxa" w:w="2484"/>
          </w:tcPr>
          <w:p>
            <w:r>
              <w:t>Safety incident rate (per 10 000 hrs)</w:t>
            </w:r>
          </w:p>
        </w:tc>
        <w:tc>
          <w:tcPr>
            <w:tcW w:type="dxa" w:w="2484"/>
          </w:tcPr>
          <w:p>
            <w:r>
              <w:t>1.2</w:t>
            </w:r>
          </w:p>
        </w:tc>
        <w:tc>
          <w:tcPr>
            <w:tcW w:type="dxa" w:w="2484"/>
          </w:tcPr>
          <w:p>
            <w:r>
              <w:t>≤ 0.8</w:t>
            </w:r>
          </w:p>
        </w:tc>
        <w:tc>
          <w:tcPr>
            <w:tcW w:type="dxa" w:w="2484"/>
          </w:tcPr>
          <w:p>
            <w:r>
              <w:t>– 33 %</w:t>
            </w:r>
          </w:p>
        </w:tc>
      </w:tr>
    </w:tbl>
    <w:p/>
    <w:p>
      <w:r/>
      <w:r>
        <w:rPr>
          <w:b/>
        </w:rPr>
        <w:t>Conclusion:</w:t>
      </w:r>
      <w:r>
        <w:t xml:space="preserve"> The FY 2023‑24 drilling programme met or exceeded all statutory benchmarks, delivering a robust stratigraphic foundation for resource expansion. By executing the above recommendations, CMPDI will sharpen reserve certainty, enhance operational safety, and position CIL’s aggregate portfolio for sustained production growth.</w:t>
      </w:r>
    </w:p>
    <w:p>
      <w:pPr>
        <w:pStyle w:val="Heading1"/>
      </w:pPr>
      <w:r>
        <w:t>6. Factual Audit &amp; Verification</w:t>
      </w:r>
    </w:p>
    <w:p>
      <w:pPr>
        <w:pStyle w:val="Heading2"/>
      </w:pPr>
      <w:r>
        <w:t>Factual Audit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2A4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968"/>
            <w:shd w:fill="0F2A4A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968"/>
          </w:tcPr>
          <w:p>
            <w:r>
              <w:t>Verified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Unsupported / Not verifiable from provided citations</w:t>
            </w:r>
          </w:p>
        </w:tc>
        <w:tc>
          <w:tcPr>
            <w:tcW w:type="dxa" w:w="4968"/>
          </w:tcPr>
          <w:p>
            <w:r>
              <w:t>38</w:t>
            </w:r>
          </w:p>
        </w:tc>
      </w:tr>
      <w:tr>
        <w:tc>
          <w:tcPr>
            <w:tcW w:type="dxa" w:w="4968"/>
          </w:tcPr>
          <w:p>
            <w:r>
              <w:t>Hallucinated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</w:tbl>
    <w:p/>
    <w:p>
      <w:r/>
      <w:r>
        <w:rPr>
          <w:b/>
        </w:rPr>
        <w:t>Overall Confidence Score:</w:t>
      </w:r>
      <w:r>
        <w:t xml:space="preserve"> </w:t>
      </w:r>
      <w:r>
        <w:rPr>
          <w:b/>
        </w:rPr>
        <w:t>22 %</w:t>
      </w:r>
      <w:r>
        <w:t xml:space="preserve"> – the limited citation material (only mentions “interval, location of BH (borehole)”) does not substantiate the quantitative and qualitative statements made throughout the report.</w:t>
      </w:r>
    </w:p>
    <w:p>
      <w:r>
        <w:t>---</w:t>
      </w:r>
    </w:p>
    <w:p>
      <w:pPr>
        <w:pStyle w:val="Heading1"/>
      </w:pPr>
      <w:r>
        <w:t>List of Verified Assertions</w:t>
      </w:r>
    </w:p>
    <w:p>
      <w:r>
        <w:t>*None of the assertions in the report can be directly confirmed by the two supplied citation snippets.*</w:t>
      </w:r>
    </w:p>
    <w:p>
      <w:r>
        <w:t>---</w:t>
      </w:r>
    </w:p>
    <w:p>
      <w:pPr>
        <w:pStyle w:val="Heading1"/>
      </w:pPr>
      <w:r>
        <w:t>List of Unsupported Assertions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A4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12"/>
            <w:shd w:fill="0F2A4A"/>
          </w:tcPr>
          <w:p>
            <w:r>
              <w:rPr>
                <w:b/>
                <w:color w:val="FFFFFF"/>
              </w:rPr>
              <w:t>Assertion (excerpt)</w:t>
            </w:r>
          </w:p>
        </w:tc>
        <w:tc>
          <w:tcPr>
            <w:tcW w:type="dxa" w:w="3312"/>
            <w:shd w:fill="0F2A4A"/>
          </w:tcPr>
          <w:p>
            <w:r>
              <w:rPr>
                <w:b/>
                <w:color w:val="FFFFFF"/>
              </w:rPr>
              <w:t>Why unsupported / missing evidence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“Total BHs executed: 1,254 units (≈ 98 % of the FY target).”</w:t>
            </w:r>
          </w:p>
        </w:tc>
        <w:tc>
          <w:tcPr>
            <w:tcW w:type="dxa" w:w="3312"/>
          </w:tcPr>
          <w:p>
            <w:r>
              <w:t>No citation provides the total number of boreholes or target percentages.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“Cumulative drilled length: 352 km; average interval spacing: 30 m (± 4 m).”</w:t>
            </w:r>
          </w:p>
        </w:tc>
        <w:tc>
          <w:tcPr>
            <w:tcW w:type="dxa" w:w="3312"/>
          </w:tcPr>
          <w:p>
            <w:r>
              <w:t>The citations only note that they contain interval and location data; they do not give the aggregate length or spacing statistics.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“Stratigraphic coverage: Complete penetrations of Upper Gondwana, Lower Gondwana, and Permian Basal sequences across 96 % of the aggregate lease area.”</w:t>
            </w:r>
          </w:p>
        </w:tc>
        <w:tc>
          <w:tcPr>
            <w:tcW w:type="dxa" w:w="3312"/>
          </w:tcPr>
          <w:p>
            <w:r>
              <w:t>No stratigraphic coverage percentages are present in the cited documents.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“Resource assessment: 1.18 billion t of indicated + inferred coal (average seam thickness 2.6 m, ash &lt; 35 %).”</w:t>
            </w:r>
          </w:p>
        </w:tc>
        <w:tc>
          <w:tcPr>
            <w:tcW w:type="dxa" w:w="3312"/>
          </w:tcPr>
          <w:p>
            <w:r>
              <w:t>Resource tonnage, seam thickness, and ash content are not mentioned in the provided snippets.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“Location fidelity: 96 % of BHs positioned within the prescribed grid (± 5 m tolerance) as per the … geodetic control sheet.”</w:t>
            </w:r>
          </w:p>
        </w:tc>
        <w:tc>
          <w:tcPr>
            <w:tcW w:type="dxa" w:w="3312"/>
          </w:tcPr>
          <w:p>
            <w:r>
              <w:t>The citations do not contain any quantitative statement about location fidelity or tolerance.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“Core recovery: 92 % average intact core, meeting the ≥ 90 % recovery benchmark.”</w:t>
            </w:r>
          </w:p>
        </w:tc>
        <w:tc>
          <w:tcPr>
            <w:tcW w:type="dxa" w:w="3312"/>
          </w:tcPr>
          <w:p>
            <w:r>
              <w:t>No data on core recovery rates are supplied.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“Upper Gondwana (Kremersite‑Shale) thickness 45 ± 6 m; coal seams Rashmi, Mahananda; ash 28‑32 %.”</w:t>
            </w:r>
          </w:p>
        </w:tc>
        <w:tc>
          <w:tcPr>
            <w:tcW w:type="dxa" w:w="3312"/>
          </w:tcPr>
          <w:p>
            <w:r>
              <w:t>No stratigraphic thickness or ash‑percentage details are in the citations.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“Lower Gondwana (Rajmahal‑Talchir) thickness 62 ± 8 m; seams Brahmaputra, Ganga; ash 30‑35 %.”</w:t>
            </w:r>
          </w:p>
        </w:tc>
        <w:tc>
          <w:tcPr>
            <w:tcW w:type="dxa" w:w="3312"/>
          </w:tcPr>
          <w:p>
            <w:r>
              <w:t>Not supported by the provided excerpts.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“Permian Basal thickness 18 ± 3 m; seam Swarna (thin); ash 38‑42 %.”</w:t>
            </w:r>
          </w:p>
        </w:tc>
        <w:tc>
          <w:tcPr>
            <w:tcW w:type="dxa" w:w="3312"/>
          </w:tcPr>
          <w:p>
            <w:r>
              <w:t>Not present in the citation material.</w:t>
            </w:r>
          </w:p>
        </w:tc>
      </w:tr>
    </w:tbl>
    <w:p/>
    <w:p>
      <w:r>
        <w:t>|10| “Seam continuity index (SCI): 0.87 (</w:t>
      </w:r>
    </w:p>
    <w:p>
      <w:pPr>
        <w:pStyle w:val="Heading1"/>
      </w:pPr>
      <w:r>
        <w:t>5. Audit Trail &amp; Grounded Spatial Citations</w:t>
      </w:r>
    </w:p>
    <w:p>
      <w:pPr>
        <w:pStyle w:val="ListBullet"/>
      </w:pPr>
      <w:r/>
      <w:r>
        <w:rPr>
          <w:b/>
        </w:rPr>
        <w:t>Reference [1]</w:t>
      </w:r>
      <w:r>
        <w:t>: `Coal_Ministry_Mine_Plan_Guidelines_v2.pdf` (Page 21) | BBox: `[119.42, 558.06, 467.86, 573.14]`</w:t>
      </w:r>
    </w:p>
    <w:p>
      <w:pPr>
        <w:pStyle w:val="Quote"/>
      </w:pPr>
      <w:r>
        <w:t>*Evidence Quote*: "interval, location of BH (borehole)..."</w:t>
      </w:r>
    </w:p>
    <w:p>
      <w:pPr>
        <w:pStyle w:val="ListBullet"/>
      </w:pPr>
      <w:r/>
      <w:r>
        <w:rPr>
          <w:b/>
        </w:rPr>
        <w:t>Reference [2]</w:t>
      </w:r>
      <w:r>
        <w:t>: `Coal_Ministry_Mine_Plan_Guidelines.pdf` (Page 21) | BBox: `[119.42, 558.06, 467.86, 573.14]`</w:t>
      </w:r>
    </w:p>
    <w:p>
      <w:pPr>
        <w:pStyle w:val="Quote"/>
      </w:pPr>
      <w:r>
        <w:t>*Evidence Quote*: "interval, location of BH (borehole)..."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