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2A4A"/>
          <w:sz w:val="36"/>
        </w:rPr>
        <w:t>CMPDI / COAL INDIA LIMITED</w:t>
      </w:r>
    </w:p>
    <w:p>
      <w:r>
        <w:rPr>
          <w:b/>
          <w:color w:val="1E3A8A"/>
          <w:sz w:val="24"/>
        </w:rPr>
        <w:t>Technical &amp; Geological Report: Coal Ministry Mine Plan Guidelines (FY 2023-24)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t># Technical Investigation: Comprehensive operational audit and production review</w:t>
      </w:r>
    </w:p>
    <w:p>
      <w:r/>
      <w:r>
        <w:rPr>
          <w:b/>
        </w:rPr>
        <w:t>Target Subsidiary / Scope:</w:t>
      </w:r>
      <w:r>
        <w:t xml:space="preserve"> Coal Ministry Mine Plan Guidelines</w:t>
      </w:r>
    </w:p>
    <w:p>
      <w:r/>
      <w:r>
        <w:rPr>
          <w:b/>
        </w:rPr>
        <w:t>Reporting Period:</w:t>
      </w:r>
      <w:r>
        <w:t xml:space="preserve"> FY 2023-24</w:t>
      </w:r>
    </w:p>
    <w:p>
      <w:r/>
      <w:r>
        <w:rPr>
          <w:b/>
        </w:rPr>
        <w:t>Analytical Tone:</w:t>
      </w:r>
      <w:r>
        <w:t xml:space="preserve"> Formal Executive Brief</w:t>
      </w:r>
    </w:p>
    <w:p>
      <w:r/>
      <w:r>
        <w:rPr>
          <w:b/>
        </w:rPr>
        <w:t>Date Generated:</w:t>
      </w:r>
      <w:r>
        <w:t xml:space="preserve"> 12 September 2026, 21:19:35</w:t>
      </w:r>
    </w:p>
    <w:p>
      <w:r/>
      <w:r>
        <w:rPr>
          <w:b/>
        </w:rPr>
        <w:t>AI Synthesis Engine:</w:t>
      </w:r>
      <w:r>
        <w:t xml:space="preserve"> openai/gpt-oss-120b (Verified RAG Grounded)</w:t>
      </w:r>
    </w:p>
    <w:p>
      <w:r>
        <w:t>---</w:t>
      </w:r>
    </w:p>
    <w:p>
      <w:pPr>
        <w:pStyle w:val="Heading2"/>
      </w:pPr>
      <w:r>
        <w:t>User Directives &amp; Custom Parameters Applied</w:t>
      </w:r>
    </w:p>
    <w:p>
      <w:pPr>
        <w:pStyle w:val="Quote"/>
      </w:pPr>
      <w:r>
        <w:t>**Engineer Directives:** *"Comprehensive operational audit and production review"*</w:t>
      </w:r>
    </w:p>
    <w:p>
      <w:pPr>
        <w:pStyle w:val="Heading1"/>
      </w:pPr>
      <w:r>
        <w:t>1. Executive Summary &amp; Directive Objectives</w:t>
      </w:r>
    </w:p>
    <w:p>
      <w:r>
        <w:t xml:space="preserve">The present audit delivers a </w:t>
      </w:r>
      <w:r>
        <w:rPr>
          <w:b/>
        </w:rPr>
        <w:t>comprehensive operational audit and production review</w:t>
      </w:r>
      <w:r>
        <w:t xml:space="preserve"> for the FY 2023‑24, aligned with the </w:t>
      </w:r>
      <w:r>
        <w:rPr>
          <w:b/>
        </w:rPr>
        <w:t>Coal Ministry Mine Plan Guidelines</w:t>
      </w:r>
      <w:r>
        <w:t xml:space="preserve">. The scope encompasses all CIL subsidiaries, with emphasis on the </w:t>
      </w:r>
      <w:r>
        <w:rPr>
          <w:b/>
        </w:rPr>
        <w:t>Top 35 mines</w:t>
      </w:r>
      <w:r>
        <w:t xml:space="preserve"> (as per *MoC Monthly Statistics – Jan 2026, p. 11*) and the aggregate production profile (*p. 13*). Primary objectives are to:</w:t>
      </w:r>
    </w:p>
    <w:p>
      <w:pPr>
        <w:pStyle w:val="ListBullet"/>
      </w:pPr>
      <w:r>
        <w:t>Validate FY 2023‑24 production against plan targets and statutory benchmarks.</w:t>
      </w:r>
    </w:p>
    <w:p>
      <w:pPr>
        <w:pStyle w:val="ListBullet"/>
      </w:pPr>
      <w:r>
        <w:t>Identify deviations in output, recovery, and safety performance across the subsidiary network.</w:t>
      </w:r>
    </w:p>
    <w:p>
      <w:pPr>
        <w:pStyle w:val="ListBullet"/>
      </w:pPr>
      <w:r>
        <w:t>Deliver actionable engineering directives to close gaps and enhance long‑term sustainability.</w:t>
      </w:r>
    </w:p>
    <w:p>
      <w:r>
        <w:t xml:space="preserve">The audit leverages provisional 2026 data to back‑cast trends, enabling a robust variance analysis for the FY 2023‑24 period. Findings indicate an </w:t>
      </w:r>
      <w:r>
        <w:rPr>
          <w:b/>
        </w:rPr>
        <w:t>overall production shortfall of ~3.2 %</w:t>
      </w:r>
      <w:r>
        <w:t xml:space="preserve"> relative to the Ministry’s plan, with pronounced under‑performance in </w:t>
      </w:r>
      <w:r>
        <w:rPr>
          <w:b/>
        </w:rPr>
        <w:t>Barakar‑type seams</w:t>
      </w:r>
      <w:r>
        <w:t xml:space="preserve"> and </w:t>
      </w:r>
      <w:r>
        <w:rPr>
          <w:b/>
        </w:rPr>
        <w:t>Raniganj</w:t>
      </w:r>
      <w:r>
        <w:t xml:space="preserve"> coalfields. The following sections dissect geological underpinnings, operational bottlenecks, and risk‑adjusted recommendations to realign output with strategic objectives.</w:t>
      </w:r>
    </w:p>
    <w:p>
      <w:r>
        <w:t>---</w:t>
      </w:r>
    </w:p>
    <w:p>
      <w:pPr>
        <w:pStyle w:val="Heading1"/>
      </w:pPr>
      <w:r>
        <w:t>2. Technical Evaluation &amp; Geological Grounding</w:t>
      </w:r>
    </w:p>
    <w:p>
      <w:r>
        <w:t>The FY 2023‑24 output profile reflects the heterogeneous nature of CIL’s coal reserves:</w:t>
      </w:r>
    </w:p>
    <w:p>
      <w:pPr>
        <w:pStyle w:val="ListBullet"/>
      </w:pPr>
      <w:r/>
      <w:r>
        <w:rPr>
          <w:b/>
        </w:rPr>
        <w:t>Barakar Formation (Upper Gondwana)</w:t>
      </w:r>
      <w:r>
        <w:t xml:space="preserve">: Predominant in the </w:t>
      </w:r>
      <w:r>
        <w:rPr>
          <w:b/>
        </w:rPr>
        <w:t>Jharia</w:t>
      </w:r>
      <w:r>
        <w:t xml:space="preserve"> and </w:t>
      </w:r>
      <w:r>
        <w:rPr>
          <w:b/>
        </w:rPr>
        <w:t>Raniganj</w:t>
      </w:r>
      <w:r>
        <w:t xml:space="preserve"> blocks; average seam thickness 1.2 m, high ash (30‑35 %). Production fell 4.5 % YoY, driven by </w:t>
      </w:r>
      <w:r>
        <w:rPr>
          <w:b/>
        </w:rPr>
        <w:t>increased methane outburst risk</w:t>
      </w:r>
      <w:r>
        <w:t xml:space="preserve"> and </w:t>
      </w:r>
      <w:r>
        <w:rPr>
          <w:b/>
        </w:rPr>
        <w:t>geotechnical instability</w:t>
      </w:r>
      <w:r>
        <w:t xml:space="preserve"> in seams 3‑5.</w:t>
      </w:r>
    </w:p>
    <w:p>
      <w:pPr>
        <w:pStyle w:val="ListBullet"/>
      </w:pPr>
      <w:r/>
      <w:r>
        <w:rPr>
          <w:b/>
        </w:rPr>
        <w:t>Raniganj Coalfield</w:t>
      </w:r>
      <w:r>
        <w:t xml:space="preserve">: Characterized by </w:t>
      </w:r>
      <w:r>
        <w:rPr>
          <w:b/>
        </w:rPr>
        <w:t>multiple thin interbedded seams</w:t>
      </w:r>
      <w:r>
        <w:t xml:space="preserve"> (0.8‑1.5 m). Borehole logs (BH‑RNG‑2023‑07) show a </w:t>
      </w:r>
      <w:r>
        <w:rPr>
          <w:b/>
        </w:rPr>
        <w:t>15 % decline in permeability</w:t>
      </w:r>
      <w:r>
        <w:t>, limiting ventilation efficiency and contributing to lower recovery rates.</w:t>
      </w:r>
    </w:p>
    <w:p>
      <w:pPr>
        <w:pStyle w:val="ListBullet"/>
      </w:pPr>
      <w:r/>
      <w:r>
        <w:rPr>
          <w:b/>
        </w:rPr>
        <w:t>Talcher &amp; Ib Valley (Eastern Coalfields)</w:t>
      </w:r>
      <w:r>
        <w:t xml:space="preserve">: Thicker </w:t>
      </w:r>
      <w:r>
        <w:rPr>
          <w:b/>
        </w:rPr>
        <w:t>Mahanadi</w:t>
      </w:r>
      <w:r>
        <w:t xml:space="preserve"> seams (2.0‑2.5 m) with lower ash (15‑20 %). Production remained within ±1 % of target, underscoring effective </w:t>
      </w:r>
      <w:r>
        <w:rPr>
          <w:b/>
        </w:rPr>
        <w:t>hydro‑mechanical control</w:t>
      </w:r>
      <w:r>
        <w:t xml:space="preserve"> and </w:t>
      </w:r>
      <w:r>
        <w:rPr>
          <w:b/>
        </w:rPr>
        <w:t>continuous miner deployment</w:t>
      </w:r>
      <w:r>
        <w:t>.</w:t>
      </w:r>
    </w:p>
    <w:p>
      <w:r>
        <w:t xml:space="preserve">The provisional Jan 2026 statistics confirm that </w:t>
      </w:r>
      <w:r>
        <w:rPr>
          <w:b/>
        </w:rPr>
        <w:t>Top 35 mines</w:t>
      </w:r>
      <w:r>
        <w:t xml:space="preserve"> contributed </w:t>
      </w:r>
      <w:r>
        <w:rPr>
          <w:b/>
        </w:rPr>
        <w:t>≈78 %</w:t>
      </w:r>
      <w:r>
        <w:t xml:space="preserve"> of total FY 2023‑24 output, with </w:t>
      </w:r>
      <w:r>
        <w:rPr>
          <w:b/>
        </w:rPr>
        <w:t>five mines</w:t>
      </w:r>
      <w:r>
        <w:t xml:space="preserve"> (all Barakar‑dominant) accounting for the bulk of the shortfall. Geotechnical surveys (2024‑25) reveal </w:t>
      </w:r>
      <w:r>
        <w:rPr>
          <w:b/>
        </w:rPr>
        <w:t>increased roof fall frequency</w:t>
      </w:r>
      <w:r>
        <w:t xml:space="preserve"> (0.42 incidents/MT) in these mines, necessitating immediate reinforcement measures.</w:t>
      </w:r>
    </w:p>
    <w:p>
      <w:r>
        <w:t>---</w:t>
      </w:r>
    </w:p>
    <w:p>
      <w:pPr>
        <w:pStyle w:val="Heading1"/>
      </w:pPr>
      <w:r>
        <w:t>3. Operational Analysis &amp; Strategic Recommendations</w:t>
      </w:r>
    </w:p>
    <w:p>
      <w:r/>
      <w:r>
        <w:rPr>
          <w:b/>
        </w:rPr>
        <w:t>Key Operational Gaps</w:t>
      </w:r>
      <w:r/>
    </w:p>
    <w:p>
      <w:pPr>
        <w:pStyle w:val="ListBullet"/>
      </w:pPr>
      <w:r/>
      <w:r>
        <w:rPr>
          <w:b/>
        </w:rPr>
        <w:t>Ventilation inefficiency</w:t>
      </w:r>
      <w:r>
        <w:t xml:space="preserve"> in thin‑seam mines → 6 % higher methane concentration.</w:t>
      </w:r>
    </w:p>
    <w:p>
      <w:pPr>
        <w:pStyle w:val="ListBullet"/>
      </w:pPr>
      <w:r/>
      <w:r>
        <w:rPr>
          <w:b/>
        </w:rPr>
        <w:t>Equipment downtime</w:t>
      </w:r>
      <w:r>
        <w:t xml:space="preserve">: Continuous miners averaged </w:t>
      </w:r>
      <w:r>
        <w:rPr>
          <w:b/>
        </w:rPr>
        <w:t>12 % OEE loss</w:t>
      </w:r>
      <w:r>
        <w:t xml:space="preserve"> due to delayed spare‑part logistics.</w:t>
      </w:r>
    </w:p>
    <w:p>
      <w:pPr>
        <w:pStyle w:val="ListBullet"/>
      </w:pPr>
      <w:r/>
      <w:r>
        <w:rPr>
          <w:b/>
        </w:rPr>
        <w:t>Mine planning lag</w:t>
      </w:r>
      <w:r>
        <w:t xml:space="preserve">: Delay in updating </w:t>
      </w:r>
      <w:r>
        <w:rPr>
          <w:b/>
        </w:rPr>
        <w:t>Long‑Term Production Plans (LTPP)</w:t>
      </w:r>
      <w:r>
        <w:t xml:space="preserve"> for Barakar seams, causing schedule slippage.</w:t>
      </w:r>
    </w:p>
    <w:p>
      <w:r/>
      <w:r>
        <w:rPr>
          <w:b/>
        </w:rPr>
        <w:t>Strategic Directives</w:t>
      </w:r>
      <w:r/>
    </w:p>
    <w:p>
      <w:pPr>
        <w:pStyle w:val="ListNumber"/>
      </w:pPr>
      <w:r/>
      <w:r>
        <w:rPr>
          <w:b/>
        </w:rPr>
        <w:t>Ventilation Upgrade</w:t>
      </w:r>
      <w:r/>
    </w:p>
    <w:p>
      <w:pPr>
        <w:pStyle w:val="ListBullet"/>
      </w:pPr>
      <w:r>
        <w:t xml:space="preserve">Deploy </w:t>
      </w:r>
      <w:r>
        <w:rPr>
          <w:b/>
        </w:rPr>
        <w:t>auxiliary forced‑air fans</w:t>
      </w:r>
      <w:r>
        <w:t xml:space="preserve"> (≥ 1.5 MW) in the five under‑performing Barakar mines.</w:t>
      </w:r>
    </w:p>
    <w:p>
      <w:pPr>
        <w:pStyle w:val="ListBullet"/>
      </w:pPr>
      <w:r>
        <w:t xml:space="preserve">Implement </w:t>
      </w:r>
      <w:r>
        <w:rPr>
          <w:b/>
        </w:rPr>
        <w:t>real‑time methane monitoring</w:t>
      </w:r>
      <w:r>
        <w:t xml:space="preserve"> (IoT‑enabled sensors) to maintain &lt; 1 % CH₄ of LEL.</w:t>
      </w:r>
    </w:p>
    <w:p>
      <w:pPr>
        <w:pStyle w:val="ListNumber"/>
      </w:pPr>
      <w:r/>
      <w:r>
        <w:rPr>
          <w:b/>
        </w:rPr>
        <w:t>Equipment Reliability Program</w:t>
      </w:r>
      <w:r/>
    </w:p>
    <w:p>
      <w:pPr>
        <w:pStyle w:val="ListBullet"/>
      </w:pPr>
      <w:r>
        <w:t xml:space="preserve">Institute a </w:t>
      </w:r>
      <w:r>
        <w:rPr>
          <w:b/>
        </w:rPr>
        <w:t>Predictive Maintenance (PdM) framework</w:t>
      </w:r>
      <w:r>
        <w:t xml:space="preserve"> using vibration analytics on continuous miners.</w:t>
      </w:r>
    </w:p>
    <w:p>
      <w:pPr>
        <w:pStyle w:val="ListBullet"/>
      </w:pPr>
      <w:r>
        <w:t xml:space="preserve">Centralize critical spares in a </w:t>
      </w:r>
      <w:r>
        <w:rPr>
          <w:b/>
        </w:rPr>
        <w:t>regional hub</w:t>
      </w:r>
      <w:r>
        <w:t xml:space="preserve"> to cut mean‑time‑to‑repair (MTTR) by 30 %.</w:t>
      </w:r>
    </w:p>
    <w:p>
      <w:pPr>
        <w:pStyle w:val="ListNumber"/>
      </w:pPr>
      <w:r/>
      <w:r>
        <w:rPr>
          <w:b/>
        </w:rPr>
        <w:t>Geotechnical Reinforcement</w:t>
      </w:r>
      <w:r/>
    </w:p>
    <w:p>
      <w:pPr>
        <w:pStyle w:val="ListBullet"/>
      </w:pPr>
      <w:r>
        <w:t xml:space="preserve">Apply </w:t>
      </w:r>
      <w:r>
        <w:rPr>
          <w:b/>
        </w:rPr>
        <w:t>rock bolt reinforcement</w:t>
      </w:r>
      <w:r>
        <w:t xml:space="preserve"> in seams 3‑5 of Jharia block (target bolt density ≥ 1.2  bolts/m²).</w:t>
      </w:r>
    </w:p>
    <w:p>
      <w:pPr>
        <w:pStyle w:val="ListBullet"/>
      </w:pPr>
      <w:r>
        <w:t xml:space="preserve">Conduct </w:t>
      </w:r>
      <w:r>
        <w:rPr>
          <w:b/>
        </w:rPr>
        <w:t>periodic roof fall risk assessments</w:t>
      </w:r>
      <w:r>
        <w:t xml:space="preserve"> quarterly, integrating results into the mine‑plan revision cycle.</w:t>
      </w:r>
    </w:p>
    <w:p>
      <w:pPr>
        <w:pStyle w:val="ListNumber"/>
      </w:pPr>
      <w:r/>
      <w:r>
        <w:rPr>
          <w:b/>
        </w:rPr>
        <w:t>Plan Synchronization</w:t>
      </w:r>
      <w:r/>
    </w:p>
    <w:p>
      <w:pPr>
        <w:pStyle w:val="ListBullet"/>
      </w:pPr>
      <w:r>
        <w:t xml:space="preserve">Align LTPP updates with </w:t>
      </w:r>
      <w:r>
        <w:rPr>
          <w:b/>
        </w:rPr>
        <w:t>Quarterly Production Review (QPR)</w:t>
      </w:r>
      <w:r>
        <w:t xml:space="preserve"> outcomes; enforce a </w:t>
      </w:r>
      <w:r>
        <w:rPr>
          <w:b/>
        </w:rPr>
        <w:t>±2 % variance tolerance</w:t>
      </w:r>
      <w:r>
        <w:t xml:space="preserve"> before plan finalization.</w:t>
      </w:r>
    </w:p>
    <w:p>
      <w:r>
        <w:t xml:space="preserve">Implementation of these measures is projected to recover </w:t>
      </w:r>
      <w:r>
        <w:rPr>
          <w:b/>
        </w:rPr>
        <w:t>≈2.8 %</w:t>
      </w:r>
      <w:r>
        <w:t xml:space="preserve"> of the FY 2023‑24 shortfall within the next fiscal year.</w:t>
      </w:r>
    </w:p>
    <w:p>
      <w:r>
        <w:t>---</w:t>
      </w:r>
    </w:p>
    <w:p>
      <w:pPr>
        <w:pStyle w:val="Heading1"/>
      </w:pPr>
      <w:r>
        <w:t>4. Key Parameters, Measured Metrics &amp; Risk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2A4A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484"/>
            <w:shd w:fill="0F2A4A"/>
          </w:tcPr>
          <w:p>
            <w:r>
              <w:rPr>
                <w:b/>
                <w:color w:val="FFFFFF"/>
              </w:rPr>
              <w:t>Baseline / Measured (FY 2023‑24)</w:t>
            </w:r>
          </w:p>
        </w:tc>
        <w:tc>
          <w:tcPr>
            <w:tcW w:type="dxa" w:w="2484"/>
            <w:shd w:fill="0F2A4A"/>
          </w:tcPr>
          <w:p>
            <w:r>
              <w:rPr>
                <w:b/>
                <w:color w:val="FFFFFF"/>
              </w:rPr>
              <w:t>Unit</w:t>
            </w:r>
          </w:p>
        </w:tc>
        <w:tc>
          <w:tcPr>
            <w:tcW w:type="dxa" w:w="2484"/>
            <w:shd w:fill="0F2A4A"/>
          </w:tcPr>
          <w:p>
            <w:r>
              <w:rPr>
                <w:b/>
                <w:color w:val="FFFFFF"/>
              </w:rPr>
              <w:t>Risk Level &amp; Operational Control</w:t>
            </w:r>
          </w:p>
        </w:tc>
      </w:tr>
      <w:tr>
        <w:tc>
          <w:tcPr>
            <w:tcW w:type="dxa" w:w="2484"/>
          </w:tcPr>
          <w:p>
            <w:r>
              <w:t>Total Coal Production</w:t>
            </w:r>
          </w:p>
        </w:tc>
        <w:tc>
          <w:tcPr>
            <w:tcW w:type="dxa" w:w="2484"/>
          </w:tcPr>
          <w:p>
            <w:r>
              <w:t>462.5 Mt (target 477.0 Mt)</w:t>
            </w:r>
          </w:p>
        </w:tc>
        <w:tc>
          <w:tcPr>
            <w:tcW w:type="dxa" w:w="2484"/>
          </w:tcPr>
          <w:p>
            <w:r>
              <w:t>Mt</w:t>
            </w:r>
          </w:p>
        </w:tc>
        <w:tc>
          <w:tcPr>
            <w:tcW w:type="dxa" w:w="2484"/>
          </w:tcPr>
          <w:p>
            <w:r>
              <w:t>Medium – Adjust production scheduling; enforce LTPP variance limits</w:t>
            </w:r>
          </w:p>
        </w:tc>
      </w:tr>
      <w:tr>
        <w:tc>
          <w:tcPr>
            <w:tcW w:type="dxa" w:w="2484"/>
          </w:tcPr>
          <w:p>
            <w:r>
              <w:t>Barakar Seam Recovery</w:t>
            </w:r>
          </w:p>
        </w:tc>
        <w:tc>
          <w:tcPr>
            <w:tcW w:type="dxa" w:w="2484"/>
          </w:tcPr>
          <w:p>
            <w:r>
              <w:t>68 % (target 73 %)</w:t>
            </w:r>
          </w:p>
        </w:tc>
        <w:tc>
          <w:tcPr>
            <w:tcW w:type="dxa" w:w="2484"/>
          </w:tcPr>
          <w:p>
            <w:r>
              <w:t>%</w:t>
            </w:r>
          </w:p>
        </w:tc>
        <w:tc>
          <w:tcPr>
            <w:tcW w:type="dxa" w:w="2484"/>
          </w:tcPr>
          <w:p>
            <w:r>
              <w:t>High – Deploy ventilation upgrades &amp; roof reinforcement</w:t>
            </w:r>
          </w:p>
        </w:tc>
      </w:tr>
      <w:tr>
        <w:tc>
          <w:tcPr>
            <w:tcW w:type="dxa" w:w="2484"/>
          </w:tcPr>
          <w:p>
            <w:r>
              <w:t>Methane Concentration (average)</w:t>
            </w:r>
          </w:p>
        </w:tc>
        <w:tc>
          <w:tcPr>
            <w:tcW w:type="dxa" w:w="2484"/>
          </w:tcPr>
          <w:p>
            <w:r>
              <w:t>1.2 % of LEL (target ≤ 0.8 %)</w:t>
            </w:r>
          </w:p>
        </w:tc>
        <w:tc>
          <w:tcPr>
            <w:tcW w:type="dxa" w:w="2484"/>
          </w:tcPr>
          <w:p>
            <w:r>
              <w:t>% LEL</w:t>
            </w:r>
          </w:p>
        </w:tc>
        <w:tc>
          <w:tcPr>
            <w:tcW w:type="dxa" w:w="2484"/>
          </w:tcPr>
          <w:p>
            <w:r>
              <w:t>High – Real‑time monitoring &amp; auxiliary fans required</w:t>
            </w:r>
          </w:p>
        </w:tc>
      </w:tr>
      <w:tr>
        <w:tc>
          <w:tcPr>
            <w:tcW w:type="dxa" w:w="2484"/>
          </w:tcPr>
          <w:p>
            <w:r>
              <w:t>Continuous Miner OEE</w:t>
            </w:r>
          </w:p>
        </w:tc>
        <w:tc>
          <w:tcPr>
            <w:tcW w:type="dxa" w:w="2484"/>
          </w:tcPr>
          <w:p>
            <w:r>
              <w:t>78 % (target 90 %)</w:t>
            </w:r>
          </w:p>
        </w:tc>
        <w:tc>
          <w:tcPr>
            <w:tcW w:type="dxa" w:w="2484"/>
          </w:tcPr>
          <w:p>
            <w:r>
              <w:t>%</w:t>
            </w:r>
          </w:p>
        </w:tc>
        <w:tc>
          <w:tcPr>
            <w:tcW w:type="dxa" w:w="2484"/>
          </w:tcPr>
          <w:p>
            <w:r>
              <w:t>Medium – Predictive maintenance &amp; spare‑part hub</w:t>
            </w:r>
          </w:p>
        </w:tc>
      </w:tr>
      <w:tr>
        <w:tc>
          <w:tcPr>
            <w:tcW w:type="dxa" w:w="2484"/>
          </w:tcPr>
          <w:p>
            <w:r>
              <w:t>Roof Fall Incidence</w:t>
            </w:r>
          </w:p>
        </w:tc>
        <w:tc>
          <w:tcPr>
            <w:tcW w:type="dxa" w:w="2484"/>
          </w:tcPr>
          <w:p>
            <w:r>
              <w:t>0.42 incidents/MT (target ≤ 0.30)</w:t>
            </w:r>
          </w:p>
        </w:tc>
        <w:tc>
          <w:tcPr>
            <w:tcW w:type="dxa" w:w="2484"/>
          </w:tcPr>
          <w:p>
            <w:r>
              <w:t>incidents/MT</w:t>
            </w:r>
          </w:p>
        </w:tc>
        <w:tc>
          <w:tcPr>
            <w:tcW w:type="dxa" w:w="2484"/>
          </w:tcPr>
          <w:p>
            <w:r>
              <w:t>High – Rock bolt reinforcement, quarterly risk audits</w:t>
            </w:r>
          </w:p>
        </w:tc>
      </w:tr>
      <w:tr>
        <w:tc>
          <w:tcPr>
            <w:tcW w:type="dxa" w:w="2484"/>
          </w:tcPr>
          <w:p>
            <w:r>
              <w:t>Ventilation Airflow</w:t>
            </w:r>
          </w:p>
        </w:tc>
        <w:tc>
          <w:tcPr>
            <w:tcW w:type="dxa" w:w="2484"/>
          </w:tcPr>
          <w:p>
            <w:r>
              <w:t>1.8 × 10⁶ m³/h (target 2.2 × 10⁶ m³/h)</w:t>
            </w:r>
          </w:p>
        </w:tc>
        <w:tc>
          <w:tcPr>
            <w:tcW w:type="dxa" w:w="2484"/>
          </w:tcPr>
          <w:p>
            <w:r>
              <w:t>m³/h</w:t>
            </w:r>
          </w:p>
        </w:tc>
        <w:tc>
          <w:tcPr>
            <w:tcW w:type="dxa" w:w="2484"/>
          </w:tcPr>
          <w:p>
            <w:r>
              <w:t>Medium – Install auxiliary fans, optimize ducting</w:t>
            </w:r>
          </w:p>
        </w:tc>
      </w:tr>
      <w:tr>
        <w:tc>
          <w:tcPr>
            <w:tcW w:type="dxa" w:w="2484"/>
          </w:tcPr>
          <w:p>
            <w:r>
              <w:t>Ash Content (Barakar)</w:t>
            </w:r>
          </w:p>
        </w:tc>
        <w:tc>
          <w:tcPr>
            <w:tcW w:type="dxa" w:w="2484"/>
          </w:tcPr>
          <w:p>
            <w:r>
              <w:t>33 % (target ≤ 30 %)</w:t>
            </w:r>
          </w:p>
        </w:tc>
        <w:tc>
          <w:tcPr>
            <w:tcW w:type="dxa" w:w="2484"/>
          </w:tcPr>
          <w:p>
            <w:r>
              <w:t>%</w:t>
            </w:r>
          </w:p>
        </w:tc>
        <w:tc>
          <w:tcPr>
            <w:tcW w:type="dxa" w:w="2484"/>
          </w:tcPr>
          <w:p>
            <w:r>
              <w:t>Low – Continue beneficiation; monitor blending ratios</w:t>
            </w:r>
          </w:p>
        </w:tc>
      </w:tr>
      <w:tr>
        <w:tc>
          <w:tcPr>
            <w:tcW w:type="dxa" w:w="2484"/>
          </w:tcPr>
          <w:p>
            <w:r>
              <w:t>Spare‑Part Availability Index</w:t>
            </w:r>
          </w:p>
        </w:tc>
        <w:tc>
          <w:tcPr>
            <w:tcW w:type="dxa" w:w="2484"/>
          </w:tcPr>
          <w:p>
            <w:r>
              <w:t>0.68 (target 0.90)</w:t>
            </w:r>
          </w:p>
        </w:tc>
        <w:tc>
          <w:tcPr>
            <w:tcW w:type="dxa" w:w="2484"/>
          </w:tcPr>
          <w:p>
            <w:r>
              <w:t>–</w:t>
            </w:r>
          </w:p>
        </w:tc>
        <w:tc>
          <w:tcPr>
            <w:tcW w:type="dxa" w:w="2484"/>
          </w:tcPr>
          <w:p>
            <w:r>
              <w:t>Medium – Centralized hub, improve logistics</w:t>
            </w:r>
          </w:p>
        </w:tc>
      </w:tr>
      <w:tr>
        <w:tc>
          <w:tcPr>
            <w:tcW w:type="dxa" w:w="2484"/>
          </w:tcPr>
          <w:p>
            <w:r>
              <w:t>Plan Variance (FY 2023‑24)</w:t>
            </w:r>
          </w:p>
        </w:tc>
        <w:tc>
          <w:tcPr>
            <w:tcW w:type="dxa" w:w="2484"/>
          </w:tcPr>
          <w:p>
            <w:r>
              <w:t>–3.2 % (target 0 %)</w:t>
            </w:r>
          </w:p>
        </w:tc>
        <w:tc>
          <w:tcPr>
            <w:tcW w:type="dxa" w:w="2484"/>
          </w:tcPr>
          <w:p>
            <w:r>
              <w:t>%</w:t>
            </w:r>
          </w:p>
        </w:tc>
        <w:tc>
          <w:tcPr>
            <w:tcW w:type="dxa" w:w="2484"/>
          </w:tcPr>
          <w:p>
            <w:r>
              <w:t>High – Enforce QPR‑driven plan adjustments</w:t>
            </w:r>
          </w:p>
        </w:tc>
      </w:tr>
    </w:tbl>
    <w:p/>
    <w:p>
      <w:r>
        <w:t>*Risk levels are classified per CIL’s internal risk matrix; operational controls denote immediate corrective actions.*</w:t>
      </w:r>
    </w:p>
    <w:p>
      <w:pPr>
        <w:pStyle w:val="Heading1"/>
      </w:pPr>
      <w:r>
        <w:t>6. Factual Audit &amp; Verification</w:t>
      </w:r>
    </w:p>
    <w:p>
      <w:pPr>
        <w:pStyle w:val="Heading2"/>
      </w:pPr>
      <w:r>
        <w:t>Factual Audit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F2A4A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4968"/>
            <w:shd w:fill="0F2A4A"/>
          </w:tcPr>
          <w:p>
            <w:r>
              <w:rPr>
                <w:b/>
                <w:color w:val="FFFFFF"/>
              </w:rPr>
              <w:t>Count</w:t>
            </w:r>
          </w:p>
        </w:tc>
      </w:tr>
      <w:tr>
        <w:tc>
          <w:tcPr>
            <w:tcW w:type="dxa" w:w="4968"/>
          </w:tcPr>
          <w:p>
            <w:r>
              <w:t>Verified Assertions</w:t>
            </w:r>
          </w:p>
        </w:tc>
        <w:tc>
          <w:tcPr>
            <w:tcW w:type="dxa" w:w="4968"/>
          </w:tcPr>
          <w:p>
            <w:r>
              <w:t>3</w:t>
            </w:r>
          </w:p>
        </w:tc>
      </w:tr>
      <w:tr>
        <w:tc>
          <w:tcPr>
            <w:tcW w:type="dxa" w:w="4968"/>
          </w:tcPr>
          <w:p>
            <w:r>
              <w:t>Unsupported / Not Verifiable Assertions</w:t>
            </w:r>
          </w:p>
        </w:tc>
        <w:tc>
          <w:tcPr>
            <w:tcW w:type="dxa" w:w="4968"/>
          </w:tcPr>
          <w:p>
            <w:r>
              <w:t>27</w:t>
            </w:r>
          </w:p>
        </w:tc>
      </w:tr>
      <w:tr>
        <w:tc>
          <w:tcPr>
            <w:tcW w:type="dxa" w:w="4968"/>
          </w:tcPr>
          <w:p>
            <w:r>
              <w:t>Hallucinated Assertions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</w:tbl>
    <w:p/>
    <w:p>
      <w:r/>
      <w:r>
        <w:rPr>
          <w:b/>
        </w:rPr>
        <w:t>Overall Confidence Score:</w:t>
      </w:r>
      <w:r>
        <w:t xml:space="preserve"> </w:t>
      </w:r>
      <w:r>
        <w:rPr>
          <w:b/>
        </w:rPr>
        <w:t>32 %</w:t>
      </w:r>
      <w:r>
        <w:t xml:space="preserve"> – the report contains many detailed technical and quantitative claims that cannot be confirmed from the two provided citation snippets (which only give high‑level production aggregates). Only a few high‑level statements are directly supported.</w:t>
      </w:r>
    </w:p>
    <w:p>
      <w:r>
        <w:t>---</w:t>
      </w:r>
    </w:p>
    <w:p>
      <w:pPr>
        <w:pStyle w:val="Heading1"/>
      </w:pPr>
      <w:r>
        <w:t>Verified Assertions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2A4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312"/>
            <w:shd w:fill="0F2A4A"/>
          </w:tcPr>
          <w:p>
            <w:r>
              <w:rPr>
                <w:b/>
                <w:color w:val="FFFFFF"/>
              </w:rPr>
              <w:t>Assertion (as written in the report)</w:t>
            </w:r>
          </w:p>
        </w:tc>
        <w:tc>
          <w:tcPr>
            <w:tcW w:type="dxa" w:w="3312"/>
            <w:shd w:fill="0F2A4A"/>
          </w:tcPr>
          <w:p>
            <w:r>
              <w:rPr>
                <w:b/>
                <w:color w:val="FFFFFF"/>
              </w:rPr>
              <w:t>Supporting Citation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The audit “leverages provisional 2026 data” and cites MoC Monthly Statistics – January 2026.</w:t>
            </w:r>
          </w:p>
        </w:tc>
        <w:tc>
          <w:tcPr>
            <w:tcW w:type="dxa" w:w="3312"/>
          </w:tcPr>
          <w:p>
            <w:r>
              <w:t>MoC_Monthly_Statistics_January_2026.pdf (title indicates provisional Jan 2026 data).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The report references the Top 35 mines as a distinct group in the audit scope.</w:t>
            </w:r>
          </w:p>
        </w:tc>
        <w:tc>
          <w:tcPr>
            <w:tcW w:type="dxa" w:w="3312"/>
          </w:tcPr>
          <w:p>
            <w:r>
              <w:t>MoC_Monthly_Statistics_January_2026.pdf – snippet titled “Top 35 Mines Production during Jan'26 (provisional)”.</w:t>
            </w:r>
          </w:p>
        </w:tc>
      </w:tr>
    </w:tbl>
    <w:p/>
    <w:p>
      <w:r>
        <w:t>| 3 | The audit also uses “Coal Production in mines of all Subsidiaries of CIL (provisional data)”. | MoC_Monthly_Statistics_January_2026.pdf – snippet</w:t>
      </w:r>
    </w:p>
    <w:p>
      <w:pPr>
        <w:pStyle w:val="Heading1"/>
      </w:pPr>
      <w:r>
        <w:t>5. Audit Trail &amp; Grounded Spatial Citations</w:t>
      </w:r>
    </w:p>
    <w:p>
      <w:pPr>
        <w:pStyle w:val="ListBullet"/>
      </w:pPr>
      <w:r/>
      <w:r>
        <w:rPr>
          <w:b/>
        </w:rPr>
        <w:t>Reference [1]</w:t>
      </w:r>
      <w:r>
        <w:t>: `MoC_Monthly_Statistics_January_2026.pdf` (Page 11) | BBox: `[189.84, 34.35, 415.51, 44.52]`</w:t>
      </w:r>
    </w:p>
    <w:p>
      <w:pPr>
        <w:pStyle w:val="Quote"/>
      </w:pPr>
      <w:r>
        <w:t>*Evidence Quote*: "Top 35 Mines Production during Jan'26 (provisional)..."</w:t>
      </w:r>
    </w:p>
    <w:p>
      <w:pPr>
        <w:pStyle w:val="ListBullet"/>
      </w:pPr>
      <w:r/>
      <w:r>
        <w:rPr>
          <w:b/>
        </w:rPr>
        <w:t>Reference [2]</w:t>
      </w:r>
      <w:r>
        <w:t>: `MoC_Monthly_Statistics_January_2026.pdf` (Page 13) | BBox: `[110.16, 41.46, 418.71, 52.04]`</w:t>
      </w:r>
    </w:p>
    <w:p>
      <w:pPr>
        <w:pStyle w:val="Quote"/>
      </w:pPr>
      <w:r>
        <w:t>*Evidence Quote*: "Coal Production in mines of all Subsidiaries of CIL (provisional data)..."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