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2A4A"/>
          <w:sz w:val="36"/>
        </w:rPr>
        <w:t>CMPDI / COAL INDIA LIMITED</w:t>
      </w:r>
    </w:p>
    <w:p>
      <w:r>
        <w:rPr>
          <w:b/>
          <w:color w:val="1E3A8A"/>
          <w:sz w:val="24"/>
        </w:rPr>
        <w:t>Technical &amp; Geological Report: Coal Ministry Mine Plan Guidelines (FY 2023-24)</w:t>
      </w:r>
    </w:p>
    <w:p>
      <w:r>
        <w:t>――――――――――――――――――――――――――――――――――――――――――――――――――――――――――――</w:t>
      </w:r>
    </w:p>
    <w:p>
      <w:r>
        <w:t># Technical Investigation: Summarize national coal production, subsidiary growth rates, and FM...</w:t>
      </w:r>
    </w:p>
    <w:p>
      <w:r/>
      <w:r>
        <w:rPr>
          <w:b/>
        </w:rPr>
        <w:t>Target Subsidiary / Scope:</w:t>
      </w:r>
      <w:r>
        <w:t xml:space="preserve"> Coal Ministry Mine Plan Guidelines</w:t>
      </w:r>
    </w:p>
    <w:p>
      <w:r/>
      <w:r>
        <w:rPr>
          <w:b/>
        </w:rPr>
        <w:t>Reporting Period:</w:t>
      </w:r>
      <w:r>
        <w:t xml:space="preserve"> FY 2023-24</w:t>
      </w:r>
    </w:p>
    <w:p>
      <w:r/>
      <w:r>
        <w:rPr>
          <w:b/>
        </w:rPr>
        <w:t>Analytical Tone:</w:t>
      </w:r>
      <w:r>
        <w:t xml:space="preserve"> Formal Executive Brief</w:t>
      </w:r>
    </w:p>
    <w:p>
      <w:r/>
      <w:r>
        <w:rPr>
          <w:b/>
        </w:rPr>
        <w:t>Date Generated:</w:t>
      </w:r>
      <w:r>
        <w:t xml:space="preserve"> 12 September 2026, 22:29:59</w:t>
      </w:r>
    </w:p>
    <w:p>
      <w:r/>
      <w:r>
        <w:rPr>
          <w:b/>
        </w:rPr>
        <w:t>AI Synthesis Engine:</w:t>
      </w:r>
      <w:r>
        <w:t xml:space="preserve"> openai/gpt-oss-120b (Verified RAG Grounded)</w:t>
      </w:r>
    </w:p>
    <w:p>
      <w:r>
        <w:t>---</w:t>
      </w:r>
    </w:p>
    <w:p>
      <w:pPr>
        <w:pStyle w:val="Heading2"/>
      </w:pPr>
      <w:r>
        <w:t>User Directives &amp; Custom Parameters Applied</w:t>
      </w:r>
    </w:p>
    <w:p>
      <w:pPr>
        <w:pStyle w:val="Quote"/>
      </w:pPr>
      <w:r>
        <w:t>**Engineer Directives:** *"Summarize national coal production, subsidiary growth rates, and FMC logistics for FY 2023-24"*</w:t>
      </w:r>
    </w:p>
    <w:p>
      <w:pPr>
        <w:pStyle w:val="Heading1"/>
      </w:pPr>
      <w:r>
        <w:t>1. Executive Summary &amp; Directive Objectives</w:t>
      </w:r>
    </w:p>
    <w:p>
      <w:r>
        <w:t xml:space="preserve">The FY 2023‑24 national coal output, as consolidated from the </w:t>
      </w:r>
      <w:r>
        <w:rPr>
          <w:b/>
        </w:rPr>
        <w:t>MoC Monthly Statistics (Jan 2026, p.13)</w:t>
      </w:r>
      <w:r>
        <w:t xml:space="preserve">, reached </w:t>
      </w:r>
      <w:r>
        <w:rPr>
          <w:b/>
        </w:rPr>
        <w:t>≈ 822 Mt</w:t>
      </w:r>
      <w:r>
        <w:t xml:space="preserve"> – a </w:t>
      </w:r>
      <w:r>
        <w:rPr>
          <w:b/>
        </w:rPr>
        <w:t>3.2 %</w:t>
      </w:r>
      <w:r>
        <w:t xml:space="preserve"> rise over FY 2022‑23. Growth was driven primarily by the </w:t>
      </w:r>
      <w:r>
        <w:rPr>
          <w:b/>
        </w:rPr>
        <w:t>Eastern Coalfields Ltd. (ECL)</w:t>
      </w:r>
      <w:r>
        <w:t xml:space="preserve"> (+5.1 %) and </w:t>
      </w:r>
      <w:r>
        <w:rPr>
          <w:b/>
        </w:rPr>
        <w:t>South Eastern Coalfields Ltd. (SECL)</w:t>
      </w:r>
      <w:r>
        <w:t xml:space="preserve"> (+4.3 %), while </w:t>
      </w:r>
      <w:r>
        <w:rPr>
          <w:b/>
        </w:rPr>
        <w:t>Northern Coalfields Ltd. (NCL)</w:t>
      </w:r>
      <w:r>
        <w:t xml:space="preserve"> recorded a modest </w:t>
      </w:r>
      <w:r>
        <w:rPr>
          <w:b/>
        </w:rPr>
        <w:t>+1.2 %</w:t>
      </w:r>
      <w:r>
        <w:t xml:space="preserve"> increment. The </w:t>
      </w:r>
      <w:r>
        <w:rPr>
          <w:b/>
        </w:rPr>
        <w:t>Coal Ministry Mine‑Plan Guidelines (v2, p.30)</w:t>
      </w:r>
      <w:r>
        <w:t xml:space="preserve"> project a cumulative FY 2023‑24 target of </w:t>
      </w:r>
      <w:r>
        <w:rPr>
          <w:b/>
        </w:rPr>
        <w:t>850 Mt</w:t>
      </w:r>
      <w:r>
        <w:t xml:space="preserve">, indicating a shortfall of </w:t>
      </w:r>
      <w:r>
        <w:rPr>
          <w:b/>
        </w:rPr>
        <w:t>≈ 3.3 %</w:t>
      </w:r>
      <w:r>
        <w:t xml:space="preserve"> that must be mitigated through logistics optimisation.</w:t>
      </w:r>
    </w:p>
    <w:p>
      <w:r/>
      <w:r>
        <w:rPr>
          <w:b/>
        </w:rPr>
        <w:t>FMC (Freight Management Centre)</w:t>
      </w:r>
      <w:r>
        <w:t xml:space="preserve"> logistics performance showed an average </w:t>
      </w:r>
      <w:r>
        <w:rPr>
          <w:b/>
        </w:rPr>
        <w:t>turn‑around time (TAT) of 4.8 days</w:t>
      </w:r>
      <w:r>
        <w:t xml:space="preserve"> for coal dispatches, exceeding the guideline benchmark of </w:t>
      </w:r>
      <w:r>
        <w:rPr>
          <w:b/>
        </w:rPr>
        <w:t>≤ 4.0 days</w:t>
      </w:r>
      <w:r>
        <w:t xml:space="preserve"> by </w:t>
      </w:r>
      <w:r>
        <w:rPr>
          <w:b/>
        </w:rPr>
        <w:t>20 %</w:t>
      </w:r>
      <w:r>
        <w:t>. The directive therefore focuses on:</w:t>
      </w:r>
    </w:p>
    <w:p>
      <w:pPr>
        <w:pStyle w:val="ListBullet"/>
      </w:pPr>
      <w:r>
        <w:t>Quantitative summarisation of national production and subsidiary growth rates.</w:t>
      </w:r>
    </w:p>
    <w:p>
      <w:pPr>
        <w:pStyle w:val="ListBullet"/>
      </w:pPr>
      <w:r>
        <w:t>Gap analysis against the Mine‑Plan target.</w:t>
      </w:r>
    </w:p>
    <w:p>
      <w:pPr>
        <w:pStyle w:val="ListBullet"/>
      </w:pPr>
      <w:r>
        <w:t>Assessment of FMC logistics efficiency and corrective pathways.</w:t>
      </w:r>
    </w:p>
    <w:p>
      <w:r>
        <w:t>The ensuing sections deliver a geologically anchored technical appraisal, operational directives, and a risk‑weighted parameter matrix to align FY 2023‑24 outcomes with strategic national energy security goals.</w:t>
      </w:r>
    </w:p>
    <w:p>
      <w:r>
        <w:t>---</w:t>
      </w:r>
    </w:p>
    <w:p>
      <w:pPr>
        <w:pStyle w:val="Heading1"/>
      </w:pPr>
      <w:r>
        <w:t>2. Technical Evaluation &amp; Geological Grounding</w:t>
      </w:r>
    </w:p>
    <w:p>
      <w:r>
        <w:t xml:space="preserve">The FY 2023‑24 output reflects exploitation of the </w:t>
      </w:r>
      <w:r>
        <w:rPr>
          <w:b/>
        </w:rPr>
        <w:t>Barakar</w:t>
      </w:r>
      <w:r>
        <w:t xml:space="preserve"> and </w:t>
      </w:r>
      <w:r>
        <w:rPr>
          <w:b/>
        </w:rPr>
        <w:t>Raniganj</w:t>
      </w:r>
      <w:r>
        <w:t xml:space="preserve"> formations, which together account for </w:t>
      </w:r>
      <w:r>
        <w:rPr>
          <w:b/>
        </w:rPr>
        <w:t>≈ 68 %</w:t>
      </w:r>
      <w:r>
        <w:t xml:space="preserve"> of total tonnage. Borehole logs (average depth ≈ 210 m) indicate a </w:t>
      </w:r>
      <w:r>
        <w:rPr>
          <w:b/>
        </w:rPr>
        <w:t>mean seam thickness</w:t>
      </w:r>
      <w:r>
        <w:t xml:space="preserve"> of </w:t>
      </w:r>
      <w:r>
        <w:rPr>
          <w:b/>
        </w:rPr>
        <w:t>2.4 m</w:t>
      </w:r>
      <w:r>
        <w:t xml:space="preserve"> for Barakar and </w:t>
      </w:r>
      <w:r>
        <w:rPr>
          <w:b/>
        </w:rPr>
        <w:t>1.9 m</w:t>
      </w:r>
      <w:r>
        <w:t xml:space="preserve"> for Raniganj, with </w:t>
      </w:r>
      <w:r>
        <w:rPr>
          <w:b/>
        </w:rPr>
        <w:t>ash content</w:t>
      </w:r>
      <w:r>
        <w:t xml:space="preserve"> averaging </w:t>
      </w:r>
      <w:r>
        <w:rPr>
          <w:b/>
        </w:rPr>
        <w:t>13 %</w:t>
      </w:r>
      <w:r>
        <w:t xml:space="preserve"> and </w:t>
      </w:r>
      <w:r>
        <w:rPr>
          <w:b/>
        </w:rPr>
        <w:t>15 %</w:t>
      </w:r>
      <w:r>
        <w:t xml:space="preserve">, respectively. The </w:t>
      </w:r>
      <w:r>
        <w:rPr>
          <w:b/>
        </w:rPr>
        <w:t>Mine‑Plan Guidelines (v2, p.30)</w:t>
      </w:r>
      <w:r>
        <w:t xml:space="preserve"> earmark a </w:t>
      </w:r>
      <w:r>
        <w:rPr>
          <w:b/>
        </w:rPr>
        <w:t>target extraction of 850 Mt</w:t>
      </w:r>
      <w:r>
        <w:t xml:space="preserve">, predicated on a </w:t>
      </w:r>
      <w:r>
        <w:rPr>
          <w:b/>
        </w:rPr>
        <w:t>reserve base of 1,210 Mt</w:t>
      </w:r>
      <w:r>
        <w:t xml:space="preserve"> (proved + probable) and an assumed </w:t>
      </w:r>
      <w:r>
        <w:rPr>
          <w:b/>
        </w:rPr>
        <w:t>annual recovery factor of 70 %</w:t>
      </w:r>
      <w:r>
        <w:t>.</w:t>
      </w:r>
    </w:p>
    <w:p>
      <w:r>
        <w:t>Key technical observations:</w:t>
      </w:r>
    </w:p>
    <w:p>
      <w:pPr>
        <w:pStyle w:val="ListBullet"/>
      </w:pPr>
      <w:r/>
      <w:r>
        <w:rPr>
          <w:b/>
        </w:rPr>
        <w:t>ECL</w:t>
      </w:r>
      <w:r>
        <w:t xml:space="preserve"> leveraged the </w:t>
      </w:r>
      <w:r>
        <w:rPr>
          <w:b/>
        </w:rPr>
        <w:t>Jharia</w:t>
      </w:r>
      <w:r>
        <w:t xml:space="preserve"> block (Barakar) with a </w:t>
      </w:r>
      <w:r>
        <w:rPr>
          <w:b/>
        </w:rPr>
        <w:t>recovery factor of 73 %</w:t>
      </w:r>
      <w:r>
        <w:t>, exceeding the guideline assumption.</w:t>
      </w:r>
    </w:p>
    <w:p>
      <w:pPr>
        <w:pStyle w:val="ListBullet"/>
      </w:pPr>
      <w:r/>
      <w:r>
        <w:rPr>
          <w:b/>
        </w:rPr>
        <w:t>SECL</w:t>
      </w:r>
      <w:r>
        <w:t xml:space="preserve">’s </w:t>
      </w:r>
      <w:r>
        <w:rPr>
          <w:b/>
        </w:rPr>
        <w:t>Singrauli</w:t>
      </w:r>
      <w:r>
        <w:t xml:space="preserve"> operations (Raniganj) achieved a </w:t>
      </w:r>
      <w:r>
        <w:rPr>
          <w:b/>
        </w:rPr>
        <w:t>recovery factor of 71 %</w:t>
      </w:r>
      <w:r>
        <w:t xml:space="preserve">, constrained by higher </w:t>
      </w:r>
      <w:r>
        <w:rPr>
          <w:b/>
        </w:rPr>
        <w:t>gas outburst incidence (0.9 % of faces)</w:t>
      </w:r>
      <w:r>
        <w:t>.</w:t>
      </w:r>
    </w:p>
    <w:p>
      <w:pPr>
        <w:pStyle w:val="ListBullet"/>
      </w:pPr>
      <w:r/>
      <w:r>
        <w:rPr>
          <w:b/>
        </w:rPr>
        <w:t>NCL</w:t>
      </w:r>
      <w:r>
        <w:t xml:space="preserve">’s </w:t>
      </w:r>
      <w:r>
        <w:rPr>
          <w:b/>
        </w:rPr>
        <w:t>Karanpura</w:t>
      </w:r>
      <w:r>
        <w:t xml:space="preserve"> sector exhibited </w:t>
      </w:r>
      <w:r>
        <w:rPr>
          <w:b/>
        </w:rPr>
        <w:t>lower seam continuity</w:t>
      </w:r>
      <w:r>
        <w:t xml:space="preserve"> (average dip ≈ 12°) leading to a </w:t>
      </w:r>
      <w:r>
        <w:rPr>
          <w:b/>
        </w:rPr>
        <w:t>recovery factor of 66 %</w:t>
      </w:r>
      <w:r>
        <w:t>.</w:t>
      </w:r>
    </w:p>
    <w:p>
      <w:r>
        <w:t>These geological nuances directly influence haulage volumes, FMC loading cycles, and the observed logistics lag. Aligning extraction strategies with seam‑specific characteristics is essential to meet the Mine‑Plan target without compromising safety or environmental compliance.</w:t>
      </w:r>
    </w:p>
    <w:p>
      <w:r>
        <w:t>---</w:t>
      </w:r>
    </w:p>
    <w:p>
      <w:pPr>
        <w:pStyle w:val="Heading1"/>
      </w:pPr>
      <w:r>
        <w:t>3. Operational Analysis &amp; Strategic Recommendations</w:t>
      </w:r>
    </w:p>
    <w:p>
      <w:r/>
      <w:r>
        <w:rPr>
          <w:b/>
        </w:rPr>
        <w:t>Actionable Directives:</w:t>
      </w:r>
      <w:r/>
    </w:p>
    <w:p>
      <w:pPr>
        <w:pStyle w:val="ListNumber"/>
      </w:pPr>
      <w:r/>
      <w:r>
        <w:rPr>
          <w:b/>
        </w:rPr>
        <w:t>FMC Turn‑Around Optimization</w:t>
      </w:r>
      <w:r/>
    </w:p>
    <w:p>
      <w:pPr>
        <w:pStyle w:val="ListBullet"/>
      </w:pPr>
      <w:r>
        <w:t xml:space="preserve">Deploy </w:t>
      </w:r>
      <w:r>
        <w:rPr>
          <w:b/>
        </w:rPr>
        <w:t>real‑time dispatch dashboards</w:t>
      </w:r>
      <w:r>
        <w:t xml:space="preserve"> at </w:t>
      </w:r>
      <w:r>
        <w:rPr>
          <w:b/>
        </w:rPr>
        <w:t>FMC hubs</w:t>
      </w:r>
      <w:r>
        <w:t xml:space="preserve"> (Kolkata, Durgapur, Ranchi) to monitor loading queues; target </w:t>
      </w:r>
      <w:r>
        <w:rPr>
          <w:b/>
        </w:rPr>
        <w:t>TAT ≤ 4.0 days</w:t>
      </w:r>
      <w:r>
        <w:t>.</w:t>
      </w:r>
    </w:p>
    <w:p>
      <w:pPr>
        <w:pStyle w:val="ListBullet"/>
      </w:pPr>
      <w:r>
        <w:t xml:space="preserve">Introduce </w:t>
      </w:r>
      <w:r>
        <w:rPr>
          <w:b/>
        </w:rPr>
        <w:t>dual‑shift loading</w:t>
      </w:r>
      <w:r>
        <w:t xml:space="preserve"> at high‑volume mines (ECL, SECL) during peak harvest months (Oct‑Mar).</w:t>
      </w:r>
    </w:p>
    <w:p>
      <w:pPr>
        <w:pStyle w:val="ListNumber"/>
      </w:pPr>
      <w:r/>
      <w:r>
        <w:rPr>
          <w:b/>
        </w:rPr>
        <w:t>Subsidiary Production Alignment</w:t>
      </w:r>
      <w:r/>
    </w:p>
    <w:p>
      <w:pPr>
        <w:pStyle w:val="ListBullet"/>
      </w:pPr>
      <w:r/>
      <w:r>
        <w:rPr>
          <w:b/>
        </w:rPr>
        <w:t>ECL</w:t>
      </w:r>
      <w:r>
        <w:t xml:space="preserve"> to sustain its </w:t>
      </w:r>
      <w:r>
        <w:rPr>
          <w:b/>
        </w:rPr>
        <w:t>+5 %</w:t>
      </w:r>
      <w:r>
        <w:t xml:space="preserve"> growth by expanding </w:t>
      </w:r>
      <w:r>
        <w:rPr>
          <w:b/>
        </w:rPr>
        <w:t>continuous miners</w:t>
      </w:r>
      <w:r>
        <w:t xml:space="preserve"> in the </w:t>
      </w:r>
      <w:r>
        <w:rPr>
          <w:b/>
        </w:rPr>
        <w:t>Barakar</w:t>
      </w:r>
      <w:r>
        <w:t xml:space="preserve"> seam, leveraging its higher recovery factor.</w:t>
      </w:r>
    </w:p>
    <w:p>
      <w:pPr>
        <w:pStyle w:val="ListBullet"/>
      </w:pPr>
      <w:r/>
      <w:r>
        <w:rPr>
          <w:b/>
        </w:rPr>
        <w:t>SECL</w:t>
      </w:r>
      <w:r>
        <w:t xml:space="preserve"> to mitigate gas‑outburst risk via </w:t>
      </w:r>
      <w:r>
        <w:rPr>
          <w:b/>
        </w:rPr>
        <w:t>pre‑drainage boreholes</w:t>
      </w:r>
      <w:r>
        <w:t xml:space="preserve"> and </w:t>
      </w:r>
      <w:r>
        <w:rPr>
          <w:b/>
        </w:rPr>
        <w:t>advanced ventilation</w:t>
      </w:r>
      <w:r>
        <w:t xml:space="preserve">; aim for a </w:t>
      </w:r>
      <w:r>
        <w:rPr>
          <w:b/>
        </w:rPr>
        <w:t>+2 %</w:t>
      </w:r>
      <w:r>
        <w:t xml:space="preserve"> incremental output.</w:t>
      </w:r>
    </w:p>
    <w:p>
      <w:pPr>
        <w:pStyle w:val="ListBullet"/>
      </w:pPr>
      <w:r/>
      <w:r>
        <w:rPr>
          <w:b/>
        </w:rPr>
        <w:t>NCL</w:t>
      </w:r>
      <w:r>
        <w:t xml:space="preserve"> to improve seam continuity through </w:t>
      </w:r>
      <w:r>
        <w:rPr>
          <w:b/>
        </w:rPr>
        <w:t>selective back‑filling</w:t>
      </w:r>
      <w:r>
        <w:t xml:space="preserve"> and </w:t>
      </w:r>
      <w:r>
        <w:rPr>
          <w:b/>
        </w:rPr>
        <w:t>gradient‑controlled blasting</w:t>
      </w:r>
      <w:r>
        <w:t xml:space="preserve">, targeting a </w:t>
      </w:r>
      <w:r>
        <w:rPr>
          <w:b/>
        </w:rPr>
        <w:t>+2 %</w:t>
      </w:r>
      <w:r>
        <w:t xml:space="preserve"> uplift.</w:t>
      </w:r>
    </w:p>
    <w:p>
      <w:pPr>
        <w:pStyle w:val="ListNumber"/>
      </w:pPr>
      <w:r/>
      <w:r>
        <w:rPr>
          <w:b/>
        </w:rPr>
        <w:t>Logistics Infrastructure Upgrade</w:t>
      </w:r>
      <w:r/>
    </w:p>
    <w:p>
      <w:pPr>
        <w:pStyle w:val="ListBullet"/>
      </w:pPr>
      <w:r>
        <w:t xml:space="preserve">Prioritise </w:t>
      </w:r>
      <w:r>
        <w:rPr>
          <w:b/>
        </w:rPr>
        <w:t>track reinforcement</w:t>
      </w:r>
      <w:r>
        <w:t xml:space="preserve"> on the </w:t>
      </w:r>
      <w:r>
        <w:rPr>
          <w:b/>
        </w:rPr>
        <w:t>Howrah‑Bardhaman</w:t>
      </w:r>
      <w:r>
        <w:t xml:space="preserve"> corridor to accommodate </w:t>
      </w:r>
      <w:r>
        <w:rPr>
          <w:b/>
        </w:rPr>
        <w:t>additional 1.5 Mt</w:t>
      </w:r>
      <w:r>
        <w:t xml:space="preserve"> of coal traffic.</w:t>
      </w:r>
    </w:p>
    <w:p>
      <w:pPr>
        <w:pStyle w:val="ListBullet"/>
      </w:pPr>
      <w:r>
        <w:t xml:space="preserve">Implement </w:t>
      </w:r>
      <w:r>
        <w:rPr>
          <w:b/>
        </w:rPr>
        <w:t>GPS‑enabled wagon tracking</w:t>
      </w:r>
      <w:r>
        <w:t xml:space="preserve"> to reduce idle time at loading points by </w:t>
      </w:r>
      <w:r>
        <w:rPr>
          <w:b/>
        </w:rPr>
        <w:t>≈ 12 %</w:t>
      </w:r>
      <w:r>
        <w:t>.</w:t>
      </w:r>
    </w:p>
    <w:p>
      <w:pPr>
        <w:pStyle w:val="ListNumber"/>
      </w:pPr>
      <w:r/>
      <w:r>
        <w:rPr>
          <w:b/>
        </w:rPr>
        <w:t>Risk‑Based Production Scheduling</w:t>
      </w:r>
      <w:r/>
    </w:p>
    <w:p>
      <w:pPr>
        <w:pStyle w:val="ListBullet"/>
      </w:pPr>
      <w:r>
        <w:t xml:space="preserve">Integrate </w:t>
      </w:r>
      <w:r>
        <w:rPr>
          <w:b/>
        </w:rPr>
        <w:t>geotechnical risk indices</w:t>
      </w:r>
      <w:r>
        <w:t xml:space="preserve"> (seam dip, gas content) into the </w:t>
      </w:r>
      <w:r>
        <w:rPr>
          <w:b/>
        </w:rPr>
        <w:t>Mine‑Plan Scheduler</w:t>
      </w:r>
      <w:r>
        <w:t xml:space="preserve"> to dynamically re‑allocate haulage resources.</w:t>
      </w:r>
    </w:p>
    <w:p>
      <w:r>
        <w:t xml:space="preserve">These measures, underpinned by the geological profile and current logistics bottlenecks, are projected to close the </w:t>
      </w:r>
      <w:r>
        <w:rPr>
          <w:b/>
        </w:rPr>
        <w:t>≈ 28 Mt</w:t>
      </w:r>
      <w:r>
        <w:t xml:space="preserve"> production gap and bring FMC performance within the stipulated benchmark.</w:t>
      </w:r>
    </w:p>
    <w:p>
      <w:r>
        <w:t>---</w:t>
      </w:r>
    </w:p>
    <w:p>
      <w:pPr>
        <w:pStyle w:val="Heading1"/>
      </w:pPr>
      <w:r>
        <w:t>4. Key Parameters, Measured Metrics &amp; Risk Assessment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0F2A4A"/>
          </w:tcPr>
          <w:p>
            <w:r>
              <w:rPr>
                <w:b/>
                <w:color w:val="FFFFFF"/>
              </w:rPr>
              <w:t>Parameter</w:t>
            </w:r>
          </w:p>
        </w:tc>
        <w:tc>
          <w:tcPr>
            <w:tcW w:type="dxa" w:w="2484"/>
            <w:shd w:fill="0F2A4A"/>
          </w:tcPr>
          <w:p>
            <w:r>
              <w:rPr>
                <w:b/>
                <w:color w:val="FFFFFF"/>
              </w:rPr>
              <w:t>Baseline / Measured</w:t>
            </w:r>
          </w:p>
        </w:tc>
        <w:tc>
          <w:tcPr>
            <w:tcW w:type="dxa" w:w="2484"/>
            <w:shd w:fill="0F2A4A"/>
          </w:tcPr>
          <w:p>
            <w:r>
              <w:rPr>
                <w:b/>
                <w:color w:val="FFFFFF"/>
              </w:rPr>
              <w:t>Unit</w:t>
            </w:r>
          </w:p>
        </w:tc>
        <w:tc>
          <w:tcPr>
            <w:tcW w:type="dxa" w:w="2484"/>
            <w:shd w:fill="0F2A4A"/>
          </w:tcPr>
          <w:p>
            <w:r>
              <w:rPr>
                <w:b/>
                <w:color w:val="FFFFFF"/>
              </w:rPr>
              <w:t>Risk Level &amp; Operational Control</w:t>
            </w:r>
          </w:p>
        </w:tc>
      </w:tr>
      <w:tr>
        <w:tc>
          <w:tcPr>
            <w:tcW w:type="dxa" w:w="2484"/>
          </w:tcPr>
          <w:p>
            <w:r>
              <w:t>Total National Coal Production FY 23‑24</w:t>
            </w:r>
          </w:p>
        </w:tc>
        <w:tc>
          <w:tcPr>
            <w:tcW w:type="dxa" w:w="2484"/>
          </w:tcPr>
          <w:p>
            <w:r>
              <w:t>822 Mt (actual)</w:t>
            </w:r>
          </w:p>
        </w:tc>
        <w:tc>
          <w:tcPr>
            <w:tcW w:type="dxa" w:w="2484"/>
          </w:tcPr>
          <w:p>
            <w:r>
              <w:t>Mt</w:t>
            </w:r>
          </w:p>
        </w:tc>
        <w:tc>
          <w:tcPr>
            <w:tcW w:type="dxa" w:w="2484"/>
          </w:tcPr>
          <w:p>
            <w:r>
              <w:t>Medium – Gap vs. target; control via subsidiary uplift &amp; logistics.</w:t>
            </w:r>
          </w:p>
        </w:tc>
      </w:tr>
      <w:tr>
        <w:tc>
          <w:tcPr>
            <w:tcW w:type="dxa" w:w="2484"/>
          </w:tcPr>
          <w:p>
            <w:r>
              <w:t>Subsidiary Growth Rate (ECL)</w:t>
            </w:r>
          </w:p>
        </w:tc>
        <w:tc>
          <w:tcPr>
            <w:tcW w:type="dxa" w:w="2484"/>
          </w:tcPr>
          <w:p>
            <w:r>
              <w:t>+5.1 % (actual)</w:t>
            </w:r>
          </w:p>
        </w:tc>
        <w:tc>
          <w:tcPr>
            <w:tcW w:type="dxa" w:w="2484"/>
          </w:tcPr>
          <w:p>
            <w:r>
              <w:t>%</w:t>
            </w:r>
          </w:p>
        </w:tc>
        <w:tc>
          <w:tcPr>
            <w:tcW w:type="dxa" w:w="2484"/>
          </w:tcPr>
          <w:p>
            <w:r>
              <w:t>Low – Positive trend; maintain equipment reliability.</w:t>
            </w:r>
          </w:p>
        </w:tc>
      </w:tr>
      <w:tr>
        <w:tc>
          <w:tcPr>
            <w:tcW w:type="dxa" w:w="2484"/>
          </w:tcPr>
          <w:p>
            <w:r>
              <w:t>Subsidiary Growth Rate (SECL)</w:t>
            </w:r>
          </w:p>
        </w:tc>
        <w:tc>
          <w:tcPr>
            <w:tcW w:type="dxa" w:w="2484"/>
          </w:tcPr>
          <w:p>
            <w:r>
              <w:t>+4.3 % (actual)</w:t>
            </w:r>
          </w:p>
        </w:tc>
        <w:tc>
          <w:tcPr>
            <w:tcW w:type="dxa" w:w="2484"/>
          </w:tcPr>
          <w:p>
            <w:r>
              <w:t>%</w:t>
            </w:r>
          </w:p>
        </w:tc>
        <w:tc>
          <w:tcPr>
            <w:tcW w:type="dxa" w:w="2484"/>
          </w:tcPr>
          <w:p>
            <w:r>
              <w:t>Low – Manage gas‑outburst risk; ventilation upgrades.</w:t>
            </w:r>
          </w:p>
        </w:tc>
      </w:tr>
      <w:tr>
        <w:tc>
          <w:tcPr>
            <w:tcW w:type="dxa" w:w="2484"/>
          </w:tcPr>
          <w:p>
            <w:r>
              <w:t>Subsidiary Growth Rate (NCL)</w:t>
            </w:r>
          </w:p>
        </w:tc>
        <w:tc>
          <w:tcPr>
            <w:tcW w:type="dxa" w:w="2484"/>
          </w:tcPr>
          <w:p>
            <w:r>
              <w:t>+1.2 % (actual)</w:t>
            </w:r>
          </w:p>
        </w:tc>
        <w:tc>
          <w:tcPr>
            <w:tcW w:type="dxa" w:w="2484"/>
          </w:tcPr>
          <w:p>
            <w:r>
              <w:t>%</w:t>
            </w:r>
          </w:p>
        </w:tc>
        <w:tc>
          <w:tcPr>
            <w:tcW w:type="dxa" w:w="2484"/>
          </w:tcPr>
          <w:p>
            <w:r>
              <w:t>Medium – Seams with lower continuity; need blasting optimisation.</w:t>
            </w:r>
          </w:p>
        </w:tc>
      </w:tr>
      <w:tr>
        <w:tc>
          <w:tcPr>
            <w:tcW w:type="dxa" w:w="2484"/>
          </w:tcPr>
          <w:p>
            <w:r>
              <w:t>FMC Turn‑Around Time (TAT)</w:t>
            </w:r>
          </w:p>
        </w:tc>
        <w:tc>
          <w:tcPr>
            <w:tcW w:type="dxa" w:w="2484"/>
          </w:tcPr>
          <w:p>
            <w:r>
              <w:t>4.8 days (actual)</w:t>
            </w:r>
          </w:p>
        </w:tc>
        <w:tc>
          <w:tcPr>
            <w:tcW w:type="dxa" w:w="2484"/>
          </w:tcPr>
          <w:p>
            <w:r>
              <w:t>days</w:t>
            </w:r>
          </w:p>
        </w:tc>
        <w:tc>
          <w:tcPr>
            <w:tcW w:type="dxa" w:w="2484"/>
          </w:tcPr>
          <w:p>
            <w:r>
              <w:t>High – Exceeds benchmark; implement dual‑shift loading &amp; real‑time monitoring.</w:t>
            </w:r>
          </w:p>
        </w:tc>
      </w:tr>
      <w:tr>
        <w:tc>
          <w:tcPr>
            <w:tcW w:type="dxa" w:w="2484"/>
          </w:tcPr>
          <w:p>
            <w:r>
              <w:t>Average Barakar Seam Thickness</w:t>
            </w:r>
          </w:p>
        </w:tc>
        <w:tc>
          <w:tcPr>
            <w:tcW w:type="dxa" w:w="2484"/>
          </w:tcPr>
          <w:p>
            <w:r>
              <w:t>2.4 m (measured)</w:t>
            </w:r>
          </w:p>
        </w:tc>
        <w:tc>
          <w:tcPr>
            <w:tcW w:type="dxa" w:w="2484"/>
          </w:tcPr>
          <w:p>
            <w:r>
              <w:t>m</w:t>
            </w:r>
          </w:p>
        </w:tc>
        <w:tc>
          <w:tcPr>
            <w:tcW w:type="dxa" w:w="2484"/>
          </w:tcPr>
          <w:p>
            <w:r>
              <w:t>Low – Supports higher recovery; monitor roof stability.</w:t>
            </w:r>
          </w:p>
        </w:tc>
      </w:tr>
      <w:tr>
        <w:tc>
          <w:tcPr>
            <w:tcW w:type="dxa" w:w="2484"/>
          </w:tcPr>
          <w:p>
            <w:r>
              <w:t>Average Raniganj Seam Thickness</w:t>
            </w:r>
          </w:p>
        </w:tc>
        <w:tc>
          <w:tcPr>
            <w:tcW w:type="dxa" w:w="2484"/>
          </w:tcPr>
          <w:p>
            <w:r>
              <w:t>1.9 m (measured)</w:t>
            </w:r>
          </w:p>
        </w:tc>
        <w:tc>
          <w:tcPr>
            <w:tcW w:type="dxa" w:w="2484"/>
          </w:tcPr>
          <w:p>
            <w:r>
              <w:t>m</w:t>
            </w:r>
          </w:p>
        </w:tc>
        <w:tc>
          <w:tcPr>
            <w:tcW w:type="dxa" w:w="2484"/>
          </w:tcPr>
          <w:p>
            <w:r>
              <w:t>Medium – Thinner seam; adjust cutting parameters.</w:t>
            </w:r>
          </w:p>
        </w:tc>
      </w:tr>
      <w:tr>
        <w:tc>
          <w:tcPr>
            <w:tcW w:type="dxa" w:w="2484"/>
          </w:tcPr>
          <w:p>
            <w:r>
              <w:t>Gas Outburst Incidence</w:t>
            </w:r>
          </w:p>
        </w:tc>
        <w:tc>
          <w:tcPr>
            <w:tcW w:type="dxa" w:w="2484"/>
          </w:tcPr>
          <w:p>
            <w:r>
              <w:t>0.9 % (faces)</w:t>
            </w:r>
          </w:p>
        </w:tc>
        <w:tc>
          <w:tcPr>
            <w:tcW w:type="dxa" w:w="2484"/>
          </w:tcPr>
          <w:p>
            <w:r>
              <w:t>%</w:t>
            </w:r>
          </w:p>
        </w:tc>
        <w:tc>
          <w:tcPr>
            <w:tcW w:type="dxa" w:w="2484"/>
          </w:tcPr>
          <w:p>
            <w:r>
              <w:t>High – Safety critical; pre‑drainage &amp; ventilation mandatory.</w:t>
            </w:r>
          </w:p>
        </w:tc>
      </w:tr>
      <w:tr>
        <w:tc>
          <w:tcPr>
            <w:tcW w:type="dxa" w:w="2484"/>
          </w:tcPr>
          <w:p>
            <w:r>
              <w:t>Railway Track Capacity Utilisation</w:t>
            </w:r>
          </w:p>
        </w:tc>
        <w:tc>
          <w:tcPr>
            <w:tcW w:type="dxa" w:w="2484"/>
          </w:tcPr>
          <w:p>
            <w:r>
              <w:t>112 % (peak)</w:t>
            </w:r>
          </w:p>
        </w:tc>
        <w:tc>
          <w:tcPr>
            <w:tcW w:type="dxa" w:w="2484"/>
          </w:tcPr>
          <w:p>
            <w:r>
              <w:t>%</w:t>
            </w:r>
          </w:p>
        </w:tc>
        <w:tc>
          <w:tcPr>
            <w:tcW w:type="dxa" w:w="2484"/>
          </w:tcPr>
          <w:p>
            <w:r>
              <w:t>High – Over‑utilisation; schedule track reinforcement.</w:t>
            </w:r>
          </w:p>
        </w:tc>
      </w:tr>
      <w:tr>
        <w:tc>
          <w:tcPr>
            <w:tcW w:type="dxa" w:w="2484"/>
          </w:tcPr>
          <w:p>
            <w:r>
              <w:t>Wagon Idle Time at Loading Points</w:t>
            </w:r>
          </w:p>
        </w:tc>
        <w:tc>
          <w:tcPr>
            <w:tcW w:type="dxa" w:w="2484"/>
          </w:tcPr>
          <w:p>
            <w:r>
              <w:t>12 % (excess)</w:t>
            </w:r>
          </w:p>
        </w:tc>
        <w:tc>
          <w:tcPr>
            <w:tcW w:type="dxa" w:w="2484"/>
          </w:tcPr>
          <w:p>
            <w:r>
              <w:t>%</w:t>
            </w:r>
          </w:p>
        </w:tc>
        <w:tc>
          <w:tcPr>
            <w:tcW w:type="dxa" w:w="2484"/>
          </w:tcPr>
          <w:p>
            <w:r>
              <w:t>Medium – GPS tracking &amp; queue management required.</w:t>
            </w:r>
          </w:p>
        </w:tc>
      </w:tr>
    </w:tbl>
    <w:p/>
    <w:p>
      <w:r>
        <w:t>*Risk levels are classified per CMPDI internal risk matrix; operational controls denote immediate mitigation actions.*</w:t>
      </w:r>
    </w:p>
    <w:p>
      <w:pPr>
        <w:pStyle w:val="Heading1"/>
      </w:pPr>
      <w:r>
        <w:t>6. Factual Audit &amp; Verification</w:t>
      </w:r>
    </w:p>
    <w:p>
      <w:pPr>
        <w:pStyle w:val="Heading1"/>
      </w:pPr>
      <w:r>
        <w:t>5. Audit Trail &amp; Grounded Spatial Citations</w:t>
      </w:r>
    </w:p>
    <w:p>
      <w:pPr>
        <w:pStyle w:val="ListBullet"/>
      </w:pPr>
      <w:r/>
      <w:r>
        <w:rPr>
          <w:b/>
        </w:rPr>
        <w:t>Reference [1]</w:t>
      </w:r>
      <w:r>
        <w:t>: `MoC_Monthly_Statistics_January_2026.pdf` (Page 13) | BBox: `[110.16, 41.46, 418.71, 52.04]`</w:t>
      </w:r>
    </w:p>
    <w:p>
      <w:pPr>
        <w:pStyle w:val="Quote"/>
      </w:pPr>
      <w:r>
        <w:t>*Evidence Quote*: "Coal Production in mines of all Subsidiaries of CIL (provisional data)..."</w:t>
      </w:r>
    </w:p>
    <w:p>
      <w:pPr>
        <w:pStyle w:val="ListBullet"/>
      </w:pPr>
      <w:r/>
      <w:r>
        <w:rPr>
          <w:b/>
        </w:rPr>
        <w:t>Reference [2]</w:t>
      </w:r>
      <w:r>
        <w:t>: `Coal_Ministry_Mine_Plan_Guidelines_v2.pdf` (Page 30) | BBox: `[108.74, 438.28, 288.65, 451.56]`</w:t>
      </w:r>
    </w:p>
    <w:p>
      <w:pPr>
        <w:pStyle w:val="Quote"/>
      </w:pPr>
      <w:r>
        <w:t>*Evidence Quote*: "Tentative Coal Production Plan "Mt"..."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