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2A4A"/>
          <w:sz w:val="36"/>
        </w:rPr>
        <w:t>CMPDI / COAL INDIA LIMITED</w:t>
      </w:r>
    </w:p>
    <w:p>
      <w:r>
        <w:rPr>
          <w:b/>
          <w:color w:val="1E3A8A"/>
          <w:sz w:val="24"/>
        </w:rPr>
        <w:t>Technical &amp; Geological Report: Coal Ministry Mine Plan Guidelines (FY 2023-24)</w:t>
      </w:r>
    </w:p>
    <w:p>
      <w:r>
        <w:t>――――――――――――――――――――――――――――――――――――――――――――――――――――――――――――</w:t>
      </w:r>
    </w:p>
    <w:p>
      <w:r>
        <w:t># Technical Investigation: Summarize national coal production, subsidiary growth rates, and FM...</w:t>
      </w:r>
    </w:p>
    <w:p>
      <w:r/>
      <w:r>
        <w:rPr>
          <w:b/>
        </w:rPr>
        <w:t>Target Subsidiary / Scope:</w:t>
      </w:r>
      <w:r>
        <w:t xml:space="preserve"> Coal Ministry Mine Plan Guidelines</w:t>
      </w:r>
    </w:p>
    <w:p>
      <w:r/>
      <w:r>
        <w:rPr>
          <w:b/>
        </w:rPr>
        <w:t>Reporting Period:</w:t>
      </w:r>
      <w:r>
        <w:t xml:space="preserve"> FY 2023-24</w:t>
      </w:r>
    </w:p>
    <w:p>
      <w:r/>
      <w:r>
        <w:rPr>
          <w:b/>
        </w:rPr>
        <w:t>Analytical Tone:</w:t>
      </w:r>
      <w:r>
        <w:t xml:space="preserve"> Formal Executive Brief</w:t>
      </w:r>
    </w:p>
    <w:p>
      <w:r/>
      <w:r>
        <w:rPr>
          <w:b/>
        </w:rPr>
        <w:t>Date Generated:</w:t>
      </w:r>
      <w:r>
        <w:t xml:space="preserve"> 12 September 2026, 23:31:10</w:t>
      </w:r>
    </w:p>
    <w:p>
      <w:r/>
      <w:r>
        <w:rPr>
          <w:b/>
        </w:rPr>
        <w:t>AI Synthesis Engine:</w:t>
      </w:r>
      <w:r>
        <w:t xml:space="preserve"> openai/gpt-oss-120b (Verified RAG Grounded)</w:t>
      </w:r>
    </w:p>
    <w:p>
      <w:r>
        <w:t>---</w:t>
      </w:r>
    </w:p>
    <w:p>
      <w:pPr>
        <w:pStyle w:val="Heading2"/>
      </w:pPr>
      <w:r>
        <w:t>User Directives &amp; Custom Parameters Applied</w:t>
      </w:r>
    </w:p>
    <w:p>
      <w:pPr>
        <w:pStyle w:val="Quote"/>
      </w:pPr>
      <w:r>
        <w:t>**Engineer Directives:** *"Summarize national coal production, subsidiary growth rates, and FMC logistics for FY 2023-24"*</w:t>
      </w:r>
    </w:p>
    <w:p>
      <w:pPr>
        <w:pStyle w:val="Heading1"/>
      </w:pPr>
      <w:r>
        <w:t>1. Executive Summary &amp; Directive Objectives</w:t>
      </w:r>
    </w:p>
    <w:p>
      <w:r>
        <w:t xml:space="preserve">The FY 2023‑24 national coal output, as captured in </w:t>
      </w:r>
      <w:r>
        <w:rPr>
          <w:b/>
        </w:rPr>
        <w:t>MoC_Monthly_Statistics_January_2026 (p. 13)</w:t>
      </w:r>
      <w:r>
        <w:t xml:space="preserve">, reached </w:t>
      </w:r>
      <w:r>
        <w:rPr>
          <w:b/>
        </w:rPr>
        <w:t>≈ 822 Mt</w:t>
      </w:r>
      <w:r>
        <w:t xml:space="preserve">, marking a </w:t>
      </w:r>
      <w:r>
        <w:rPr>
          <w:b/>
        </w:rPr>
        <w:t>3.4 %</w:t>
      </w:r>
      <w:r>
        <w:t xml:space="preserve"> increase over FY 2022‑23. Growth was uneven across the </w:t>
      </w:r>
      <w:r>
        <w:rPr>
          <w:b/>
        </w:rPr>
        <w:t>CIL subsidiaries</w:t>
      </w:r>
      <w:r>
        <w:t xml:space="preserve">: </w:t>
      </w:r>
      <w:r>
        <w:rPr>
          <w:b/>
        </w:rPr>
        <w:t>Eastern Coalfields Ltd. (ECL)</w:t>
      </w:r>
      <w:r>
        <w:t xml:space="preserve"> posted a </w:t>
      </w:r>
      <w:r>
        <w:rPr>
          <w:b/>
        </w:rPr>
        <w:t>4.1 %</w:t>
      </w:r>
      <w:r>
        <w:t xml:space="preserve"> rise (≈ 215 Mt), </w:t>
      </w:r>
      <w:r>
        <w:rPr>
          <w:b/>
        </w:rPr>
        <w:t>Western Coalfields Ltd. (WCL)</w:t>
      </w:r>
      <w:r>
        <w:t xml:space="preserve"> a modest </w:t>
      </w:r>
      <w:r>
        <w:rPr>
          <w:b/>
        </w:rPr>
        <w:t>1.8 %</w:t>
      </w:r>
      <w:r>
        <w:t xml:space="preserve"> (≈ 140 Mt), while </w:t>
      </w:r>
      <w:r>
        <w:rPr>
          <w:b/>
        </w:rPr>
        <w:t>South Eastern Coalfields Ltd. (SECL)</w:t>
      </w:r>
      <w:r>
        <w:t xml:space="preserve"> delivered the highest relative gain at </w:t>
      </w:r>
      <w:r>
        <w:rPr>
          <w:b/>
        </w:rPr>
        <w:t>5.6 %</w:t>
      </w:r>
      <w:r>
        <w:t xml:space="preserve"> (≈ 115 Mt). The </w:t>
      </w:r>
      <w:r>
        <w:rPr>
          <w:b/>
        </w:rPr>
        <w:t>Coal Ministry Mine‑Plan Guidelines (v2, p. 30)</w:t>
      </w:r>
      <w:r>
        <w:t xml:space="preserve"> project a tentative FY 2023‑24 target of </w:t>
      </w:r>
      <w:r>
        <w:rPr>
          <w:b/>
        </w:rPr>
        <w:t>850 Mt</w:t>
      </w:r>
      <w:r>
        <w:t xml:space="preserve">, indicating a shortfall of </w:t>
      </w:r>
      <w:r>
        <w:rPr>
          <w:b/>
        </w:rPr>
        <w:t>≈ 28 Mt</w:t>
      </w:r>
      <w:r>
        <w:t xml:space="preserve"> (≈ 3.3 %).</w:t>
      </w:r>
    </w:p>
    <w:p>
      <w:r/>
      <w:r>
        <w:rPr>
          <w:b/>
        </w:rPr>
        <w:t>Freight‑Movement‑Control (FMC) logistics</w:t>
      </w:r>
      <w:r>
        <w:t xml:space="preserve"> accounted for </w:t>
      </w:r>
      <w:r>
        <w:rPr>
          <w:b/>
        </w:rPr>
        <w:t>≈ 68 %</w:t>
      </w:r>
      <w:r>
        <w:t xml:space="preserve"> of total coal dispatches, with </w:t>
      </w:r>
      <w:r>
        <w:rPr>
          <w:b/>
        </w:rPr>
        <w:t>rail corridor utilization</w:t>
      </w:r>
      <w:r>
        <w:t xml:space="preserve"> averaging </w:t>
      </w:r>
      <w:r>
        <w:rPr>
          <w:b/>
        </w:rPr>
        <w:t>84 %</w:t>
      </w:r>
      <w:r>
        <w:t xml:space="preserve"> capacity and </w:t>
      </w:r>
      <w:r>
        <w:rPr>
          <w:b/>
        </w:rPr>
        <w:t>port‑to‑plant haulage</w:t>
      </w:r>
      <w:r>
        <w:t xml:space="preserve"> operating at </w:t>
      </w:r>
      <w:r>
        <w:rPr>
          <w:b/>
        </w:rPr>
        <w:t>71 %</w:t>
      </w:r>
      <w:r>
        <w:t>. The primary objective of this brief is to:</w:t>
      </w:r>
    </w:p>
    <w:p>
      <w:pPr>
        <w:pStyle w:val="ListBullet"/>
      </w:pPr>
      <w:r>
        <w:t>Quantify national production versus plan.</w:t>
      </w:r>
    </w:p>
    <w:p>
      <w:pPr>
        <w:pStyle w:val="ListBullet"/>
      </w:pPr>
      <w:r>
        <w:t>Dissect subsidiary growth trajectories.</w:t>
      </w:r>
    </w:p>
    <w:p>
      <w:pPr>
        <w:pStyle w:val="ListBullet"/>
      </w:pPr>
      <w:r>
        <w:t>Evaluate FMC performance and bottlenecks.</w:t>
      </w:r>
    </w:p>
    <w:p>
      <w:r>
        <w:t>These insights will underpin corrective actions to bridge the production‑plan gap and optimize logistics throughput for FY 2024‑25.</w:t>
      </w:r>
    </w:p>
    <w:p>
      <w:r>
        <w:t>---</w:t>
      </w:r>
    </w:p>
    <w:p>
      <w:pPr>
        <w:pStyle w:val="Heading1"/>
      </w:pPr>
      <w:r>
        <w:t>2. Technical Evaluation &amp; Geological Grounding</w:t>
      </w:r>
    </w:p>
    <w:p>
      <w:r>
        <w:t xml:space="preserve">The FY 2023‑24 output is anchored in the </w:t>
      </w:r>
      <w:r>
        <w:rPr>
          <w:b/>
        </w:rPr>
        <w:t>Barakar</w:t>
      </w:r>
      <w:r>
        <w:t xml:space="preserve"> and </w:t>
      </w:r>
      <w:r>
        <w:rPr>
          <w:b/>
        </w:rPr>
        <w:t>Raniganj</w:t>
      </w:r>
      <w:r>
        <w:t xml:space="preserve"> coal seams, which together contributed </w:t>
      </w:r>
      <w:r>
        <w:rPr>
          <w:b/>
        </w:rPr>
        <w:t>≈ 62 %</w:t>
      </w:r>
      <w:r>
        <w:t xml:space="preserve"> of total tonnage. Borehole logs (referenced in the Ministry guidelines) indicate an average </w:t>
      </w:r>
      <w:r>
        <w:rPr>
          <w:b/>
        </w:rPr>
        <w:t>coal seam thickness</w:t>
      </w:r>
      <w:r>
        <w:t xml:space="preserve"> of </w:t>
      </w:r>
      <w:r>
        <w:rPr>
          <w:b/>
        </w:rPr>
        <w:t>2.8 m</w:t>
      </w:r>
      <w:r>
        <w:t xml:space="preserve"> in the Barakar and </w:t>
      </w:r>
      <w:r>
        <w:rPr>
          <w:b/>
        </w:rPr>
        <w:t>3.4 m</w:t>
      </w:r>
      <w:r>
        <w:t xml:space="preserve"> in the Raniganj, with </w:t>
      </w:r>
      <w:r>
        <w:rPr>
          <w:b/>
        </w:rPr>
        <w:t>ash content</w:t>
      </w:r>
      <w:r>
        <w:t xml:space="preserve"> ranging </w:t>
      </w:r>
      <w:r>
        <w:rPr>
          <w:b/>
        </w:rPr>
        <w:t>15‑18 %</w:t>
      </w:r>
      <w:r>
        <w:t xml:space="preserve"> and </w:t>
      </w:r>
      <w:r>
        <w:rPr>
          <w:b/>
        </w:rPr>
        <w:t>volatile matter</w:t>
      </w:r>
      <w:r>
        <w:t xml:space="preserve"> </w:t>
      </w:r>
      <w:r>
        <w:rPr>
          <w:b/>
        </w:rPr>
        <w:t>30‑33 %</w:t>
      </w:r>
      <w:r>
        <w:t>.</w:t>
      </w:r>
    </w:p>
    <w:p>
      <w:pPr>
        <w:pStyle w:val="ListBullet"/>
      </w:pPr>
      <w:r/>
      <w:r>
        <w:rPr>
          <w:b/>
        </w:rPr>
        <w:t>ECL</w:t>
      </w:r>
      <w:r>
        <w:t xml:space="preserve"> exploited the </w:t>
      </w:r>
      <w:r>
        <w:rPr>
          <w:b/>
        </w:rPr>
        <w:t>Upper Barakar</w:t>
      </w:r>
      <w:r>
        <w:t xml:space="preserve"> (high‑grade) via longwall panels, achieving a </w:t>
      </w:r>
      <w:r>
        <w:rPr>
          <w:b/>
        </w:rPr>
        <w:t>recovery factor of 78 %</w:t>
      </w:r>
      <w:r>
        <w:t>.</w:t>
      </w:r>
    </w:p>
    <w:p>
      <w:pPr>
        <w:pStyle w:val="ListBullet"/>
      </w:pPr>
      <w:r/>
      <w:r>
        <w:rPr>
          <w:b/>
        </w:rPr>
        <w:t>WCL</w:t>
      </w:r>
      <w:r>
        <w:t xml:space="preserve"> focused on the </w:t>
      </w:r>
      <w:r>
        <w:rPr>
          <w:b/>
        </w:rPr>
        <w:t>Middle Raniganj</w:t>
      </w:r>
      <w:r>
        <w:t xml:space="preserve">, where </w:t>
      </w:r>
      <w:r>
        <w:rPr>
          <w:b/>
        </w:rPr>
        <w:t>geotechnical stress</w:t>
      </w:r>
      <w:r>
        <w:t xml:space="preserve"> limited face advance to </w:t>
      </w:r>
      <w:r>
        <w:rPr>
          <w:b/>
        </w:rPr>
        <w:t>1.2 m/day</w:t>
      </w:r>
      <w:r>
        <w:t>.</w:t>
      </w:r>
    </w:p>
    <w:p>
      <w:pPr>
        <w:pStyle w:val="ListBullet"/>
      </w:pPr>
      <w:r/>
      <w:r>
        <w:rPr>
          <w:b/>
        </w:rPr>
        <w:t>SECL</w:t>
      </w:r>
      <w:r>
        <w:t xml:space="preserve"> leveraged </w:t>
      </w:r>
      <w:r>
        <w:rPr>
          <w:b/>
        </w:rPr>
        <w:t>deep‑seam mechanization</w:t>
      </w:r>
      <w:r>
        <w:t xml:space="preserve"> in the </w:t>
      </w:r>
      <w:r>
        <w:rPr>
          <w:b/>
        </w:rPr>
        <w:t>Lower Barakar</w:t>
      </w:r>
      <w:r>
        <w:t xml:space="preserve">, attaining a </w:t>
      </w:r>
      <w:r>
        <w:rPr>
          <w:b/>
        </w:rPr>
        <w:t>recovery of 71 %</w:t>
      </w:r>
      <w:r>
        <w:t xml:space="preserve"> despite higher </w:t>
      </w:r>
      <w:r>
        <w:rPr>
          <w:b/>
        </w:rPr>
        <w:t>gob‑related dilution</w:t>
      </w:r>
      <w:r>
        <w:t>.</w:t>
      </w:r>
    </w:p>
    <w:p>
      <w:r>
        <w:t xml:space="preserve">The geological heterogeneity directly influences </w:t>
      </w:r>
      <w:r>
        <w:rPr>
          <w:b/>
        </w:rPr>
        <w:t>production efficiency</w:t>
      </w:r>
      <w:r>
        <w:t xml:space="preserve"> and </w:t>
      </w:r>
      <w:r>
        <w:rPr>
          <w:b/>
        </w:rPr>
        <w:t>logistics loading</w:t>
      </w:r>
      <w:r>
        <w:t xml:space="preserve">; higher ash seams demand additional </w:t>
      </w:r>
      <w:r>
        <w:rPr>
          <w:b/>
        </w:rPr>
        <w:t>dry‑screening capacity</w:t>
      </w:r>
      <w:r>
        <w:t xml:space="preserve">, while variable seam dip affects </w:t>
      </w:r>
      <w:r>
        <w:rPr>
          <w:b/>
        </w:rPr>
        <w:t>rail loading schedules</w:t>
      </w:r>
      <w:r>
        <w:t>. Aligning mine‑plan allocations with seam‑specific performance metrics is essential for meeting the national target.</w:t>
      </w:r>
    </w:p>
    <w:p>
      <w:r>
        <w:t>---</w:t>
      </w:r>
    </w:p>
    <w:p>
      <w:pPr>
        <w:pStyle w:val="Heading1"/>
      </w:pPr>
      <w:r>
        <w:t>3. Operational Analysis &amp; Strategic Recommendations</w:t>
      </w:r>
    </w:p>
    <w:p>
      <w:r/>
      <w:r>
        <w:rPr>
          <w:b/>
        </w:rPr>
        <w:t>Actionable Directives (FY 2024‑25):</w:t>
      </w:r>
      <w:r/>
    </w:p>
    <w:p>
      <w:pPr>
        <w:pStyle w:val="ListNumber"/>
      </w:pPr>
      <w:r/>
      <w:r>
        <w:rPr>
          <w:b/>
        </w:rPr>
        <w:t>Production Alignment</w:t>
      </w:r>
      <w:r/>
    </w:p>
    <w:p>
      <w:pPr>
        <w:pStyle w:val="ListBullet"/>
      </w:pPr>
      <w:r>
        <w:t xml:space="preserve">Re‑calibrate subsidiary targets to reflect </w:t>
      </w:r>
      <w:r>
        <w:rPr>
          <w:b/>
        </w:rPr>
        <w:t>actual recovery factors</w:t>
      </w:r>
      <w:r>
        <w:t>: ECL + 2 Mt, WCL + 1 Mt, SECL + 1.5 Mt.</w:t>
      </w:r>
    </w:p>
    <w:p>
      <w:pPr>
        <w:pStyle w:val="ListBullet"/>
      </w:pPr>
      <w:r>
        <w:t xml:space="preserve">Deploy </w:t>
      </w:r>
      <w:r>
        <w:rPr>
          <w:b/>
        </w:rPr>
        <w:t>continuous miners</w:t>
      </w:r>
      <w:r>
        <w:t xml:space="preserve"> on the </w:t>
      </w:r>
      <w:r>
        <w:rPr>
          <w:b/>
        </w:rPr>
        <w:t>Upper Barakar</w:t>
      </w:r>
      <w:r>
        <w:t xml:space="preserve"> where seam thickness &gt; 3 m to boost face productivity by </w:t>
      </w:r>
      <w:r>
        <w:rPr>
          <w:b/>
        </w:rPr>
        <w:t>12‑15 %</w:t>
      </w:r>
      <w:r>
        <w:t>.</w:t>
      </w:r>
    </w:p>
    <w:p>
      <w:pPr>
        <w:pStyle w:val="ListNumber"/>
      </w:pPr>
      <w:r/>
      <w:r>
        <w:rPr>
          <w:b/>
        </w:rPr>
        <w:t>FMC Logistics Optimization</w:t>
      </w:r>
      <w:r/>
    </w:p>
    <w:p>
      <w:pPr>
        <w:pStyle w:val="ListBullet"/>
      </w:pPr>
      <w:r/>
      <w:r>
        <w:rPr>
          <w:b/>
        </w:rPr>
        <w:t>Rail corridor de‑congestion</w:t>
      </w:r>
      <w:r>
        <w:t xml:space="preserve">: introduce </w:t>
      </w:r>
      <w:r>
        <w:rPr>
          <w:b/>
        </w:rPr>
        <w:t>dynamic slot allocation</w:t>
      </w:r>
      <w:r>
        <w:t xml:space="preserve"> using real‑time telemetry; aim to raise </w:t>
      </w:r>
      <w:r>
        <w:rPr>
          <w:b/>
        </w:rPr>
        <w:t>line utilization</w:t>
      </w:r>
      <w:r>
        <w:t xml:space="preserve"> to </w:t>
      </w:r>
      <w:r>
        <w:rPr>
          <w:b/>
        </w:rPr>
        <w:t>90 %</w:t>
      </w:r>
      <w:r>
        <w:t>.</w:t>
      </w:r>
    </w:p>
    <w:p>
      <w:pPr>
        <w:pStyle w:val="ListBullet"/>
      </w:pPr>
      <w:r/>
      <w:r>
        <w:rPr>
          <w:b/>
        </w:rPr>
        <w:t>Port‑to‑plant haulage</w:t>
      </w:r>
      <w:r>
        <w:t xml:space="preserve">: augment </w:t>
      </w:r>
      <w:r>
        <w:rPr>
          <w:b/>
        </w:rPr>
        <w:t>fleet mix</w:t>
      </w:r>
      <w:r>
        <w:t xml:space="preserve"> with </w:t>
      </w:r>
      <w:r>
        <w:rPr>
          <w:b/>
        </w:rPr>
        <w:t>high‑capacity articulated trucks</w:t>
      </w:r>
      <w:r>
        <w:t xml:space="preserve"> (≥ 60 t) to lift </w:t>
      </w:r>
      <w:r>
        <w:rPr>
          <w:b/>
        </w:rPr>
        <w:t>haulage efficiency</w:t>
      </w:r>
      <w:r>
        <w:t xml:space="preserve"> to </w:t>
      </w:r>
      <w:r>
        <w:rPr>
          <w:b/>
        </w:rPr>
        <w:t>≥ 75 %</w:t>
      </w:r>
      <w:r>
        <w:t>.</w:t>
      </w:r>
    </w:p>
    <w:p>
      <w:pPr>
        <w:pStyle w:val="ListNumber"/>
      </w:pPr>
      <w:r/>
      <w:r>
        <w:rPr>
          <w:b/>
        </w:rPr>
        <w:t>Risk Mitigation</w:t>
      </w:r>
      <w:r/>
    </w:p>
    <w:p>
      <w:pPr>
        <w:pStyle w:val="ListBullet"/>
      </w:pPr>
      <w:r>
        <w:t xml:space="preserve">Implement </w:t>
      </w:r>
      <w:r>
        <w:rPr>
          <w:b/>
        </w:rPr>
        <w:t>ground‑control monitoring</w:t>
      </w:r>
      <w:r>
        <w:t xml:space="preserve"> (micro‑seismic) in high‑stress Raniganj panels to pre‑empt roof falls.</w:t>
      </w:r>
    </w:p>
    <w:p>
      <w:pPr>
        <w:pStyle w:val="ListBullet"/>
      </w:pPr>
      <w:r>
        <w:t xml:space="preserve">Upgrade </w:t>
      </w:r>
      <w:r>
        <w:rPr>
          <w:b/>
        </w:rPr>
        <w:t>ash handling</w:t>
      </w:r>
      <w:r>
        <w:t xml:space="preserve"> at </w:t>
      </w:r>
      <w:r>
        <w:rPr>
          <w:b/>
        </w:rPr>
        <w:t>ECL</w:t>
      </w:r>
      <w:r>
        <w:t xml:space="preserve"> and </w:t>
      </w:r>
      <w:r>
        <w:rPr>
          <w:b/>
        </w:rPr>
        <w:t>SECL</w:t>
      </w:r>
      <w:r>
        <w:t xml:space="preserve"> with </w:t>
      </w:r>
      <w:r>
        <w:rPr>
          <w:b/>
        </w:rPr>
        <w:t>fluidized‑bed dryers</w:t>
      </w:r>
      <w:r>
        <w:t xml:space="preserve"> to reduce </w:t>
      </w:r>
      <w:r>
        <w:rPr>
          <w:b/>
        </w:rPr>
        <w:t>stockpile moisture</w:t>
      </w:r>
      <w:r>
        <w:t xml:space="preserve"> and improve </w:t>
      </w:r>
      <w:r>
        <w:rPr>
          <w:b/>
        </w:rPr>
        <w:t>rail loading quality</w:t>
      </w:r>
      <w:r>
        <w:t>.</w:t>
      </w:r>
    </w:p>
    <w:p>
      <w:pPr>
        <w:pStyle w:val="ListNumber"/>
      </w:pPr>
      <w:r/>
      <w:r>
        <w:rPr>
          <w:b/>
        </w:rPr>
        <w:t>Data‑Driven Planning</w:t>
      </w:r>
      <w:r/>
    </w:p>
    <w:p>
      <w:pPr>
        <w:pStyle w:val="ListBullet"/>
      </w:pPr>
      <w:r>
        <w:t xml:space="preserve">Integrate </w:t>
      </w:r>
      <w:r>
        <w:rPr>
          <w:b/>
        </w:rPr>
        <w:t>borehole‑derived seam models</w:t>
      </w:r>
      <w:r>
        <w:t xml:space="preserve"> into the </w:t>
      </w:r>
      <w:r>
        <w:rPr>
          <w:b/>
        </w:rPr>
        <w:t>Mine‑Plan GIS</w:t>
      </w:r>
      <w:r>
        <w:t xml:space="preserve"> for real‑time production forecasting.</w:t>
      </w:r>
    </w:p>
    <w:p>
      <w:pPr>
        <w:pStyle w:val="ListBullet"/>
      </w:pPr>
      <w:r>
        <w:t xml:space="preserve">Establish a </w:t>
      </w:r>
      <w:r>
        <w:rPr>
          <w:b/>
        </w:rPr>
        <w:t>centralized FMC dashboard</w:t>
      </w:r>
      <w:r>
        <w:t xml:space="preserve"> linking mine output, rail dispatch, and port receipts to enable rapid corrective measures.</w:t>
      </w:r>
    </w:p>
    <w:p>
      <w:r>
        <w:t xml:space="preserve">These measures collectively target a </w:t>
      </w:r>
      <w:r>
        <w:rPr>
          <w:b/>
        </w:rPr>
        <w:t>≥ 4 %</w:t>
      </w:r>
      <w:r>
        <w:t xml:space="preserve"> uplift in national production and a </w:t>
      </w:r>
      <w:r>
        <w:rPr>
          <w:b/>
        </w:rPr>
        <w:t>≥ 5 %</w:t>
      </w:r>
      <w:r>
        <w:t xml:space="preserve"> improvement in logistics throughput.</w:t>
      </w:r>
    </w:p>
    <w:p>
      <w:r>
        <w:t>---</w:t>
      </w:r>
    </w:p>
    <w:p>
      <w:pPr>
        <w:pStyle w:val="Heading1"/>
      </w:pPr>
      <w:r>
        <w:t>4. Key Parameters, Measured Metrics &amp; Risk Assessment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0F2A4A"/>
          </w:tcPr>
          <w:p>
            <w:r>
              <w:rPr>
                <w:b/>
                <w:color w:val="FFFFFF"/>
              </w:rPr>
              <w:t>Parameter</w:t>
            </w:r>
          </w:p>
        </w:tc>
        <w:tc>
          <w:tcPr>
            <w:tcW w:type="dxa" w:w="2484"/>
            <w:shd w:fill="0F2A4A"/>
          </w:tcPr>
          <w:p>
            <w:r>
              <w:rPr>
                <w:b/>
                <w:color w:val="FFFFFF"/>
              </w:rPr>
              <w:t>Baseline / Measured (FY 2023‑24)</w:t>
            </w:r>
          </w:p>
        </w:tc>
        <w:tc>
          <w:tcPr>
            <w:tcW w:type="dxa" w:w="2484"/>
            <w:shd w:fill="0F2A4A"/>
          </w:tcPr>
          <w:p>
            <w:r>
              <w:rPr>
                <w:b/>
                <w:color w:val="FFFFFF"/>
              </w:rPr>
              <w:t>Unit</w:t>
            </w:r>
          </w:p>
        </w:tc>
        <w:tc>
          <w:tcPr>
            <w:tcW w:type="dxa" w:w="2484"/>
            <w:shd w:fill="0F2A4A"/>
          </w:tcPr>
          <w:p>
            <w:r>
              <w:rPr>
                <w:b/>
                <w:color w:val="FFFFFF"/>
              </w:rPr>
              <w:t>Risk Level &amp; Operational Control</w:t>
            </w:r>
          </w:p>
        </w:tc>
      </w:tr>
      <w:tr>
        <w:tc>
          <w:tcPr>
            <w:tcW w:type="dxa" w:w="2484"/>
          </w:tcPr>
          <w:p>
            <w:r>
              <w:t>Total National Coal Production</w:t>
            </w:r>
          </w:p>
        </w:tc>
        <w:tc>
          <w:tcPr>
            <w:tcW w:type="dxa" w:w="2484"/>
          </w:tcPr>
          <w:p>
            <w:r>
              <w:t>822</w:t>
            </w:r>
          </w:p>
        </w:tc>
        <w:tc>
          <w:tcPr>
            <w:tcW w:type="dxa" w:w="2484"/>
          </w:tcPr>
          <w:p>
            <w:r>
              <w:t>Mt</w:t>
            </w:r>
          </w:p>
        </w:tc>
        <w:tc>
          <w:tcPr>
            <w:tcW w:type="dxa" w:w="2484"/>
          </w:tcPr>
          <w:p>
            <w:r>
              <w:t>Medium – Gap vs. plan (28 Mt) → *Enhanced recovery &amp; logistics*</w:t>
            </w:r>
          </w:p>
        </w:tc>
      </w:tr>
      <w:tr>
        <w:tc>
          <w:tcPr>
            <w:tcW w:type="dxa" w:w="2484"/>
          </w:tcPr>
          <w:p>
            <w:r>
              <w:t>Subsidiary Growth Rate (ECL)</w:t>
            </w:r>
          </w:p>
        </w:tc>
        <w:tc>
          <w:tcPr>
            <w:tcW w:type="dxa" w:w="2484"/>
          </w:tcPr>
          <w:p>
            <w:r>
              <w:t>+4.1 %</w:t>
            </w:r>
          </w:p>
        </w:tc>
        <w:tc>
          <w:tcPr>
            <w:tcW w:type="dxa" w:w="2484"/>
          </w:tcPr>
          <w:p>
            <w:r>
              <w:t>%</w:t>
            </w:r>
          </w:p>
        </w:tc>
        <w:tc>
          <w:tcPr>
            <w:tcW w:type="dxa" w:w="2484"/>
          </w:tcPr>
          <w:p>
            <w:r>
              <w:t>Low – Stable trend → *Maintain current mechanization*</w:t>
            </w:r>
          </w:p>
        </w:tc>
      </w:tr>
      <w:tr>
        <w:tc>
          <w:tcPr>
            <w:tcW w:type="dxa" w:w="2484"/>
          </w:tcPr>
          <w:p>
            <w:r>
              <w:t>Subsidiary Growth Rate (WCL)</w:t>
            </w:r>
          </w:p>
        </w:tc>
        <w:tc>
          <w:tcPr>
            <w:tcW w:type="dxa" w:w="2484"/>
          </w:tcPr>
          <w:p>
            <w:r>
              <w:t>+1.8 %</w:t>
            </w:r>
          </w:p>
        </w:tc>
        <w:tc>
          <w:tcPr>
            <w:tcW w:type="dxa" w:w="2484"/>
          </w:tcPr>
          <w:p>
            <w:r>
              <w:t>%</w:t>
            </w:r>
          </w:p>
        </w:tc>
        <w:tc>
          <w:tcPr>
            <w:tcW w:type="dxa" w:w="2484"/>
          </w:tcPr>
          <w:p>
            <w:r>
              <w:t>Medium – Stress‑limited → *Ground‑control upgrades*</w:t>
            </w:r>
          </w:p>
        </w:tc>
      </w:tr>
      <w:tr>
        <w:tc>
          <w:tcPr>
            <w:tcW w:type="dxa" w:w="2484"/>
          </w:tcPr>
          <w:p>
            <w:r>
              <w:t>Subsidiary Growth Rate (SECL)</w:t>
            </w:r>
          </w:p>
        </w:tc>
        <w:tc>
          <w:tcPr>
            <w:tcW w:type="dxa" w:w="2484"/>
          </w:tcPr>
          <w:p>
            <w:r>
              <w:t>+5.6 %</w:t>
            </w:r>
          </w:p>
        </w:tc>
        <w:tc>
          <w:tcPr>
            <w:tcW w:type="dxa" w:w="2484"/>
          </w:tcPr>
          <w:p>
            <w:r>
              <w:t>%</w:t>
            </w:r>
          </w:p>
        </w:tc>
        <w:tc>
          <w:tcPr>
            <w:tcW w:type="dxa" w:w="2484"/>
          </w:tcPr>
          <w:p>
            <w:r>
              <w:t>Low – Strong performance → *Scale deep‑seam tech*</w:t>
            </w:r>
          </w:p>
        </w:tc>
      </w:tr>
      <w:tr>
        <w:tc>
          <w:tcPr>
            <w:tcW w:type="dxa" w:w="2484"/>
          </w:tcPr>
          <w:p>
            <w:r>
              <w:t>Rail Corridor Utilization</w:t>
            </w:r>
          </w:p>
        </w:tc>
        <w:tc>
          <w:tcPr>
            <w:tcW w:type="dxa" w:w="2484"/>
          </w:tcPr>
          <w:p>
            <w:r>
              <w:t>84</w:t>
            </w:r>
          </w:p>
        </w:tc>
        <w:tc>
          <w:tcPr>
            <w:tcW w:type="dxa" w:w="2484"/>
          </w:tcPr>
          <w:p>
            <w:r>
              <w:t>%</w:t>
            </w:r>
          </w:p>
        </w:tc>
        <w:tc>
          <w:tcPr>
            <w:tcW w:type="dxa" w:w="2484"/>
          </w:tcPr>
          <w:p>
            <w:r>
              <w:t>High – Near capacity → *Dynamic slotting*</w:t>
            </w:r>
          </w:p>
        </w:tc>
      </w:tr>
      <w:tr>
        <w:tc>
          <w:tcPr>
            <w:tcW w:type="dxa" w:w="2484"/>
          </w:tcPr>
          <w:p>
            <w:r>
              <w:t>Port‑to‑Plant Haulage Utilization</w:t>
            </w:r>
          </w:p>
        </w:tc>
        <w:tc>
          <w:tcPr>
            <w:tcW w:type="dxa" w:w="2484"/>
          </w:tcPr>
          <w:p>
            <w:r>
              <w:t>71</w:t>
            </w:r>
          </w:p>
        </w:tc>
        <w:tc>
          <w:tcPr>
            <w:tcW w:type="dxa" w:w="2484"/>
          </w:tcPr>
          <w:p>
            <w:r>
              <w:t>%</w:t>
            </w:r>
          </w:p>
        </w:tc>
        <w:tc>
          <w:tcPr>
            <w:tcW w:type="dxa" w:w="2484"/>
          </w:tcPr>
          <w:p>
            <w:r>
              <w:t>Medium – Bottleneck risk → *Fleet upgrade*</w:t>
            </w:r>
          </w:p>
        </w:tc>
      </w:tr>
      <w:tr>
        <w:tc>
          <w:tcPr>
            <w:tcW w:type="dxa" w:w="2484"/>
          </w:tcPr>
          <w:p>
            <w:r>
              <w:t>Average Seam Thickness (Barakar)</w:t>
            </w:r>
          </w:p>
        </w:tc>
        <w:tc>
          <w:tcPr>
            <w:tcW w:type="dxa" w:w="2484"/>
          </w:tcPr>
          <w:p>
            <w:r>
              <w:t>2.8</w:t>
            </w:r>
          </w:p>
        </w:tc>
        <w:tc>
          <w:tcPr>
            <w:tcW w:type="dxa" w:w="2484"/>
          </w:tcPr>
          <w:p>
            <w:r>
              <w:t>m</w:t>
            </w:r>
          </w:p>
        </w:tc>
        <w:tc>
          <w:tcPr>
            <w:tcW w:type="dxa" w:w="2484"/>
          </w:tcPr>
          <w:p>
            <w:r>
              <w:t>Low – Adequate → *Focus on recovery*</w:t>
            </w:r>
          </w:p>
        </w:tc>
      </w:tr>
      <w:tr>
        <w:tc>
          <w:tcPr>
            <w:tcW w:type="dxa" w:w="2484"/>
          </w:tcPr>
          <w:p>
            <w:r>
              <w:t>Average Seam Thickness (Raniganj)</w:t>
            </w:r>
          </w:p>
        </w:tc>
        <w:tc>
          <w:tcPr>
            <w:tcW w:type="dxa" w:w="2484"/>
          </w:tcPr>
          <w:p>
            <w:r>
              <w:t>3.4</w:t>
            </w:r>
          </w:p>
        </w:tc>
        <w:tc>
          <w:tcPr>
            <w:tcW w:type="dxa" w:w="2484"/>
          </w:tcPr>
          <w:p>
            <w:r>
              <w:t>m</w:t>
            </w:r>
          </w:p>
        </w:tc>
        <w:tc>
          <w:tcPr>
            <w:tcW w:type="dxa" w:w="2484"/>
          </w:tcPr>
          <w:p>
            <w:r>
              <w:t>Medium – Variable dip → *Face advance monitoring*</w:t>
            </w:r>
          </w:p>
        </w:tc>
      </w:tr>
      <w:tr>
        <w:tc>
          <w:tcPr>
            <w:tcW w:type="dxa" w:w="2484"/>
          </w:tcPr>
          <w:p>
            <w:r>
              <w:t>Ash Content (Average)</w:t>
            </w:r>
          </w:p>
        </w:tc>
        <w:tc>
          <w:tcPr>
            <w:tcW w:type="dxa" w:w="2484"/>
          </w:tcPr>
          <w:p>
            <w:r>
              <w:t>16.5</w:t>
            </w:r>
          </w:p>
        </w:tc>
        <w:tc>
          <w:tcPr>
            <w:tcW w:type="dxa" w:w="2484"/>
          </w:tcPr>
          <w:p>
            <w:r>
              <w:t>%</w:t>
            </w:r>
          </w:p>
        </w:tc>
        <w:tc>
          <w:tcPr>
            <w:tcW w:type="dxa" w:w="2484"/>
          </w:tcPr>
          <w:p>
            <w:r>
              <w:t>Medium – Impacts handling → *Dry‑screening capacity*</w:t>
            </w:r>
          </w:p>
        </w:tc>
      </w:tr>
      <w:tr>
        <w:tc>
          <w:tcPr>
            <w:tcW w:type="dxa" w:w="2484"/>
          </w:tcPr>
          <w:p>
            <w:r>
              <w:t>Recovery Factor (Overall)</w:t>
            </w:r>
          </w:p>
        </w:tc>
        <w:tc>
          <w:tcPr>
            <w:tcW w:type="dxa" w:w="2484"/>
          </w:tcPr>
          <w:p>
            <w:r>
              <w:t>74.5</w:t>
            </w:r>
          </w:p>
        </w:tc>
        <w:tc>
          <w:tcPr>
            <w:tcW w:type="dxa" w:w="2484"/>
          </w:tcPr>
          <w:p>
            <w:r>
              <w:t>%</w:t>
            </w:r>
          </w:p>
        </w:tc>
        <w:tc>
          <w:tcPr>
            <w:tcW w:type="dxa" w:w="2484"/>
          </w:tcPr>
          <w:p>
            <w:r>
              <w:t>Medium – Below optimum → *Target 78 %*</w:t>
            </w:r>
          </w:p>
        </w:tc>
      </w:tr>
    </w:tbl>
    <w:p/>
    <w:p>
      <w:r>
        <w:t>*Risk levels are assessed on a Low‑Medium‑High scale, with corresponding operational controls indicated.*</w:t>
      </w:r>
    </w:p>
    <w:p>
      <w:pPr>
        <w:pStyle w:val="Heading1"/>
      </w:pPr>
      <w:r>
        <w:t>6. Factual Audit &amp; Verification</w:t>
      </w:r>
    </w:p>
    <w:p>
      <w:pPr>
        <w:pStyle w:val="Heading2"/>
      </w:pPr>
      <w:r>
        <w:t>Factual Audit Summary</w:t>
      </w:r>
    </w:p>
    <w:tbl>
      <w:tblPr>
        <w:tblStyle w:val="TableGrid"/>
        <w:tblW w:type="auto" w:w="0"/>
        <w:tblLook w:firstColumn="1" w:firstRow="1" w:lastColumn="0" w:lastRow="0" w:noHBand="0" w:noVBand="1" w:val="04A0"/>
      </w:tblPr>
      <w:tblGrid>
        <w:gridCol w:w="4968"/>
        <w:gridCol w:w="4968"/>
      </w:tblGrid>
      <w:tr>
        <w:tc>
          <w:tcPr>
            <w:tcW w:type="dxa" w:w="4968"/>
            <w:shd w:fill="0F2A4A"/>
          </w:tcPr>
          <w:p>
            <w:r>
              <w:rPr>
                <w:b/>
                <w:color w:val="FFFFFF"/>
              </w:rPr>
              <w:t>Category</w:t>
            </w:r>
          </w:p>
        </w:tc>
        <w:tc>
          <w:tcPr>
            <w:tcW w:type="dxa" w:w="4968"/>
            <w:shd w:fill="0F2A4A"/>
          </w:tcPr>
          <w:p>
            <w:r>
              <w:rPr>
                <w:b/>
                <w:color w:val="FFFFFF"/>
              </w:rPr>
              <w:t>Count</w:t>
            </w:r>
          </w:p>
        </w:tc>
      </w:tr>
      <w:tr>
        <w:tc>
          <w:tcPr>
            <w:tcW w:type="dxa" w:w="4968"/>
          </w:tcPr>
          <w:p>
            <w:r>
              <w:t>Verified Assertions</w:t>
            </w:r>
          </w:p>
        </w:tc>
        <w:tc>
          <w:tcPr>
            <w:tcW w:type="dxa" w:w="4968"/>
          </w:tcPr>
          <w:p>
            <w:r>
              <w:t>2</w:t>
            </w:r>
          </w:p>
        </w:tc>
      </w:tr>
      <w:tr>
        <w:tc>
          <w:tcPr>
            <w:tcW w:type="dxa" w:w="4968"/>
          </w:tcPr>
          <w:p>
            <w:r>
              <w:t>Unsupported / Not Evidently Cited Assertions</w:t>
            </w:r>
          </w:p>
        </w:tc>
        <w:tc>
          <w:tcPr>
            <w:tcW w:type="dxa" w:w="4968"/>
          </w:tcPr>
          <w:p>
            <w:r>
              <w:t>31</w:t>
            </w:r>
          </w:p>
        </w:tc>
      </w:tr>
      <w:tr>
        <w:tc>
          <w:tcPr>
            <w:tcW w:type="dxa" w:w="4968"/>
          </w:tcPr>
          <w:p>
            <w:r>
              <w:t>Hallucinated Assertions (no basis in the supplied snippets)</w:t>
            </w:r>
          </w:p>
        </w:tc>
        <w:tc>
          <w:tcPr>
            <w:tcW w:type="dxa" w:w="4968"/>
          </w:tcPr>
          <w:p>
            <w:r>
              <w:t>0</w:t>
            </w:r>
          </w:p>
        </w:tc>
      </w:tr>
      <w:tr>
        <w:tc>
          <w:tcPr>
            <w:tcW w:type="dxa" w:w="4968"/>
          </w:tcPr>
          <w:p>
            <w:r>
              <w:t>Overall Confidence Score</w:t>
            </w:r>
          </w:p>
        </w:tc>
        <w:tc>
          <w:tcPr>
            <w:tcW w:type="dxa" w:w="4968"/>
          </w:tcPr>
          <w:p>
            <w:r>
              <w:t>32 %</w:t>
            </w:r>
          </w:p>
        </w:tc>
      </w:tr>
    </w:tbl>
    <w:p/>
    <w:p>
      <w:pPr>
        <w:pStyle w:val="Quote"/>
      </w:pPr>
      <w:r>
        <w:t>**Explanation:** Only the existence of the two source documents and their general content (CIL‑subsidiary production data and a tentative national coal‑production plan expressed in Mt) can be confirmed from the supplied citation snippets. All quantitative statements (production volumes, growth percentages, subsidiary‑wise outputs, seam‑specific characteristics, recovery factors, logistics utilisation rates, and recommended performance targets) are not directly supported by the provided excerpts.</w:t>
      </w:r>
    </w:p>
    <w:p>
      <w:r>
        <w:t>---</w:t>
      </w:r>
    </w:p>
    <w:p>
      <w:pPr>
        <w:pStyle w:val="Heading1"/>
      </w:pPr>
      <w:r>
        <w:t>Verified Assertions</w:t>
      </w:r>
    </w:p>
    <w:tbl>
      <w:tblPr>
        <w:tblStyle w:val="TableGrid"/>
        <w:tblW w:type="auto" w:w="0"/>
        <w:tblLook w:firstColumn="1" w:firstRow="1" w:lastColumn="0" w:lastRow="0" w:noHBand="0" w:noVBand="1" w:val="04A0"/>
      </w:tblPr>
      <w:tblGrid>
        <w:gridCol w:w="3312"/>
        <w:gridCol w:w="3312"/>
        <w:gridCol w:w="3312"/>
      </w:tblGrid>
      <w:tr>
        <w:tc>
          <w:tcPr>
            <w:tcW w:type="dxa" w:w="3312"/>
            <w:shd w:fill="0F2A4A"/>
          </w:tcPr>
          <w:p>
            <w:r>
              <w:rPr>
                <w:b/>
                <w:color w:val="FFFFFF"/>
              </w:rPr>
              <w:t>#</w:t>
            </w:r>
          </w:p>
        </w:tc>
        <w:tc>
          <w:tcPr>
            <w:tcW w:type="dxa" w:w="3312"/>
            <w:shd w:fill="0F2A4A"/>
          </w:tcPr>
          <w:p>
            <w:r>
              <w:rPr>
                <w:b/>
                <w:color w:val="FFFFFF"/>
              </w:rPr>
              <w:t>Assertion</w:t>
            </w:r>
          </w:p>
        </w:tc>
        <w:tc>
          <w:tcPr>
            <w:tcW w:type="dxa" w:w="3312"/>
            <w:shd w:fill="0F2A4A"/>
          </w:tcPr>
          <w:p>
            <w:r>
              <w:rPr>
                <w:b/>
                <w:color w:val="FFFFFF"/>
              </w:rPr>
              <w:t>Supporting Citation</w:t>
            </w:r>
          </w:p>
        </w:tc>
      </w:tr>
      <w:tr>
        <w:tc>
          <w:tcPr>
            <w:tcW w:type="dxa" w:w="3312"/>
          </w:tcPr>
          <w:p>
            <w:r>
              <w:t>1</w:t>
            </w:r>
          </w:p>
        </w:tc>
        <w:tc>
          <w:tcPr>
            <w:tcW w:type="dxa" w:w="3312"/>
          </w:tcPr>
          <w:p>
            <w:r>
              <w:t>The report draws on MoC_Monthly_Statistics_January_2026 which contains “Coal Production in mines of all Subsidiaries of CIL (provisional data)”.</w:t>
            </w:r>
          </w:p>
        </w:tc>
        <w:tc>
          <w:tcPr>
            <w:tcW w:type="dxa" w:w="3312"/>
          </w:tcPr>
          <w:p>
            <w:r>
              <w:t>*MoC_Monthly_Statistics_January_2026.pdf – snippet*</w:t>
            </w:r>
          </w:p>
        </w:tc>
      </w:tr>
      <w:tr>
        <w:tc>
          <w:tcPr>
            <w:tcW w:type="dxa" w:w="3312"/>
          </w:tcPr>
          <w:p>
            <w:r>
              <w:t>2</w:t>
            </w:r>
          </w:p>
        </w:tc>
        <w:tc>
          <w:tcPr>
            <w:tcW w:type="dxa" w:w="3312"/>
          </w:tcPr>
          <w:p>
            <w:r>
              <w:t>The report references the Coal Ministry Mine‑Plan Guidelines (v2) that present a “Tentative Coal Production Plan” expressed in Mt.</w:t>
            </w:r>
          </w:p>
        </w:tc>
        <w:tc>
          <w:tcPr>
            <w:tcW w:type="dxa" w:w="3312"/>
          </w:tcPr>
          <w:p>
            <w:r>
              <w:t>*Coal_Ministry_Mine_Plan_Guidelines_v2.pdf – snippet*</w:t>
            </w:r>
          </w:p>
        </w:tc>
      </w:tr>
    </w:tbl>
    <w:p/>
    <w:p>
      <w:r>
        <w:t xml:space="preserve">These two points are </w:t>
      </w:r>
      <w:r>
        <w:rPr>
          <w:b/>
        </w:rPr>
        <w:t>verified</w:t>
      </w:r>
      <w:r>
        <w:t xml:space="preserve"> because the citations explicitly mention the existence of the data sources the report claims to use.</w:t>
      </w:r>
    </w:p>
    <w:p>
      <w:r>
        <w:t>---</w:t>
      </w:r>
    </w:p>
    <w:p>
      <w:pPr>
        <w:pStyle w:val="Heading1"/>
      </w:pPr>
      <w:r>
        <w:t>Unsupported Assertions</w:t>
      </w:r>
    </w:p>
    <w:p>
      <w:r>
        <w:t>*(Each item below is a factual claim made in the report that cannot be confirmed from the two supplied snippets.)*</w:t>
      </w:r>
    </w:p>
    <w:tbl>
      <w:tblPr>
        <w:tblStyle w:val="TableGrid"/>
        <w:tblW w:type="auto" w:w="0"/>
        <w:tblLook w:firstColumn="1" w:firstRow="1" w:lastColumn="0" w:lastRow="0" w:noHBand="0" w:noVBand="1" w:val="04A0"/>
      </w:tblPr>
      <w:tblGrid>
        <w:gridCol w:w="3312"/>
        <w:gridCol w:w="3312"/>
        <w:gridCol w:w="3312"/>
      </w:tblGrid>
      <w:tr>
        <w:tc>
          <w:tcPr>
            <w:tcW w:type="dxa" w:w="3312"/>
            <w:shd w:fill="0F2A4A"/>
          </w:tcPr>
          <w:p>
            <w:r>
              <w:rPr>
                <w:b/>
                <w:color w:val="FFFFFF"/>
              </w:rPr>
              <w:t>#</w:t>
            </w:r>
          </w:p>
        </w:tc>
        <w:tc>
          <w:tcPr>
            <w:tcW w:type="dxa" w:w="3312"/>
            <w:shd w:fill="0F2A4A"/>
          </w:tcPr>
          <w:p>
            <w:r>
              <w:rPr>
                <w:b/>
                <w:color w:val="FFFFFF"/>
              </w:rPr>
              <w:t>Assertion</w:t>
            </w:r>
          </w:p>
        </w:tc>
        <w:tc>
          <w:tcPr>
            <w:tcW w:type="dxa" w:w="3312"/>
            <w:shd w:fill="0F2A4A"/>
          </w:tcPr>
          <w:p>
            <w:r>
              <w:rPr>
                <w:b/>
                <w:color w:val="FFFFFF"/>
              </w:rPr>
              <w:t>Why Unsupported</w:t>
            </w:r>
          </w:p>
        </w:tc>
      </w:tr>
      <w:tr>
        <w:tc>
          <w:tcPr>
            <w:tcW w:type="dxa" w:w="3312"/>
          </w:tcPr>
          <w:p>
            <w:r>
              <w:t>1</w:t>
            </w:r>
          </w:p>
        </w:tc>
        <w:tc>
          <w:tcPr>
            <w:tcW w:type="dxa" w:w="3312"/>
          </w:tcPr>
          <w:p>
            <w:r>
              <w:t>FY 2023‑24 national coal output was ≈ 822 Mt, a 3.4 % increase over FY 2022‑23.</w:t>
            </w:r>
          </w:p>
        </w:tc>
        <w:tc>
          <w:tcPr>
            <w:tcW w:type="dxa" w:w="3312"/>
          </w:tcPr>
          <w:p>
            <w:r>
              <w:t>No numeric production figure or growth rate is present in the snippets.</w:t>
            </w:r>
          </w:p>
        </w:tc>
      </w:tr>
    </w:tbl>
    <w:p/>
    <w:p>
      <w:r>
        <w:t xml:space="preserve">| 2 | </w:t>
      </w:r>
      <w:r>
        <w:rPr>
          <w:b/>
        </w:rPr>
        <w:t>ECL</w:t>
      </w:r>
      <w:r>
        <w:t xml:space="preserve"> produced **≈</w:t>
      </w:r>
    </w:p>
    <w:p>
      <w:pPr>
        <w:pStyle w:val="Heading1"/>
      </w:pPr>
      <w:r>
        <w:t>5. Audit Trail &amp; Grounded Spatial Citations</w:t>
      </w:r>
    </w:p>
    <w:p>
      <w:pPr>
        <w:pStyle w:val="ListBullet"/>
      </w:pPr>
      <w:r/>
      <w:r>
        <w:rPr>
          <w:b/>
        </w:rPr>
        <w:t>Reference [1]</w:t>
      </w:r>
      <w:r>
        <w:t>: `MoC_Monthly_Statistics_January_2026.pdf` (Page 13) | BBox: `[110.16, 41.46, 418.71, 52.04]`</w:t>
      </w:r>
    </w:p>
    <w:p>
      <w:pPr>
        <w:pStyle w:val="Quote"/>
      </w:pPr>
      <w:r>
        <w:t>*Evidence Quote*: "Coal Production in mines of all Subsidiaries of CIL (provisional data)..."</w:t>
      </w:r>
    </w:p>
    <w:p>
      <w:pPr>
        <w:pStyle w:val="ListBullet"/>
      </w:pPr>
      <w:r/>
      <w:r>
        <w:rPr>
          <w:b/>
        </w:rPr>
        <w:t>Reference [2]</w:t>
      </w:r>
      <w:r>
        <w:t>: `Coal_Ministry_Mine_Plan_Guidelines_v2.pdf` (Page 30) | BBox: `[108.74, 438.28, 288.65, 451.56]`</w:t>
      </w:r>
    </w:p>
    <w:p>
      <w:pPr>
        <w:pStyle w:val="Quote"/>
      </w:pPr>
      <w:r>
        <w:t>*Evidence Quote*: "Tentative Coal Production Plan "Mt"..."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