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87" w:rsidRPr="00976387" w:rsidRDefault="00976387" w:rsidP="00480D4A">
      <w:pPr>
        <w:pStyle w:val="Normal1"/>
        <w:rPr>
          <w:rFonts w:ascii="Arial" w:hAnsi="Arial" w:cs="Arial"/>
          <w:b/>
          <w:bCs/>
          <w:color w:val="123654"/>
          <w:sz w:val="27"/>
          <w:szCs w:val="27"/>
        </w:rPr>
      </w:pPr>
      <w:r w:rsidRPr="00976387">
        <w:rPr>
          <w:rFonts w:ascii="Arial" w:hAnsi="Arial" w:cs="Arial"/>
          <w:b/>
          <w:bCs/>
          <w:color w:val="123654"/>
          <w:sz w:val="27"/>
          <w:szCs w:val="27"/>
        </w:rPr>
        <w:t>Business Problem:</w:t>
      </w:r>
    </w:p>
    <w:p w:rsidR="005E14EC" w:rsidRDefault="00E5501C" w:rsidP="00480D4A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Silver Sterling is a banking company also into the credit card services. </w:t>
      </w:r>
      <w:r w:rsidR="00065623">
        <w:rPr>
          <w:rFonts w:ascii="Arial" w:hAnsi="Arial" w:cs="Arial"/>
          <w:color w:val="123654"/>
          <w:sz w:val="20"/>
          <w:szCs w:val="20"/>
        </w:rPr>
        <w:t xml:space="preserve">The company was facing various problems cause of payment defaults by the credit card holders. </w:t>
      </w:r>
      <w:r>
        <w:rPr>
          <w:rFonts w:ascii="Arial" w:hAnsi="Arial" w:cs="Arial"/>
          <w:color w:val="123654"/>
          <w:sz w:val="20"/>
          <w:szCs w:val="20"/>
        </w:rPr>
        <w:t>The</w:t>
      </w:r>
      <w:r w:rsidR="00065623">
        <w:rPr>
          <w:rFonts w:ascii="Arial" w:hAnsi="Arial" w:cs="Arial"/>
          <w:color w:val="123654"/>
          <w:sz w:val="20"/>
          <w:szCs w:val="20"/>
        </w:rPr>
        <w:t>y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 w:rsidR="00065623">
        <w:rPr>
          <w:rFonts w:ascii="Arial" w:hAnsi="Arial" w:cs="Arial"/>
          <w:color w:val="123654"/>
          <w:sz w:val="20"/>
          <w:szCs w:val="20"/>
        </w:rPr>
        <w:t>want</w:t>
      </w:r>
      <w:r w:rsidR="005E14EC">
        <w:rPr>
          <w:rFonts w:ascii="Arial" w:hAnsi="Arial" w:cs="Arial"/>
          <w:color w:val="123654"/>
          <w:sz w:val="20"/>
          <w:szCs w:val="20"/>
        </w:rPr>
        <w:t xml:space="preserve"> to assess</w:t>
      </w:r>
      <w:r w:rsidR="007A25B0">
        <w:rPr>
          <w:rFonts w:ascii="Arial" w:hAnsi="Arial" w:cs="Arial"/>
          <w:color w:val="123654"/>
          <w:sz w:val="20"/>
          <w:szCs w:val="20"/>
        </w:rPr>
        <w:t xml:space="preserve"> the risk of payment </w:t>
      </w:r>
      <w:r>
        <w:rPr>
          <w:rFonts w:ascii="Arial" w:hAnsi="Arial" w:cs="Arial"/>
          <w:color w:val="123654"/>
          <w:sz w:val="20"/>
          <w:szCs w:val="20"/>
        </w:rPr>
        <w:t>default for its var</w:t>
      </w:r>
      <w:r w:rsidR="00065623">
        <w:rPr>
          <w:rFonts w:ascii="Arial" w:hAnsi="Arial" w:cs="Arial"/>
          <w:color w:val="123654"/>
          <w:sz w:val="20"/>
          <w:szCs w:val="20"/>
        </w:rPr>
        <w:t>ious credit card holders by identifying defaulters and non- defaulters</w:t>
      </w:r>
    </w:p>
    <w:p w:rsidR="00480D4A" w:rsidRDefault="00065623" w:rsidP="00480D4A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Variable</w:t>
      </w:r>
      <w:r w:rsidR="00480D4A">
        <w:rPr>
          <w:rFonts w:ascii="Arial" w:hAnsi="Arial" w:cs="Arial"/>
          <w:b/>
          <w:bCs/>
          <w:color w:val="123654"/>
          <w:sz w:val="27"/>
          <w:szCs w:val="27"/>
        </w:rPr>
        <w:t xml:space="preserve"> Information:</w:t>
      </w:r>
      <w:bookmarkStart w:id="0" w:name="_GoBack"/>
      <w:bookmarkEnd w:id="0"/>
    </w:p>
    <w:p w:rsidR="00480D4A" w:rsidRDefault="00065623" w:rsidP="00480D4A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D</w:t>
      </w:r>
      <w:r w:rsidR="00480D4A">
        <w:rPr>
          <w:rFonts w:ascii="Arial" w:hAnsi="Arial" w:cs="Arial"/>
          <w:color w:val="123654"/>
          <w:sz w:val="20"/>
          <w:szCs w:val="20"/>
        </w:rPr>
        <w:t>efault payment (Yes = 1, No = 0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)</w:t>
      </w:r>
      <w:proofErr w:type="gramEnd"/>
      <w:r w:rsidR="00480D4A">
        <w:rPr>
          <w:rFonts w:ascii="Arial" w:hAnsi="Arial" w:cs="Arial"/>
          <w:color w:val="123654"/>
          <w:sz w:val="20"/>
          <w:szCs w:val="20"/>
        </w:rPr>
        <w:br/>
        <w:t>X1: Amount of the given credit (NT dollar): it includes both the individual consumer credit and his/her family (supplementary) credit.</w:t>
      </w:r>
      <w:r w:rsidR="00480D4A"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 w:rsidR="00480D4A">
        <w:rPr>
          <w:rFonts w:ascii="Arial" w:hAnsi="Arial" w:cs="Arial"/>
          <w:color w:val="123654"/>
          <w:sz w:val="20"/>
          <w:szCs w:val="20"/>
        </w:rPr>
        <w:br/>
        <w:t>X2: Gender (1 = male; 2 = female).</w:t>
      </w:r>
      <w:r w:rsidR="00480D4A"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 w:rsidR="00480D4A">
        <w:rPr>
          <w:rFonts w:ascii="Arial" w:hAnsi="Arial" w:cs="Arial"/>
          <w:color w:val="123654"/>
          <w:sz w:val="20"/>
          <w:szCs w:val="20"/>
        </w:rPr>
        <w:br/>
        <w:t>X3: Education (1 = graduate school; 2 = university; 3 = high school; 4 = others).</w:t>
      </w:r>
      <w:r w:rsidR="00480D4A"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 w:rsidR="00480D4A">
        <w:rPr>
          <w:rFonts w:ascii="Arial" w:hAnsi="Arial" w:cs="Arial"/>
          <w:color w:val="123654"/>
          <w:sz w:val="20"/>
          <w:szCs w:val="20"/>
        </w:rPr>
        <w:br/>
        <w:t>X4: Marital status (1 = married; 2 = single; 3 = others).</w:t>
      </w:r>
      <w:r w:rsidR="00480D4A"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 w:rsidR="00480D4A">
        <w:rPr>
          <w:rFonts w:ascii="Arial" w:hAnsi="Arial" w:cs="Arial"/>
          <w:color w:val="123654"/>
          <w:sz w:val="20"/>
          <w:szCs w:val="20"/>
        </w:rPr>
        <w:br/>
        <w:t>X5: Age (year).</w:t>
      </w:r>
      <w:r w:rsidR="00480D4A"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 w:rsidR="00480D4A">
        <w:rPr>
          <w:rFonts w:ascii="Arial" w:hAnsi="Arial" w:cs="Arial"/>
          <w:color w:val="123654"/>
          <w:sz w:val="20"/>
          <w:szCs w:val="20"/>
        </w:rPr>
        <w:br/>
        <w:t>X6 - X11: History of past payment. We tracked the past monthly payment records (from April to September, 2005) as follows: X6 = the repayment status in September, 2005; X7 = the repayment status in August, 2005; . . .</w:t>
      </w:r>
      <w:proofErr w:type="gramStart"/>
      <w:r w:rsidR="00480D4A">
        <w:rPr>
          <w:rFonts w:ascii="Arial" w:hAnsi="Arial" w:cs="Arial"/>
          <w:color w:val="123654"/>
          <w:sz w:val="20"/>
          <w:szCs w:val="20"/>
        </w:rPr>
        <w:t>;X11</w:t>
      </w:r>
      <w:proofErr w:type="gramEnd"/>
      <w:r w:rsidR="00480D4A">
        <w:rPr>
          <w:rFonts w:ascii="Arial" w:hAnsi="Arial" w:cs="Arial"/>
          <w:color w:val="123654"/>
          <w:sz w:val="20"/>
          <w:szCs w:val="20"/>
        </w:rPr>
        <w:t xml:space="preserve"> = the repayment status in April, 2005. The measurement scale for the repayment status is: -1 = pay duly; 1 = payment delay for one month; 2 = payment delay for two months; . . .; 8 = payment delay for eight months; 9 = payment delay for nine months and above.</w:t>
      </w:r>
      <w:r w:rsidR="00480D4A"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 w:rsidR="00480D4A">
        <w:rPr>
          <w:rFonts w:ascii="Arial" w:hAnsi="Arial" w:cs="Arial"/>
          <w:color w:val="123654"/>
          <w:sz w:val="20"/>
          <w:szCs w:val="20"/>
        </w:rPr>
        <w:br/>
        <w:t>X12-X17: Amount of bill statement (NT dollar). X12 = amount of bill statement in September, 2005; X13 = amount of bill statement in August, 2005; . . .; X17 = amount of bill statement in April, 2005.</w:t>
      </w:r>
      <w:r w:rsidR="00480D4A"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 w:rsidR="00480D4A">
        <w:rPr>
          <w:rFonts w:ascii="Arial" w:hAnsi="Arial" w:cs="Arial"/>
          <w:color w:val="123654"/>
          <w:sz w:val="20"/>
          <w:szCs w:val="20"/>
        </w:rPr>
        <w:br/>
        <w:t>X18-X23: Amount of previous payment (NT dollar). X18 = amount paid in September, 2005; X19 = amount paid in August, 2005; . . .</w:t>
      </w:r>
      <w:proofErr w:type="gramStart"/>
      <w:r w:rsidR="00480D4A">
        <w:rPr>
          <w:rFonts w:ascii="Arial" w:hAnsi="Arial" w:cs="Arial"/>
          <w:color w:val="123654"/>
          <w:sz w:val="20"/>
          <w:szCs w:val="20"/>
        </w:rPr>
        <w:t>;X23</w:t>
      </w:r>
      <w:proofErr w:type="gramEnd"/>
      <w:r w:rsidR="00480D4A">
        <w:rPr>
          <w:rFonts w:ascii="Arial" w:hAnsi="Arial" w:cs="Arial"/>
          <w:color w:val="123654"/>
          <w:sz w:val="20"/>
          <w:szCs w:val="20"/>
        </w:rPr>
        <w:t xml:space="preserve"> = amount paid in April, 2005.</w:t>
      </w:r>
      <w:r w:rsidR="00480D4A"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</w:p>
    <w:p w:rsidR="00553D88" w:rsidRDefault="005E14EC">
      <w:r>
        <w:t>Question:</w:t>
      </w:r>
    </w:p>
    <w:p w:rsidR="00CA117A" w:rsidRDefault="00CA117A" w:rsidP="00CA117A">
      <w:r>
        <w:t>1. What would be your dependent and independent variables?</w:t>
      </w:r>
    </w:p>
    <w:p w:rsidR="00CA117A" w:rsidRDefault="00CA117A" w:rsidP="00CA117A">
      <w:r>
        <w:t>2. How would you check for any outlier?</w:t>
      </w:r>
    </w:p>
    <w:p w:rsidR="00CA117A" w:rsidRDefault="00CA117A" w:rsidP="00CA117A">
      <w:r>
        <w:t>3. How would you check for multicollinearity amongst the variables?</w:t>
      </w:r>
    </w:p>
    <w:p w:rsidR="00CA117A" w:rsidRDefault="00CA117A" w:rsidP="00CA117A">
      <w:r>
        <w:t>4. What statistical method would you use here and why?</w:t>
      </w:r>
    </w:p>
    <w:p w:rsidR="00CA117A" w:rsidRDefault="00CA117A" w:rsidP="00CA117A">
      <w:r>
        <w:t>5. Explain the statistical output in business terms</w:t>
      </w:r>
    </w:p>
    <w:p w:rsidR="00CA117A" w:rsidRDefault="00CA117A" w:rsidP="00CA117A">
      <w:r>
        <w:t xml:space="preserve">6. </w:t>
      </w:r>
      <w:r w:rsidRPr="00CA117A">
        <w:t>From the perspective of risk management, what is more important? The overall classification result credible and non-credible results or the result of predictive accuracy of the e</w:t>
      </w:r>
      <w:r>
        <w:t>stimated probability of default</w:t>
      </w:r>
      <w:r w:rsidRPr="00CA117A">
        <w:t>?</w:t>
      </w:r>
    </w:p>
    <w:p w:rsidR="006C0B6F" w:rsidRPr="00CA117A" w:rsidRDefault="006C0B6F" w:rsidP="00CA117A">
      <w:r>
        <w:t>7. Are these variables good enough for a sound model or any some other attributes could have added value?</w:t>
      </w:r>
    </w:p>
    <w:p w:rsidR="00CA117A" w:rsidRDefault="00CA117A" w:rsidP="00CA117A"/>
    <w:p w:rsidR="00CA117A" w:rsidRDefault="00CA117A"/>
    <w:sectPr w:rsidR="00CA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B2"/>
    <w:rsid w:val="00065623"/>
    <w:rsid w:val="002F1737"/>
    <w:rsid w:val="00480D4A"/>
    <w:rsid w:val="004A34B2"/>
    <w:rsid w:val="005E14EC"/>
    <w:rsid w:val="006C0B6F"/>
    <w:rsid w:val="007A25B0"/>
    <w:rsid w:val="00976387"/>
    <w:rsid w:val="00C8131B"/>
    <w:rsid w:val="00CA117A"/>
    <w:rsid w:val="00E5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4E5B0-6D17-46FB-8D42-5161B256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48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48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 Mathur (Human Resources)</dc:creator>
  <cp:keywords/>
  <dc:description/>
  <cp:lastModifiedBy>Tina Dasgupta (WBPS - Knowledge Services)</cp:lastModifiedBy>
  <cp:revision>5</cp:revision>
  <dcterms:created xsi:type="dcterms:W3CDTF">2017-02-28T16:42:00Z</dcterms:created>
  <dcterms:modified xsi:type="dcterms:W3CDTF">2017-08-16T09:22:00Z</dcterms:modified>
</cp:coreProperties>
</file>