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Performance Personal Learning Journey</w:t>
      </w:r>
    </w:p>
    <w:p>
      <w:pPr>
        <w:pStyle w:val="Subtitle"/>
      </w:pPr>
      <w:r>
        <w:t>Member 1  Data Understanding and Exploratory Analysis</w:t>
      </w:r>
    </w:p>
    <w:p>
      <w:pPr>
        <w:spacing w:after="140"/>
      </w:pPr>
      <w:r>
        <w:rPr>
          <w:sz w:val="20"/>
        </w:rPr>
        <w:t>Name: [Full name]     Student ID: [Student ID]</w:t>
      </w:r>
    </w:p>
    <w:p>
      <w:pPr>
        <w:spacing w:after="100"/>
      </w:pPr>
      <w:r>
        <w:t>My assigned role is to establish what the student data represents and identify evidence that should guide preprocessing and modelling. The central lesson from this stage is that a useful pattern must be interpreted in its data and prediction-time context.</w:t>
      </w:r>
    </w:p>
    <w:p>
      <w:pPr>
        <w:pStyle w:val="Heading1"/>
      </w:pPr>
      <w:r>
        <w:t>Contribution and evidence</w:t>
      </w:r>
    </w:p>
    <w:p>
      <w:pPr>
        <w:spacing w:after="100"/>
      </w:pPr>
      <w:r>
        <w:t>The notebook associated with my role describes the Mathematics dataset, its source, student-level rows and 33 variables. It checks distributions, categories, missing values, duplicates and possible outliers, then examines relationships with final grade G3. The recorded scope is 395 students, with no missing cells or exact duplicate full rows. G3 is an integer-valued outcome on a 0–20 scale, although the project predicts a continuous grade.</w:t>
      </w:r>
    </w:p>
    <w:p>
      <w:pPr>
        <w:pStyle w:val="Heading1"/>
      </w:pPr>
      <w:r>
        <w:t>A decision that shaped the project</w:t>
      </w:r>
    </w:p>
    <w:p>
      <w:pPr>
        <w:spacing w:after="100"/>
      </w:pPr>
      <w:r>
        <w:t>The 38 zero final grades required more careful reasoning than simply treating them as unusual observations. Their causes are unknown, so the current project retains them. Excluding them would remove students relevant to the support objective and change the population being evaluated. Strong associations between G1/G2 and G3 also motivated separate feature scenarios; correlation alone does not establish leakage, because availability at the prediction date is what matters.</w:t>
      </w:r>
    </w:p>
    <w:p>
      <w:pPr>
        <w:pStyle w:val="Heading1"/>
      </w:pPr>
      <w:r>
        <w:t>Learning and critical judgement</w:t>
      </w:r>
    </w:p>
    <w:p>
      <w:pPr>
        <w:spacing w:after="100"/>
      </w:pPr>
      <w:r>
        <w:t>This work shows why statistical summaries, plots and variable definitions must be considered together. Absences have a long upper tail, but a large value is not automatically an error. Group differences and correlations suggest questions rather than prove causes. A remaining notebook issue is that the demographic plotting loop repeats school on the horizontal axis; those plots need correction before being used as evidence for other variables.</w:t>
      </w:r>
    </w:p>
    <w:p>
      <w:pPr>
        <w:pStyle w:val="Heading1"/>
      </w:pPr>
      <w:r>
        <w:t>Team handoff and next steps</w:t>
      </w:r>
    </w:p>
    <w:p>
      <w:pPr>
        <w:spacing w:after="100"/>
      </w:pPr>
      <w:r>
        <w:t>My role supplies the next stage with variable meanings, data-quality findings and questions about zeros, prior grades and absences. Member 2 can use these findings to justify transformations rather than apply a cleaning recipe. A limitation is that EDA examined the full data before splitting, so the later holdout is not fully blind to exploration. My next priorities would be accurate plot labels and clearer separation of observed evidence from hypotheses.</w:t>
      </w:r>
    </w:p>
    <w:p>
      <w:pPr>
        <w:pStyle w:val="Heading1"/>
      </w:pPr>
      <w:r>
        <w:t>Personal reflection to complete</w:t>
      </w:r>
    </w:p>
    <w:p>
      <w:pPr>
        <w:spacing w:after="100"/>
      </w:pPr>
      <w:r>
        <w:t>[Describe one EDA task you personally completed, a misunderstanding you corrected, and the output that helped you understand it. Confirm which parts of the notebook and dictionary you authored or reviewed.]</w:t>
      </w:r>
    </w:p>
    <w:p>
      <w:pPr>
        <w:pStyle w:val="Heading1"/>
      </w:pPr>
      <w:r>
        <w:t>Evidence and AI use</w:t>
      </w:r>
    </w:p>
    <w:p>
      <w:pPr>
        <w:spacing w:after="60"/>
      </w:pPr>
      <w:r>
        <w:t>Evidence: notebooks/01_data_understanding_eda.ipynb</w:t>
      </w:r>
    </w:p>
    <w:p>
      <w:pPr>
        <w:spacing w:after="0"/>
      </w:pPr>
      <w:r>
        <w:rPr>
          <w:sz w:val="19"/>
        </w:rPr>
        <w:t>AI assisted the drafting of this report. [Add your own AI or tool use, what you checked independently, and what you changed.]</w:t>
      </w:r>
    </w:p>
    <w:sectPr w:rsidR="00FC693F" w:rsidRPr="0006063C" w:rsidSect="00034616">
      <w:pgSz w:w="11909" w:h="16834"/>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4" w:lineRule="auto"/>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54"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4" w:lineRule="auto"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 1 Personal Learning Journey</dc:title>
  <dc:subject>Data Understanding and Exploratory Analysis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