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Performance Personal Learning Journey</w:t>
      </w:r>
    </w:p>
    <w:p>
      <w:pPr>
        <w:pStyle w:val="Subtitle"/>
      </w:pPr>
      <w:r>
        <w:t>Member 2  Preprocessing and Feature Engineering</w:t>
      </w:r>
    </w:p>
    <w:p>
      <w:pPr>
        <w:spacing w:after="140"/>
      </w:pPr>
      <w:r>
        <w:rPr>
          <w:sz w:val="20"/>
        </w:rPr>
        <w:t>Name: [Full name]     Student ID: [Student ID]</w:t>
      </w:r>
    </w:p>
    <w:p>
      <w:pPr>
        <w:spacing w:after="100"/>
      </w:pPr>
      <w:r>
        <w:t>My assigned role is to turn the understood dataset into consistent inputs for regression models. The main lesson from this stage is that preprocessing decisions must follow variable meaning and must be fitted at the correct point in validation.</w:t>
      </w:r>
    </w:p>
    <w:p>
      <w:pPr>
        <w:pStyle w:val="Heading1"/>
      </w:pPr>
      <w:r>
        <w:t>Contribution and evidence</w:t>
      </w:r>
    </w:p>
    <w:p>
      <w:pPr>
        <w:spacing w:after="100"/>
      </w:pPr>
      <w:r>
        <w:t>The preprocessing notebook retains all 395 students and separates target G3 from the inputs. The main scenario excludes G1/G2, leaving 30 raw features. The reproducible split assigns 316 students to training and 79 to testing. The implementation distinguishes 13 binary, four unordered nominal and ten ordinal features, plus age, failures and absences. Binary mappings are explicit, nominal variables use one-hot encoding, and ordered codes are retained numerically.</w:t>
      </w:r>
    </w:p>
    <w:p>
      <w:pPr>
        <w:pStyle w:val="Heading1"/>
      </w:pPr>
      <w:r>
        <w:t>A decision that shaped the project</w:t>
      </w:r>
    </w:p>
    <w:p>
      <w:pPr>
        <w:spacing w:after="100"/>
      </w:pPr>
      <w:r>
        <w:t>Right-skewed absences motivated comparison of the original values with log1p(absences). The transform preserves zeros and compresses the upper tail, but a more symmetric distribution does not itself prove improved prediction. Both representations are therefore evaluated using training cross-validation. Large absence values remain because they are not confirmed errors. No imputation is needed for the current complete dataset.</w:t>
      </w:r>
    </w:p>
    <w:p>
      <w:pPr>
        <w:pStyle w:val="Heading1"/>
      </w:pPr>
      <w:r>
        <w:t>Learning and critical judgement</w:t>
      </w:r>
    </w:p>
    <w:p>
      <w:pPr>
        <w:spacing w:after="100"/>
      </w:pPr>
      <w:r>
        <w:t>Standardization is appropriate for the numerical and ordered inputs of Linear Regression and Ridge; the tree models do not require it. Binary and one-hot features remain separate. The important validation lesson is to attach preprocessing to the estimator so each fold learns its own encoding and scaling. Fitting learned transformations on all data first would let held-out information influence validation. Treating ordinal codes as numeric also introduces a spacing assumption that deserves acknowledgement.</w:t>
      </w:r>
    </w:p>
    <w:p>
      <w:pPr>
        <w:pStyle w:val="Heading1"/>
      </w:pPr>
      <w:r>
        <w:t>Team handoff and next steps</w:t>
      </w:r>
    </w:p>
    <w:p>
      <w:pPr>
        <w:spacing w:after="100"/>
      </w:pPr>
      <w:r>
        <w:t>The shared make_preprocessor factory gives Member 3 a repeatable pipeline, including optional scaling, log absences and later-stage G1/G2 inclusion. Alignment, finite-value and column-consistency checks support this handoff. The 43-column demonstration uses full one-hot encoding; modelling uses reference-category encoding, producing 39 columns without prior grades and 41 with them. My next priorities would be confirming absence timing and the ambiguous source description of failures before operational interpretation.</w:t>
      </w:r>
    </w:p>
    <w:p>
      <w:pPr>
        <w:pStyle w:val="Heading1"/>
      </w:pPr>
      <w:r>
        <w:t>Personal reflection to complete</w:t>
      </w:r>
    </w:p>
    <w:p>
      <w:pPr>
        <w:spacing w:after="100"/>
      </w:pPr>
      <w:r>
        <w:t>[Describe one transformation or pipeline check you personally implemented or verified, what initially confused you, and how you resolved it. Confirm your actual contribution to the notebook and shared module.]</w:t>
      </w:r>
    </w:p>
    <w:p>
      <w:pPr>
        <w:pStyle w:val="Heading1"/>
      </w:pPr>
      <w:r>
        <w:t>Evidence and AI use</w:t>
      </w:r>
    </w:p>
    <w:p>
      <w:pPr>
        <w:spacing w:after="60"/>
      </w:pPr>
      <w:r>
        <w:t>Evidence: notebooks/02_preprocessing_feature_engineering_ipynb.ipynb; src/preprocessing.py</w:t>
      </w:r>
    </w:p>
    <w:p>
      <w:pPr>
        <w:spacing w:after="0"/>
      </w:pPr>
      <w:r>
        <w:rPr>
          <w:sz w:val="19"/>
        </w:rPr>
        <w:t>AI assisted the drafting of this report. [Add your own AI or tool use, what you checked independently, and what you changed.]</w:t>
      </w:r>
    </w:p>
    <w:sectPr w:rsidR="00FC693F" w:rsidRPr="0006063C" w:rsidSect="00034616">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54" w:lineRule="auto"/>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54"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4" w:lineRule="auto"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2 Personal Learning Journey</dc:title>
  <dc:subject>Preprocessing and Feature Engineering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