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Performance Personal Learning Journey</w:t>
      </w:r>
    </w:p>
    <w:p>
      <w:pPr>
        <w:pStyle w:val="Subtitle"/>
      </w:pPr>
      <w:r>
        <w:t>Member 4  Final Evaluation and Recommendations</w:t>
      </w:r>
    </w:p>
    <w:p>
      <w:pPr>
        <w:spacing w:after="140"/>
      </w:pPr>
      <w:r>
        <w:rPr>
          <w:sz w:val="20"/>
        </w:rPr>
        <w:t>Name: [Full name]     Student ID: [Student ID]</w:t>
      </w:r>
    </w:p>
    <w:p>
      <w:pPr>
        <w:spacing w:after="100"/>
      </w:pPr>
      <w:r>
        <w:t>My assigned role is to translate the selected models into an honest account of grade error, risk-flag reliability and possible stakeholder value. The main lesson from this stage is that a good-looking average score can conceal important missed support cases.</w:t>
      </w:r>
    </w:p>
    <w:p>
      <w:pPr>
        <w:pStyle w:val="Heading1"/>
      </w:pPr>
      <w:r>
        <w:t>Contribution and evidence</w:t>
      </w:r>
    </w:p>
    <w:p>
      <w:pPr>
        <w:spacing w:after="100"/>
      </w:pPr>
      <w:r>
        <w:t>Notebook 04 loads the two already-fitted pipelines, verifies their data and model metadata, and predicts the same 79 held-out students without refitting. It reports MAE, RMSE and R², residual plots, errors by observed grade group, risk metrics, confusion matrices and descriptive sex/school checks. Complete results remain in the notebook, while individual case views show up to ten rows to keep the presentation readable.</w:t>
      </w:r>
    </w:p>
    <w:p>
      <w:pPr>
        <w:pStyle w:val="Heading1"/>
      </w:pPr>
      <w:r>
        <w:t>A finding that shaped the recommendation</w:t>
      </w:r>
    </w:p>
    <w:p>
      <w:pPr>
        <w:spacing w:after="100"/>
      </w:pPr>
      <w:r>
        <w:t>The main model has test MAE 3.095, RMSE 3.871 and R² 0.269. Its rule finds only 10 of the 27 students below grade 10, misses 17 and produces 11 false positives. This makes recall particularly important: an unflagged student cannot be assumed to need no help. The G1/G2 model has MAE 1.170 and finds all 27 in this sample, but produces 10 false positives and requires later-period information.</w:t>
      </w:r>
    </w:p>
    <w:p>
      <w:pPr>
        <w:pStyle w:val="Heading1"/>
      </w:pPr>
      <w:r>
        <w:t>Learning and critical judgement</w:t>
      </w:r>
    </w:p>
    <w:p>
      <w:pPr>
        <w:spacing w:after="100"/>
      </w:pPr>
      <w:r>
        <w:t>A simple G2-unchanged prediction has lower MAE, 1.000, than the later-stage forest. G2 &lt; 10 misses one student with six false positives, so the forest catches one extra student at the cost of four extra flags. This comparison shows why recommendations should discuss workload and missed assistance rather than a single score. Residuals also reveal overprediction of low grades and large errors among zero-grade students. Perfect observed recall in a small test sample is not a future guarantee.</w:t>
      </w:r>
    </w:p>
    <w:p>
      <w:pPr>
        <w:pStyle w:val="Heading1"/>
      </w:pPr>
      <w:r>
        <w:t>Team handoff and next steps</w:t>
      </w:r>
    </w:p>
    <w:p>
      <w:pPr>
        <w:spacing w:after="100"/>
      </w:pPr>
      <w:r>
        <w:t>The recommendations connect Member 3’s frozen models to staff-reviewed support, such as checking current performance and discussing tutoring or study planning. The model should not determine grading, discipline or denial of assistance. A new cohort is needed for further validation; the current test set is already used. Input availability, zero-grade causes, the small two-school sample and uncertain subgroup estimates remain limitations. My next priorities would be defining a prediction date and evaluating the practical support workload with stakeholders.</w:t>
      </w:r>
    </w:p>
    <w:p>
      <w:pPr>
        <w:pStyle w:val="Heading1"/>
      </w:pPr>
      <w:r>
        <w:t>Personal reflection to complete</w:t>
      </w:r>
    </w:p>
    <w:p>
      <w:pPr>
        <w:spacing w:after="100"/>
      </w:pPr>
      <w:r>
        <w:t>[Describe one evaluation result you personally checked, how it affected your recommendation, and one limitation you would explain to teaching staff. Confirm your actual contribution to the analysis and written interpretation.]</w:t>
      </w:r>
    </w:p>
    <w:p>
      <w:pPr>
        <w:pStyle w:val="Heading1"/>
      </w:pPr>
      <w:r>
        <w:t>Evidence and AI use</w:t>
      </w:r>
    </w:p>
    <w:p>
      <w:pPr>
        <w:spacing w:after="60"/>
      </w:pPr>
      <w:r>
        <w:t>Evidence: notebooks/04_evaluation_recommendations.ipynb; src/evaluation_utils.py</w:t>
      </w:r>
    </w:p>
    <w:p>
      <w:pPr>
        <w:spacing w:after="0"/>
      </w:pPr>
      <w:r>
        <w:rPr>
          <w:sz w:val="19"/>
        </w:rPr>
        <w:t>AI assisted the drafting of this report. [Add your own AI or tool use, what you checked independently, and what you changed.]</w:t>
      </w:r>
    </w:p>
    <w:sectPr w:rsidR="00FC693F" w:rsidRPr="0006063C" w:rsidSect="00034616">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4" w:lineRule="auto"/>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54"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4" w:lineRule="auto"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4 Personal Learning Journey</dc:title>
  <dc:subject>Final Evaluation and Recommendations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