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Performance Data Dictionary</w:t>
      </w:r>
    </w:p>
    <w:p>
      <w:pPr>
        <w:pStyle w:val="Subtitle"/>
      </w:pPr>
      <w:r>
        <w:t>EduPredict  |  Updated 12 October 2026</w:t>
      </w:r>
    </w:p>
    <w:p>
      <w:r>
        <w:t>This dictionary defines the 33 raw columns in data/student-mat.csv and their role in the implemented project. It separates source descriptions from observed Mathematics-file values, records preprocessing choices and identifies unresolved interpretation issues. One row represents one student; the 395-row file has no missing cells or exact duplicate full rows.</w:t>
      </w:r>
    </w:p>
    <w:p>
      <w:r>
        <w:t>Main model inputs: 30 columns excluding G1, G2 and G3. Later-stage inputs: 32 columns excluding G3. G1/G2 are available only after their respective grading periods. G3 is the target and is never an input. The stored target is integer-valued; predictions are continuous.</w:t>
      </w:r>
    </w:p>
    <w:p>
      <w:pPr>
        <w:pStyle w:val="Heading1"/>
      </w:pPr>
      <w:r>
        <w:t>Student and family information</w:t>
      </w:r>
    </w:p>
    <w:tbl>
      <w:tblPr>
        <w:tblW w:type="auto" w:w="0"/>
        <w:jc w:val="center"/>
        <w:tblLayout w:type="fixed"/>
        <w:tblLook w:firstColumn="1" w:firstRow="1" w:lastColumn="0" w:lastRow="0" w:noHBand="0" w:noVBand="1" w:val="04A0"/>
      </w:tblPr>
      <w:tblGrid>
        <w:gridCol w:w="1051"/>
        <w:gridCol w:w="1224"/>
        <w:gridCol w:w="893"/>
        <w:gridCol w:w="4824"/>
        <w:gridCol w:w="1728"/>
      </w:tblGrid>
      <w:tr>
        <w:trPr>
          <w:tblHeader/>
          <w:cantSplit/>
        </w:trPr>
        <w:tc>
          <w:tcPr>
            <w:tcW w:type="dxa" w:w="1051"/>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color w:val="000000"/>
                <w:sz w:val="18"/>
              </w:rPr>
              <w:t>Variable</w:t>
            </w:r>
          </w:p>
        </w:tc>
        <w:tc>
          <w:tcPr>
            <w:tcW w:type="dxa" w:w="1224"/>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8"/>
              </w:rPr>
              <w:t>Type</w:t>
            </w:r>
          </w:p>
        </w:tc>
        <w:tc>
          <w:tcPr>
            <w:tcW w:type="dxa" w:w="893"/>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8"/>
              </w:rPr>
              <w:t>Role</w:t>
            </w:r>
          </w:p>
        </w:tc>
        <w:tc>
          <w:tcPr>
            <w:tcW w:type="dxa" w:w="4824"/>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8"/>
              </w:rPr>
              <w:t>Meaning and codes</w:t>
            </w:r>
          </w:p>
        </w:tc>
        <w:tc>
          <w:tcPr>
            <w:tcW w:type="dxa" w:w="1728"/>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8"/>
              </w:rPr>
              <w:t>Observed</w:t>
            </w:r>
          </w:p>
        </w:tc>
      </w:tr>
      <w:tr>
        <w:trPr>
          <w:cantSplit/>
        </w:trPr>
        <w:tc>
          <w:tcPr>
            <w:tcW w:type="dxa" w:w="10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school</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Binary nominal</w:t>
            </w:r>
          </w:p>
        </w:tc>
        <w:tc>
          <w:tcPr>
            <w:tcW w:type="dxa" w:w="89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School. GP = Gabriel Pereira; MS = Mousinho da Silveira</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GP, MS</w:t>
            </w:r>
          </w:p>
        </w:tc>
      </w:tr>
      <w:tr>
        <w:trPr>
          <w:cantSplit/>
        </w:trPr>
        <w:tc>
          <w:tcPr>
            <w:tcW w:type="dxa" w:w="1051"/>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sex</w:t>
            </w:r>
          </w:p>
        </w:tc>
        <w:tc>
          <w:tcPr>
            <w:tcW w:type="dxa" w:w="12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Binary nominal</w:t>
            </w:r>
          </w:p>
        </w:tc>
        <w:tc>
          <w:tcPr>
            <w:tcW w:type="dxa" w:w="893"/>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Recorded sex. F = female; M = male</w:t>
            </w:r>
          </w:p>
        </w:tc>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F, M</w:t>
            </w:r>
          </w:p>
        </w:tc>
      </w:tr>
      <w:tr>
        <w:trPr>
          <w:cantSplit/>
        </w:trPr>
        <w:tc>
          <w:tcPr>
            <w:tcW w:type="dxa" w:w="10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age</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Discrete numeric</w:t>
            </w:r>
          </w:p>
        </w:tc>
        <w:tc>
          <w:tcPr>
            <w:tcW w:type="dxa" w:w="89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Age in years. Documented range 15–22</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15–22</w:t>
            </w:r>
          </w:p>
        </w:tc>
      </w:tr>
      <w:tr>
        <w:trPr>
          <w:cantSplit/>
        </w:trPr>
        <w:tc>
          <w:tcPr>
            <w:tcW w:type="dxa" w:w="1051"/>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address</w:t>
            </w:r>
          </w:p>
        </w:tc>
        <w:tc>
          <w:tcPr>
            <w:tcW w:type="dxa" w:w="12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Binary nominal</w:t>
            </w:r>
          </w:p>
        </w:tc>
        <w:tc>
          <w:tcPr>
            <w:tcW w:type="dxa" w:w="893"/>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Home area. U = urban; R = rural</w:t>
            </w:r>
          </w:p>
        </w:tc>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R, U</w:t>
            </w:r>
          </w:p>
        </w:tc>
      </w:tr>
      <w:tr>
        <w:trPr>
          <w:cantSplit/>
        </w:trPr>
        <w:tc>
          <w:tcPr>
            <w:tcW w:type="dxa" w:w="10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famsize</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Binary nominal</w:t>
            </w:r>
          </w:p>
        </w:tc>
        <w:tc>
          <w:tcPr>
            <w:tcW w:type="dxa" w:w="89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Family size. LE3 = at most 3; GT3 = more than 3</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GT3, LE3</w:t>
            </w:r>
          </w:p>
        </w:tc>
      </w:tr>
      <w:tr>
        <w:trPr>
          <w:cantSplit/>
        </w:trPr>
        <w:tc>
          <w:tcPr>
            <w:tcW w:type="dxa" w:w="1051"/>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Pstatus</w:t>
            </w:r>
          </w:p>
        </w:tc>
        <w:tc>
          <w:tcPr>
            <w:tcW w:type="dxa" w:w="12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Binary nominal</w:t>
            </w:r>
          </w:p>
        </w:tc>
        <w:tc>
          <w:tcPr>
            <w:tcW w:type="dxa" w:w="893"/>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Parental cohabitation. T = together; A = apart</w:t>
            </w:r>
          </w:p>
        </w:tc>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A, T</w:t>
            </w:r>
          </w:p>
        </w:tc>
      </w:tr>
      <w:tr>
        <w:trPr>
          <w:cantSplit/>
        </w:trPr>
        <w:tc>
          <w:tcPr>
            <w:tcW w:type="dxa" w:w="10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Medu</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Ordinal code</w:t>
            </w:r>
          </w:p>
        </w:tc>
        <w:tc>
          <w:tcPr>
            <w:tcW w:type="dxa" w:w="89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Mother education. 0 none; 1 primary grade 4; 2 grades 5–9; 3 secondary; 4 higher</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0–4</w:t>
            </w:r>
          </w:p>
        </w:tc>
      </w:tr>
      <w:tr>
        <w:trPr>
          <w:cantSplit/>
        </w:trPr>
        <w:tc>
          <w:tcPr>
            <w:tcW w:type="dxa" w:w="1051"/>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Fedu</w:t>
            </w:r>
          </w:p>
        </w:tc>
        <w:tc>
          <w:tcPr>
            <w:tcW w:type="dxa" w:w="12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Ordinal code</w:t>
            </w:r>
          </w:p>
        </w:tc>
        <w:tc>
          <w:tcPr>
            <w:tcW w:type="dxa" w:w="893"/>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Father education. Same education codes as Medu</w:t>
            </w:r>
          </w:p>
        </w:tc>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0–4</w:t>
            </w:r>
          </w:p>
        </w:tc>
      </w:tr>
      <w:tr>
        <w:trPr>
          <w:cantSplit/>
        </w:trPr>
        <w:tc>
          <w:tcPr>
            <w:tcW w:type="dxa" w:w="10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Mjob</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Nominal</w:t>
            </w:r>
          </w:p>
        </w:tc>
        <w:tc>
          <w:tcPr>
            <w:tcW w:type="dxa" w:w="89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Mother occupation. teacher; health; services; at_home; other</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at_home, health, other, services, teacher</w:t>
            </w:r>
          </w:p>
        </w:tc>
      </w:tr>
      <w:tr>
        <w:trPr>
          <w:cantSplit/>
        </w:trPr>
        <w:tc>
          <w:tcPr>
            <w:tcW w:type="dxa" w:w="1051"/>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Fjob</w:t>
            </w:r>
          </w:p>
        </w:tc>
        <w:tc>
          <w:tcPr>
            <w:tcW w:type="dxa" w:w="12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Nominal</w:t>
            </w:r>
          </w:p>
        </w:tc>
        <w:tc>
          <w:tcPr>
            <w:tcW w:type="dxa" w:w="893"/>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Father occupation. Same occupation codes as Mjob</w:t>
            </w:r>
          </w:p>
        </w:tc>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at_home, health, other, services, teacher</w:t>
            </w:r>
          </w:p>
        </w:tc>
      </w:tr>
      <w:tr>
        <w:trPr>
          <w:cantSplit/>
        </w:trPr>
        <w:tc>
          <w:tcPr>
            <w:tcW w:type="dxa" w:w="10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reason</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Nominal</w:t>
            </w:r>
          </w:p>
        </w:tc>
        <w:tc>
          <w:tcPr>
            <w:tcW w:type="dxa" w:w="89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School choice reason. home = proximity; reputation; course; other</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course, home, other, reputation</w:t>
            </w:r>
          </w:p>
        </w:tc>
      </w:tr>
      <w:tr>
        <w:trPr>
          <w:cantSplit/>
        </w:trPr>
        <w:tc>
          <w:tcPr>
            <w:tcW w:type="dxa" w:w="1051"/>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guardian</w:t>
            </w:r>
          </w:p>
        </w:tc>
        <w:tc>
          <w:tcPr>
            <w:tcW w:type="dxa" w:w="12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Nominal</w:t>
            </w:r>
          </w:p>
        </w:tc>
        <w:tc>
          <w:tcPr>
            <w:tcW w:type="dxa" w:w="893"/>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Guardian. mother; father; other</w:t>
            </w:r>
          </w:p>
        </w:tc>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father, mother, other</w:t>
            </w:r>
          </w:p>
        </w:tc>
      </w:tr>
    </w:tbl>
    <w:p>
      <w:pPr>
        <w:spacing w:after="40"/>
      </w:pPr>
    </w:p>
    <w:p>
      <w:r>
        <w:br w:type="page"/>
      </w:r>
    </w:p>
    <w:p>
      <w:pPr>
        <w:pStyle w:val="Heading1"/>
      </w:pPr>
      <w:r>
        <w:t>Study history and support</w:t>
      </w:r>
    </w:p>
    <w:tbl>
      <w:tblPr>
        <w:tblW w:type="auto" w:w="0"/>
        <w:jc w:val="center"/>
        <w:tblLayout w:type="fixed"/>
        <w:tblLook w:firstColumn="1" w:firstRow="1" w:lastColumn="0" w:lastRow="0" w:noHBand="0" w:noVBand="1" w:val="04A0"/>
      </w:tblPr>
      <w:tblGrid>
        <w:gridCol w:w="1051"/>
        <w:gridCol w:w="1224"/>
        <w:gridCol w:w="893"/>
        <w:gridCol w:w="4824"/>
        <w:gridCol w:w="1728"/>
      </w:tblGrid>
      <w:tr>
        <w:trPr>
          <w:tblHeader/>
          <w:cantSplit/>
        </w:trPr>
        <w:tc>
          <w:tcPr>
            <w:tcW w:type="dxa" w:w="1051"/>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color w:val="000000"/>
                <w:sz w:val="18"/>
              </w:rPr>
              <w:t>Variable</w:t>
            </w:r>
          </w:p>
        </w:tc>
        <w:tc>
          <w:tcPr>
            <w:tcW w:type="dxa" w:w="1224"/>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8"/>
              </w:rPr>
              <w:t>Type</w:t>
            </w:r>
          </w:p>
        </w:tc>
        <w:tc>
          <w:tcPr>
            <w:tcW w:type="dxa" w:w="893"/>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8"/>
              </w:rPr>
              <w:t>Role</w:t>
            </w:r>
          </w:p>
        </w:tc>
        <w:tc>
          <w:tcPr>
            <w:tcW w:type="dxa" w:w="4824"/>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8"/>
              </w:rPr>
              <w:t>Meaning and codes</w:t>
            </w:r>
          </w:p>
        </w:tc>
        <w:tc>
          <w:tcPr>
            <w:tcW w:type="dxa" w:w="1728"/>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8"/>
              </w:rPr>
              <w:t>Observed</w:t>
            </w:r>
          </w:p>
        </w:tc>
      </w:tr>
      <w:tr>
        <w:trPr>
          <w:cantSplit/>
        </w:trPr>
        <w:tc>
          <w:tcPr>
            <w:tcW w:type="dxa" w:w="10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traveltime</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Ordinal code</w:t>
            </w:r>
          </w:p>
        </w:tc>
        <w:tc>
          <w:tcPr>
            <w:tcW w:type="dxa" w:w="89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Travel time. 1 &lt;15 min; 2 15–30 min; 3 30–60 min; 4 &gt;60 min</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1–4</w:t>
            </w:r>
          </w:p>
        </w:tc>
      </w:tr>
      <w:tr>
        <w:trPr>
          <w:cantSplit/>
        </w:trPr>
        <w:tc>
          <w:tcPr>
            <w:tcW w:type="dxa" w:w="1051"/>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studytime</w:t>
            </w:r>
          </w:p>
        </w:tc>
        <w:tc>
          <w:tcPr>
            <w:tcW w:type="dxa" w:w="12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Ordinal code</w:t>
            </w:r>
          </w:p>
        </w:tc>
        <w:tc>
          <w:tcPr>
            <w:tcW w:type="dxa" w:w="893"/>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Weekly study time. 1 &lt;2 h; 2 2–5 h; 3 5–10 h; 4 &gt;10 h</w:t>
            </w:r>
          </w:p>
        </w:tc>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1–4</w:t>
            </w:r>
          </w:p>
        </w:tc>
      </w:tr>
      <w:tr>
        <w:trPr>
          <w:cantSplit/>
        </w:trPr>
        <w:tc>
          <w:tcPr>
            <w:tcW w:type="dxa" w:w="10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failures</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Discrete code</w:t>
            </w:r>
          </w:p>
        </w:tc>
        <w:tc>
          <w:tcPr>
            <w:tcW w:type="dxa" w:w="89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Past class failures. Observed codes 0,1,2,3; source coding conflict remains unresolved</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0–3</w:t>
            </w:r>
          </w:p>
        </w:tc>
      </w:tr>
      <w:tr>
        <w:trPr>
          <w:cantSplit/>
        </w:trPr>
        <w:tc>
          <w:tcPr>
            <w:tcW w:type="dxa" w:w="1051"/>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schoolsup</w:t>
            </w:r>
          </w:p>
        </w:tc>
        <w:tc>
          <w:tcPr>
            <w:tcW w:type="dxa" w:w="12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Binary nominal</w:t>
            </w:r>
          </w:p>
        </w:tc>
        <w:tc>
          <w:tcPr>
            <w:tcW w:type="dxa" w:w="893"/>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Extra school support. yes / no</w:t>
            </w:r>
          </w:p>
        </w:tc>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no, yes</w:t>
            </w:r>
          </w:p>
        </w:tc>
      </w:tr>
      <w:tr>
        <w:trPr>
          <w:cantSplit/>
        </w:trPr>
        <w:tc>
          <w:tcPr>
            <w:tcW w:type="dxa" w:w="10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famsup</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Binary nominal</w:t>
            </w:r>
          </w:p>
        </w:tc>
        <w:tc>
          <w:tcPr>
            <w:tcW w:type="dxa" w:w="89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Family learning support. yes / no</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no, yes</w:t>
            </w:r>
          </w:p>
        </w:tc>
      </w:tr>
      <w:tr>
        <w:trPr>
          <w:cantSplit/>
        </w:trPr>
        <w:tc>
          <w:tcPr>
            <w:tcW w:type="dxa" w:w="1051"/>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paid</w:t>
            </w:r>
          </w:p>
        </w:tc>
        <w:tc>
          <w:tcPr>
            <w:tcW w:type="dxa" w:w="12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Binary nominal</w:t>
            </w:r>
          </w:p>
        </w:tc>
        <w:tc>
          <w:tcPr>
            <w:tcW w:type="dxa" w:w="893"/>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Paid subject classes. yes / no</w:t>
            </w:r>
          </w:p>
        </w:tc>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no, yes</w:t>
            </w:r>
          </w:p>
        </w:tc>
      </w:tr>
      <w:tr>
        <w:trPr>
          <w:cantSplit/>
        </w:trPr>
        <w:tc>
          <w:tcPr>
            <w:tcW w:type="dxa" w:w="10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activities</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Binary nominal</w:t>
            </w:r>
          </w:p>
        </w:tc>
        <w:tc>
          <w:tcPr>
            <w:tcW w:type="dxa" w:w="89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Extracurricular participation. yes / no</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no, yes</w:t>
            </w:r>
          </w:p>
        </w:tc>
      </w:tr>
      <w:tr>
        <w:trPr>
          <w:cantSplit/>
        </w:trPr>
        <w:tc>
          <w:tcPr>
            <w:tcW w:type="dxa" w:w="1051"/>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nursery</w:t>
            </w:r>
          </w:p>
        </w:tc>
        <w:tc>
          <w:tcPr>
            <w:tcW w:type="dxa" w:w="12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Binary nominal</w:t>
            </w:r>
          </w:p>
        </w:tc>
        <w:tc>
          <w:tcPr>
            <w:tcW w:type="dxa" w:w="893"/>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Nursery attendance. yes / no</w:t>
            </w:r>
          </w:p>
        </w:tc>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no, yes</w:t>
            </w:r>
          </w:p>
        </w:tc>
      </w:tr>
      <w:tr>
        <w:trPr>
          <w:cantSplit/>
        </w:trPr>
        <w:tc>
          <w:tcPr>
            <w:tcW w:type="dxa" w:w="10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higher</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Binary nominal</w:t>
            </w:r>
          </w:p>
        </w:tc>
        <w:tc>
          <w:tcPr>
            <w:tcW w:type="dxa" w:w="89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Higher education aspiration. yes / no</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no, yes</w:t>
            </w:r>
          </w:p>
        </w:tc>
      </w:tr>
      <w:tr>
        <w:trPr>
          <w:cantSplit/>
        </w:trPr>
        <w:tc>
          <w:tcPr>
            <w:tcW w:type="dxa" w:w="1051"/>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internet</w:t>
            </w:r>
          </w:p>
        </w:tc>
        <w:tc>
          <w:tcPr>
            <w:tcW w:type="dxa" w:w="12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Binary nominal</w:t>
            </w:r>
          </w:p>
        </w:tc>
        <w:tc>
          <w:tcPr>
            <w:tcW w:type="dxa" w:w="893"/>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Home internet. yes / no</w:t>
            </w:r>
          </w:p>
        </w:tc>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no, yes</w:t>
            </w:r>
          </w:p>
        </w:tc>
      </w:tr>
      <w:tr>
        <w:trPr>
          <w:cantSplit/>
        </w:trPr>
        <w:tc>
          <w:tcPr>
            <w:tcW w:type="dxa" w:w="10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romantic</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Binary nominal</w:t>
            </w:r>
          </w:p>
        </w:tc>
        <w:tc>
          <w:tcPr>
            <w:tcW w:type="dxa" w:w="89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Romantic relationship. yes / no</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no, yes</w:t>
            </w:r>
          </w:p>
        </w:tc>
      </w:tr>
    </w:tbl>
    <w:p>
      <w:pPr>
        <w:spacing w:after="40"/>
      </w:pPr>
    </w:p>
    <w:p>
      <w:r>
        <w:br w:type="page"/>
      </w:r>
    </w:p>
    <w:p>
      <w:pPr>
        <w:pStyle w:val="Heading1"/>
      </w:pPr>
      <w:r>
        <w:t>Behaviour attendance and grades</w:t>
      </w:r>
    </w:p>
    <w:tbl>
      <w:tblPr>
        <w:tblW w:type="auto" w:w="0"/>
        <w:jc w:val="center"/>
        <w:tblLayout w:type="fixed"/>
        <w:tblLook w:firstColumn="1" w:firstRow="1" w:lastColumn="0" w:lastRow="0" w:noHBand="0" w:noVBand="1" w:val="04A0"/>
      </w:tblPr>
      <w:tblGrid>
        <w:gridCol w:w="1051"/>
        <w:gridCol w:w="1224"/>
        <w:gridCol w:w="893"/>
        <w:gridCol w:w="4824"/>
        <w:gridCol w:w="1728"/>
      </w:tblGrid>
      <w:tr>
        <w:trPr>
          <w:tblHeader/>
          <w:cantSplit/>
        </w:trPr>
        <w:tc>
          <w:tcPr>
            <w:tcW w:type="dxa" w:w="1051"/>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color w:val="000000"/>
                <w:sz w:val="18"/>
              </w:rPr>
              <w:t>Variable</w:t>
            </w:r>
          </w:p>
        </w:tc>
        <w:tc>
          <w:tcPr>
            <w:tcW w:type="dxa" w:w="1224"/>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8"/>
              </w:rPr>
              <w:t>Type</w:t>
            </w:r>
          </w:p>
        </w:tc>
        <w:tc>
          <w:tcPr>
            <w:tcW w:type="dxa" w:w="893"/>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8"/>
              </w:rPr>
              <w:t>Role</w:t>
            </w:r>
          </w:p>
        </w:tc>
        <w:tc>
          <w:tcPr>
            <w:tcW w:type="dxa" w:w="4824"/>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8"/>
              </w:rPr>
              <w:t>Meaning and codes</w:t>
            </w:r>
          </w:p>
        </w:tc>
        <w:tc>
          <w:tcPr>
            <w:tcW w:type="dxa" w:w="1728"/>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8"/>
              </w:rPr>
              <w:t>Observed</w:t>
            </w:r>
          </w:p>
        </w:tc>
      </w:tr>
      <w:tr>
        <w:trPr>
          <w:cantSplit/>
        </w:trPr>
        <w:tc>
          <w:tcPr>
            <w:tcW w:type="dxa" w:w="10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famrel</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Ordinal code</w:t>
            </w:r>
          </w:p>
        </w:tc>
        <w:tc>
          <w:tcPr>
            <w:tcW w:type="dxa" w:w="89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Family relationship quality. 1 very bad through 5 excellent</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1–5</w:t>
            </w:r>
          </w:p>
        </w:tc>
      </w:tr>
      <w:tr>
        <w:trPr>
          <w:cantSplit/>
        </w:trPr>
        <w:tc>
          <w:tcPr>
            <w:tcW w:type="dxa" w:w="1051"/>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freetime</w:t>
            </w:r>
          </w:p>
        </w:tc>
        <w:tc>
          <w:tcPr>
            <w:tcW w:type="dxa" w:w="12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Ordinal code</w:t>
            </w:r>
          </w:p>
        </w:tc>
        <w:tc>
          <w:tcPr>
            <w:tcW w:type="dxa" w:w="893"/>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Free time after school. 1 very low through 5 very high</w:t>
            </w:r>
          </w:p>
        </w:tc>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1–5</w:t>
            </w:r>
          </w:p>
        </w:tc>
      </w:tr>
      <w:tr>
        <w:trPr>
          <w:cantSplit/>
        </w:trPr>
        <w:tc>
          <w:tcPr>
            <w:tcW w:type="dxa" w:w="10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goout</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Ordinal code</w:t>
            </w:r>
          </w:p>
        </w:tc>
        <w:tc>
          <w:tcPr>
            <w:tcW w:type="dxa" w:w="89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Going out with friends. 1 very low through 5 very high</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1–5</w:t>
            </w:r>
          </w:p>
        </w:tc>
      </w:tr>
      <w:tr>
        <w:trPr>
          <w:cantSplit/>
        </w:trPr>
        <w:tc>
          <w:tcPr>
            <w:tcW w:type="dxa" w:w="1051"/>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Dalc</w:t>
            </w:r>
          </w:p>
        </w:tc>
        <w:tc>
          <w:tcPr>
            <w:tcW w:type="dxa" w:w="12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Ordinal code</w:t>
            </w:r>
          </w:p>
        </w:tc>
        <w:tc>
          <w:tcPr>
            <w:tcW w:type="dxa" w:w="893"/>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Workday alcohol use. 1 very low through 5 very high</w:t>
            </w:r>
          </w:p>
        </w:tc>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1–5</w:t>
            </w:r>
          </w:p>
        </w:tc>
      </w:tr>
      <w:tr>
        <w:trPr>
          <w:cantSplit/>
        </w:trPr>
        <w:tc>
          <w:tcPr>
            <w:tcW w:type="dxa" w:w="10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Walc</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Ordinal code</w:t>
            </w:r>
          </w:p>
        </w:tc>
        <w:tc>
          <w:tcPr>
            <w:tcW w:type="dxa" w:w="89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Weekend alcohol use. 1 very low through 5 very high</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1–5</w:t>
            </w:r>
          </w:p>
        </w:tc>
      </w:tr>
      <w:tr>
        <w:trPr>
          <w:cantSplit/>
        </w:trPr>
        <w:tc>
          <w:tcPr>
            <w:tcW w:type="dxa" w:w="1051"/>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health</w:t>
            </w:r>
          </w:p>
        </w:tc>
        <w:tc>
          <w:tcPr>
            <w:tcW w:type="dxa" w:w="12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Ordinal code</w:t>
            </w:r>
          </w:p>
        </w:tc>
        <w:tc>
          <w:tcPr>
            <w:tcW w:type="dxa" w:w="893"/>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Current health. 1 very bad through 5 very good</w:t>
            </w:r>
          </w:p>
        </w:tc>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1–5</w:t>
            </w:r>
          </w:p>
        </w:tc>
      </w:tr>
      <w:tr>
        <w:trPr>
          <w:cantSplit/>
        </w:trPr>
        <w:tc>
          <w:tcPr>
            <w:tcW w:type="dxa" w:w="10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absences</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Discrete numeric</w:t>
            </w:r>
          </w:p>
        </w:tc>
        <w:tc>
          <w:tcPr>
            <w:tcW w:type="dxa" w:w="89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Both</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School absences. Documented range 0–93; collection window unconfirmed</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0–75</w:t>
            </w:r>
          </w:p>
        </w:tc>
      </w:tr>
      <w:tr>
        <w:trPr>
          <w:cantSplit/>
        </w:trPr>
        <w:tc>
          <w:tcPr>
            <w:tcW w:type="dxa" w:w="1051"/>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G1</w:t>
            </w:r>
          </w:p>
        </w:tc>
        <w:tc>
          <w:tcPr>
            <w:tcW w:type="dxa" w:w="12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Discrete numeric</w:t>
            </w:r>
          </w:p>
        </w:tc>
        <w:tc>
          <w:tcPr>
            <w:tcW w:type="dxa" w:w="893"/>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Later only</w:t>
            </w:r>
          </w:p>
        </w:tc>
        <w:tc>
          <w:tcPr>
            <w:tcW w:type="dxa" w:w="48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First period grade. Documented scale 0–20; later-stage input only</w:t>
            </w:r>
          </w:p>
        </w:tc>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3–19</w:t>
            </w:r>
          </w:p>
        </w:tc>
      </w:tr>
      <w:tr>
        <w:trPr>
          <w:cantSplit/>
        </w:trPr>
        <w:tc>
          <w:tcPr>
            <w:tcW w:type="dxa" w:w="10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G2</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Discrete numeric</w:t>
            </w:r>
          </w:p>
        </w:tc>
        <w:tc>
          <w:tcPr>
            <w:tcW w:type="dxa" w:w="89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Later only</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Second period grade. Documented scale 0–20; later-stage input only</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0–19</w:t>
            </w:r>
          </w:p>
        </w:tc>
      </w:tr>
      <w:tr>
        <w:trPr>
          <w:cantSplit/>
        </w:trPr>
        <w:tc>
          <w:tcPr>
            <w:tcW w:type="dxa" w:w="1051"/>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8"/>
              </w:rPr>
              <w:t>G3</w:t>
            </w:r>
          </w:p>
        </w:tc>
        <w:tc>
          <w:tcPr>
            <w:tcW w:type="dxa" w:w="12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Discrete numeric</w:t>
            </w:r>
          </w:p>
        </w:tc>
        <w:tc>
          <w:tcPr>
            <w:tcW w:type="dxa" w:w="893"/>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Target</w:t>
            </w:r>
          </w:p>
        </w:tc>
        <w:tc>
          <w:tcPr>
            <w:tcW w:type="dxa" w:w="482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Final grade. Documented scale 0–20; target only; recorded zeros retained</w:t>
            </w:r>
          </w:p>
        </w:tc>
        <w:tc>
          <w:tcPr>
            <w:tcW w:type="dxa" w:w="1728"/>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8"/>
              </w:rPr>
              <w:t>0–20</w:t>
            </w:r>
          </w:p>
        </w:tc>
      </w:tr>
    </w:tbl>
    <w:p>
      <w:pPr>
        <w:spacing w:after="40"/>
      </w:pPr>
    </w:p>
    <w:p>
      <w:r>
        <w:br w:type="page"/>
      </w:r>
    </w:p>
    <w:p>
      <w:pPr>
        <w:pStyle w:val="Heading1"/>
      </w:pPr>
      <w:r>
        <w:t>Preprocessing used by the models</w:t>
      </w:r>
    </w:p>
    <w:tbl>
      <w:tblPr>
        <w:tblW w:type="auto" w:w="0"/>
        <w:jc w:val="center"/>
        <w:tblLayout w:type="fixed"/>
        <w:tblLook w:firstColumn="1" w:firstRow="1" w:lastColumn="0" w:lastRow="0" w:noHBand="0" w:noVBand="1" w:val="04A0"/>
      </w:tblPr>
      <w:tblGrid>
        <w:gridCol w:w="2016"/>
        <w:gridCol w:w="7704"/>
      </w:tblGrid>
      <w:tr>
        <w:trPr>
          <w:tblHeader/>
          <w:cantSplit/>
        </w:trPr>
        <w:tc>
          <w:tcPr>
            <w:tcW w:type="dxa" w:w="2016"/>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9"/>
              </w:rPr>
              <w:t>Feature group</w:t>
            </w:r>
          </w:p>
        </w:tc>
        <w:tc>
          <w:tcPr>
            <w:tcW w:type="dxa" w:w="7704"/>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9"/>
              </w:rPr>
              <w:t>Implementation</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Binary nominal 13</w:t>
            </w:r>
          </w:p>
        </w:tc>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school GP=0/MS=1; sex F=0/M=1; address R=0/U=1; famsize LE3=0/GT3=1; Pstatus A=0/T=1. Eight yes/no features map no=0 and yes=1.</w:t>
            </w:r>
          </w:p>
        </w:tc>
      </w:tr>
      <w:tr>
        <w:trPr>
          <w:cantSplit/>
        </w:trPr>
        <w:tc>
          <w:tcPr>
            <w:tcW w:type="dxa" w:w="2016"/>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9"/>
              </w:rPr>
              <w:t>Nominal 4</w:t>
            </w:r>
          </w:p>
        </w:tc>
        <w:tc>
          <w:tcPr>
            <w:tcW w:type="dxa" w:w="770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Mjob, Fjob, reason and guardian use one-hot encoding. Model notebooks set drop=first and handle_unknown=ignore; an unseen category becomes all zeros in its group.</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9"/>
              </w:rPr>
              <w:t>Ordinal 10</w:t>
            </w:r>
          </w:p>
        </w:tc>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Medu, Fedu, traveltime, studytime, famrel, freetime, goout, Dalc, Walc and health retain ordered numerical codes; scaling depends on the model.</w:t>
            </w:r>
          </w:p>
        </w:tc>
      </w:tr>
      <w:tr>
        <w:trPr>
          <w:cantSplit/>
        </w:trPr>
        <w:tc>
          <w:tcPr>
            <w:tcW w:type="dxa" w:w="2016"/>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Other numerical inputs</w:t>
            </w:r>
          </w:p>
        </w:tc>
        <w:tc>
          <w:tcPr>
            <w:tcW w:type="dxa" w:w="770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age, failures and absences; G1/G2 are added explicitly only for the later-stage scenario.</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Absence option</w:t>
            </w:r>
          </w:p>
        </w:tc>
        <w:tc>
          <w:tcPr>
            <w:tcW w:type="dxa" w:w="77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Search original absences versus absences_log = log1p(absences). The transformed feature replaces absences; it is not a new raw CSV column.</w:t>
            </w:r>
          </w:p>
        </w:tc>
      </w:tr>
      <w:tr>
        <w:trPr>
          <w:cantSplit/>
        </w:trPr>
        <w:tc>
          <w:tcPr>
            <w:tcW w:type="dxa" w:w="2016"/>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9"/>
              </w:rPr>
              <w:t>Scaling</w:t>
            </w:r>
          </w:p>
        </w:tc>
        <w:tc>
          <w:tcPr>
            <w:tcW w:type="dxa" w:w="7704"/>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StandardScaler for numerical and ordered inputs in Linear Regression/Ridge; no scaling for the tree models. Fit inside each training fold.</w:t>
            </w:r>
          </w:p>
        </w:tc>
      </w:tr>
    </w:tbl>
    <w:p>
      <w:pPr>
        <w:spacing w:after="40"/>
      </w:pPr>
    </w:p>
    <w:p>
      <w:pPr>
        <w:pStyle w:val="Heading1"/>
      </w:pPr>
      <w:r>
        <w:t>Interpretation and data quality notes</w:t>
      </w:r>
    </w:p>
    <w:p>
      <w:r>
        <w:t>The observed Mathematics ranges differ from some source ranges: absences reaches 75 rather than the documented 93; G1 spans 3–19 and G2 spans 0–19, while the documented grade scale is 0–20. Observed values describe this sample, not admissible future limits.</w:t>
      </w:r>
    </w:p>
    <w:p>
      <w:r>
        <w:t>The source description of failures gives a coding rule inconsistent with the CSV’s 0,1,2,3 values. The project retains the observed codes and treats them numerically. The meaning of the highest code is not confirmed, so the dictionary does not assert that it means three or more failures. This ambiguity should be resolved before interpreting an effect or deploying a model.</w:t>
      </w:r>
    </w:p>
    <w:p>
      <w:r>
        <w:t>The dataset contains 38 G3=0 records. Their causes are unknown; retain them rather than assume absence, dropout, missingness or data error. Rating scales are ordered codes, not precise physical measurements. Equal numerical spacing is a modelling approximation.</w:t>
      </w:r>
    </w:p>
    <w:p>
      <w:r>
        <w:t>Input availability must be checked at the chosen prediction date, especially the absence accumulation window. Sensitive personal and family information requires appropriate access controls and an operational necessity review.</w:t>
      </w:r>
    </w:p>
    <w:p>
      <w:pPr>
        <w:pStyle w:val="Heading1"/>
      </w:pPr>
      <w:r>
        <w:t>Definitions and implementation sources</w:t>
      </w:r>
    </w:p>
    <w:p>
      <w:r>
        <w:t>Definitions: data/student.txt and the existing project dictionary. Observed values: data/student-mat.csv audited on 12 October 2026. Implementation: src/preprocessing.py and notebooks/03a through 03e. Dataset attribution: Cortez, P. (2008), Student Performance, UCI Machine Learning Repository, https://doi.org/10.24432/C5TG7T.</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64"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Data Dictionary</dc:title>
  <dc:subject>Student Mathematics performance modelling project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