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Performance Project Workflow</w:t>
      </w:r>
    </w:p>
    <w:p>
      <w:pPr>
        <w:pStyle w:val="Subtitle"/>
      </w:pPr>
      <w:r>
        <w:t>EduPredict  |  Updated 12 October 2026</w:t>
      </w:r>
    </w:p>
    <w:p>
      <w:r>
        <w:t>This workflow shows the completed path from problem framing to final evaluation and staff recommendations. Both feature scenarios share the same data split. Training cross-validation compares models; final evaluation uses the frozen selected pipelines on the held-out rows. No test-based tuning or threshold selection is performed.</w:t>
      </w:r>
    </w:p>
    <w:p>
      <w:r>
        <w:drawing>
          <wp:inline xmlns:a="http://schemas.openxmlformats.org/drawingml/2006/main" xmlns:pic="http://schemas.openxmlformats.org/drawingml/2006/picture">
            <wp:extent cx="6126480" cy="5207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207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sz w:val="18"/>
        </w:rPr>
        <w:t>Figure 1  Project flow and the training to evaluation handoff</w:t>
      </w:r>
    </w:p>
    <w:p>
      <w:r>
        <w:br w:type="page"/>
      </w:r>
    </w:p>
    <w:p>
      <w:pPr>
        <w:pStyle w:val="Heading1"/>
      </w:pPr>
      <w:r>
        <w:t>Completed stages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848"/>
      </w:tblGrid>
      <w:tr>
        <w:trPr>
          <w:tblHeader/>
          <w:cantSplit/>
        </w:trPr>
        <w:tc>
          <w:tcPr>
            <w:tcW w:type="dxa" w:w="1872"/>
            <w:vAlign w:val="center"/>
            <w:shd w:fill="DCE6E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000000"/>
                <w:sz w:val="19"/>
              </w:rPr>
              <w:t>Stage</w:t>
            </w:r>
          </w:p>
        </w:tc>
        <w:tc>
          <w:tcPr>
            <w:tcW w:type="dxa" w:w="7848"/>
            <w:vAlign w:val="center"/>
            <w:shd w:fill="DCE6E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Action and evidence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1 Framing and data</w:t>
            </w:r>
          </w:p>
        </w:tc>
        <w:tc>
          <w:tcPr>
            <w:tcW w:type="dxa" w:w="78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Define G3 regression, student-level analysis and the potentially at-risk rule. Notebook 01 explores the Mathematics data; the dictionary defines raw fields. Keep all 395 records including 38 zeros.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2 Split and preprocessing</w:t>
            </w:r>
          </w:p>
        </w:tc>
        <w:tc>
          <w:tcPr>
            <w:tcW w:type="dxa" w:w="78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Notebook 02 explains the 316/79 split and transformations. src/preprocessing.py supplies reusable binary encoding, one-hot encoding, original/log absences and optional scaling/prior grades. Learned steps stay inside training folds.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3 Model experiments</w:t>
            </w:r>
          </w:p>
        </w:tc>
        <w:tc>
          <w:tcPr>
            <w:tcW w:type="dxa" w:w="78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Notebooks 03a–03e own initial and tuned versions of Linear Regression, Ridge, Decision Tree, Random Forest and Gradient Boosting. Use five shared shuffled training folds; mean/median baselines provide references.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4 Training risk metrics</w:t>
            </w:r>
          </w:p>
        </w:tc>
        <w:tc>
          <w:tcPr>
            <w:tcW w:type="dxa" w:w="78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src/model_utils.py creates one out-of-fold prediction per training student per model configuration. Derive grade-10 flags and report accuracy, precision, recall, F1, specificity and confusion counts. These reuse selection folds and may be optimistic.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5 Selection and export</w:t>
            </w:r>
          </w:p>
        </w:tc>
        <w:tc>
          <w:tcPr>
            <w:tcW w:type="dxa" w:w="78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Notebook 03 selects by mean CV MAE separately per scenario; both winners are Random Forest. Save complete fitted pipelines; selected-model metadata records exact feature/row lists, package versions and hashes. No held-out metrics influence this choice.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6 Final evaluation</w:t>
            </w:r>
          </w:p>
        </w:tc>
        <w:tc>
          <w:tcPr>
            <w:tcW w:type="dxa" w:w="78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Notebook 04 checks artifacts and predicts the same 79 test records with both frozen models. Compare regression baselines, G2 unchanged, residuals, fixed-threshold flags and descriptive sex/school group checks. No refitting or retuning.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7 Recommendations</w:t>
            </w:r>
          </w:p>
        </w:tc>
        <w:tc>
          <w:tcPr>
            <w:tcW w:type="dxa" w:w="78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Keep findings, metrics, predictions and risk cases inside Notebook 04. Staff review flags alongside other evidence; document limits and propose prospective evaluation on a new cohort.</w:t>
            </w:r>
          </w:p>
        </w:tc>
      </w:tr>
    </w:tbl>
    <w:p>
      <w:pPr>
        <w:spacing w:after="40"/>
      </w:pPr>
    </w:p>
    <w:p>
      <w:pPr>
        <w:pStyle w:val="Heading1"/>
      </w:pPr>
      <w:r>
        <w:t>Team handoff</w:t>
      </w:r>
    </w:p>
    <w:p>
      <w:r>
        <w:t>Member 3 owns ML-ready data through the selected regression models: baselines, training, cross-validation, tuning, comparison and modelling decisions. The handoff includes fitted pipelines, scenario metadata and results displayed in the notebooks. Member 4 owns model through decision and recommendation: final metrics, residuals, risk errors, supportive recommendations and limitations. The per-model risk sections complement Member 3’s training comparison; the final test interpretation belongs to Member 4.</w:t>
      </w:r>
    </w:p>
    <w:p>
      <w:r>
        <w:br w:type="page"/>
      </w:r>
    </w:p>
    <w:p>
      <w:pPr>
        <w:pStyle w:val="Heading1"/>
      </w:pPr>
      <w:r>
        <w:t>Results at the final evaluation stage</w:t>
      </w:r>
    </w:p>
    <w:p>
      <w:r>
        <w:t>The main forest’s test MAE is 3.095 and its grade-10 rule misses 17 of 27 at-risk students. The later-stage forest’s MAE is 1.170; it misses none but generates 10 false positives. G2 unchanged has MAE 1.000, and G2 &lt; 10 misses one student with six false positives. These results support a cautious review of the need for model complexity and the cost of missed support versus additional reviews.</w:t>
      </w:r>
    </w:p>
    <w:p>
      <w:pPr>
        <w:pStyle w:val="Heading1"/>
      </w:pPr>
      <w:r>
        <w:t>Boundaries that remain in force</w:t>
      </w:r>
    </w:p>
    <w:p>
      <w:pPr>
        <w:pStyle w:val="ListBullet"/>
      </w:pPr>
      <w:r>
        <w:t>Timing: G1/G2 requires later-stage availability. Define a prediction date and verify all other inputs, particularly absences, before claiming early use.</w:t>
      </w:r>
    </w:p>
    <w:p>
      <w:pPr>
        <w:pStyle w:val="ListBullet"/>
      </w:pPr>
      <w:r>
        <w:t>Evaluation: the 79-row holdout has now been inspected. Do not use its results for new model, transformation or threshold selection; use new untouched data for further development.</w:t>
      </w:r>
    </w:p>
    <w:p>
      <w:pPr>
        <w:pStyle w:val="ListBullet"/>
      </w:pPr>
      <w:r>
        <w:t>Exploration: Notebook 01 examined the full dataset before splitting. The holdout was reserved from model fitting and tuning but was not fully blind to EDA.</w:t>
      </w:r>
    </w:p>
    <w:p>
      <w:pPr>
        <w:pStyle w:val="ListBullet"/>
      </w:pPr>
      <w:r>
        <w:t>Interpretation: zero-grade causes and failures-code semantics remain uncertain. Preserve these caveats rather than infer dropout or causal interventions.</w:t>
      </w:r>
    </w:p>
    <w:p>
      <w:pPr>
        <w:pStyle w:val="ListBullet"/>
      </w:pPr>
      <w:r>
        <w:t>Responsible use: predictions support human review. Missing a flag must not deny assistance; privacy, subgroup performance and school workload require further validation.</w:t>
      </w:r>
    </w:p>
    <w:p>
      <w:pPr>
        <w:pStyle w:val="Heading1"/>
      </w:pPr>
      <w:r>
        <w:t>Reproducing the workflow</w:t>
      </w:r>
    </w:p>
    <w:p>
      <w:r>
        <w:t>Run model notebooks 03a–03e in any order, including their final risk-metric sections, then run Notebook 03 to validate and compare records. Notebook 04 reproduces the evaluation of the selected models. A code or data change requires fresh training artifacts; it does not restore the already-inspected holdout to unseen status.</w:t>
      </w:r>
    </w:p>
    <w:p>
      <w:r>
        <w:t>Full run instructions: notebooks/README.md and docs/model_experiment_workflow.md. Training model and risk comparisons remain in Notebooks 03a–03e and 03. Final evaluation, plots and recommendations remain in Notebook 04. No result files are exported to docs.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6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Calibri" w:hAnsi="Calibr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Performance Project Workflow</dc:title>
  <dc:subject>Student Mathematics performance modelling project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