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แบบประเมินผลประสิทธิภาพการทำงานของระบบ</w:t>
      </w:r>
    </w:p>
    <w:p>
      <w:pPr>
        <w:jc w:val="center"/>
      </w:pPr>
      <w:r>
        <w:rPr>
          <w:b/>
          <w:sz w:val="36"/>
        </w:rPr>
        <w:t>เรื่อง การพัฒนาระบบจัดเก็บกุญแจอัตโนมัติโดยใช้เว็บแอปพลิเคชันในการควบคุม</w:t>
      </w:r>
    </w:p>
    <w:p/>
    <w:p>
      <w:r>
        <w:rPr>
          <w:b/>
          <w:sz w:val="28"/>
        </w:rPr>
        <w:t>คำชี้แจง: ให้ผู้ประเมินทำการทดสอบการทำงานของระบบตามกรณีทดสอบที่กำหนด จำนวน 10 ครั้งต่อ 1 รายการ</w:t>
        <w:br/>
        <w:t>โดยทำเครื่องหมาย ✔ (ผ่าน) หรือ ✘ (ไม่ผ่าน) ลงในกล่องสี่เหลี่ยม (☐) ตามผลลัพธ์ที่ได้จากการทดสอบในแต่ละรอบ</w:t>
      </w:r>
    </w:p>
    <w:p/>
    <w:p>
      <w:pPr>
        <w:pStyle w:val="Heading2"/>
        <w:jc w:val="left"/>
      </w:pPr>
      <w:r>
        <w:rPr>
          <w:rFonts w:ascii="TH SarabunPSK" w:hAnsi="TH SarabunPSK"/>
          <w:sz w:val="32"/>
        </w:rPr>
        <w:t>ส่วนที่ 1: การประเมินประสิทธิภาพด้านฮาร์ดแวร์ (Hardware Evaluation)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454"/>
            <w:vMerge w:val="restart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4082"/>
            <w:vMerge w:val="restart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รายการประเมินแบบมิติเดียว</w:t>
            </w:r>
          </w:p>
        </w:tc>
        <w:tc>
          <w:tcPr>
            <w:tcW w:type="dxa" w:w="567"/>
            <w:gridSpan w:val="10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ผลการทดสอบ (ครั้งที่)</w:t>
            </w:r>
          </w:p>
        </w:tc>
      </w:tr>
      <w:tr>
        <w:tc>
          <w:tcPr>
            <w:tcW w:type="dxa" w:w="850"/>
            <w:vMerge/>
          </w:tcPr>
          <w:p/>
        </w:tc>
        <w:tc>
          <w:tcPr>
            <w:tcW w:type="dxa" w:w="850"/>
            <w:vMerge/>
          </w:tcPr>
          <w:p/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1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2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3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4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5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6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7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8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9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10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1.1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ตรวจสอบความสามารถในการอ่านตำแหน่งช่องของกุญแจ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1.2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ตรวจสอบความแม่นยำของการคัดกรองข้อมูลเมื่อมีการเสียบกุญแจพร้อมกันหลายช่อง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1.3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ตรวจสอบความสามารถในการปฏิเสธกุญแจที่ไม่ได้ลงทะเบียน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1.4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ตรวจสอบกลไกการปลดล็อกช่องกุญแจ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1.5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ตรวจสอบกลไกการล็อกกุญแจกลับเข้าที่อัตโนมัติ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1.6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ตรวจสอบกระบวนการยกเลิกรายการเบิกเมื่อพ้นกรณีกำหนดเวลา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1.7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ตรวจสอบความถูกต้องของการเปลี่ยนสีสัญญาณแสดงผลเป็นสีเขียว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1.8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ตรวจสอบความถูกต้องของการเปลี่ยนสีสัญญาณแสดงผลเป็นสีแดง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1.9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ตรวจสอบความถูกต้องของการกะพริบสัญญาณแสดงผลในโหมดรอรับกุญแจ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1.10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ตรวจสอบความรวดเร็วในการส่งผ่านข้อมูลระหว่างวงจรย่อย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</w:tbl>
    <w:p/>
    <w:p>
      <w:pPr>
        <w:pStyle w:val="Heading2"/>
        <w:jc w:val="left"/>
      </w:pPr>
      <w:r>
        <w:rPr>
          <w:rFonts w:ascii="TH SarabunPSK" w:hAnsi="TH SarabunPSK"/>
          <w:sz w:val="32"/>
        </w:rPr>
        <w:t>ส่วนที่ 2: การประเมินฟังก์ชันด้านซอฟต์แวร์ (Software Evaluation)</w:t>
      </w:r>
    </w:p>
    <w:p>
      <w:pPr>
        <w:pStyle w:val="Heading2"/>
        <w:jc w:val="left"/>
      </w:pPr>
      <w:r>
        <w:rPr>
          <w:rFonts w:ascii="TH SarabunPSK" w:hAnsi="TH SarabunPSK"/>
          <w:sz w:val="32"/>
        </w:rPr>
        <w:t>2.1 ระบบบริการสำหรับผู้ใช้งานหน้าตู้ (Kiosk UI)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454"/>
            <w:vMerge w:val="restart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4082"/>
            <w:vMerge w:val="restart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รายการประเมินแบบมิติเดียว</w:t>
            </w:r>
          </w:p>
        </w:tc>
        <w:tc>
          <w:tcPr>
            <w:tcW w:type="dxa" w:w="567"/>
            <w:gridSpan w:val="10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ผลการทดสอบ (ครั้งที่)</w:t>
            </w:r>
          </w:p>
        </w:tc>
      </w:tr>
      <w:tr>
        <w:tc>
          <w:tcPr>
            <w:tcW w:type="dxa" w:w="850"/>
            <w:vMerge/>
          </w:tcPr>
          <w:p/>
        </w:tc>
        <w:tc>
          <w:tcPr>
            <w:tcW w:type="dxa" w:w="850"/>
            <w:vMerge/>
          </w:tcPr>
          <w:p/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1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2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3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4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5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6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7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8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9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10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2.1.1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ตรวจสอบการอนุมัติรหัสสำหรับการเบิกกุญแจโดยตรงตามตารางสอน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2.1.2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ตรวจสอบความสามารถในการเรียกฟอร์มสอบถามเหตุผลกรณีนอกตารางสอน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2.1.3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ตรวจสอบระบบการระงับสิทธิ์ห้องเรียนที่มีการจองไว้ล่วงหน้า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2.1.4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ตรวจสอบการให้สิทธิ์การเบิกไม่อั้นของตำแหน่งอาจารย์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2.1.5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ตรวจสอบการบันทึกข้อมูลการส่งกุญแจคืนตามเวลา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2.1.6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ตรวจสอบความเที่ยงตรงของระบบหักคะแนนความประพฤติอัตโนมัติส่วนบุคคล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2.1.7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ตรวจสอบความถูกต้องของหน้าต่างแจ้งเตือนช่องผู้ใช้งานที่ใส่ผิดช่อง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2.1.8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ตรวจสอบการประมวลผลการรับคืนกุญแจผ่านเซ็นเซอร์ระบบ Auto-Return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2.1.9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ตรวจสอบฟังก์ชันการยืนยันการโอนสิทธิ์กุญแจห้องบรรยายไปให้บุคคลอื่น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2.1.10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ตรวจสอบฟังก์ชันการยืนยันการสลับรายวิชาห้องบรรยายของของบุคคลสองท่าน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2.1.11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ตรวจสอบการทำสำเนาตารางสอนประจำวันเข้าสู่ตัวเครื่องล่วงหน้าแบบอัตโนมัติ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</w:tbl>
    <w:p/>
    <w:p>
      <w:r>
        <w:br w:type="page"/>
      </w:r>
    </w:p>
    <w:p>
      <w:pPr>
        <w:pStyle w:val="Heading2"/>
        <w:jc w:val="left"/>
      </w:pPr>
      <w:r>
        <w:rPr>
          <w:rFonts w:ascii="TH SarabunPSK" w:hAnsi="TH SarabunPSK"/>
          <w:sz w:val="32"/>
        </w:rPr>
        <w:t>2.2 ระบบจัดการส่วนกลางสำหรับเจ้าหน้าที่ (Web Application / Admin Dashboard)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454"/>
            <w:vMerge w:val="restart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ลำดับ</w:t>
            </w:r>
          </w:p>
        </w:tc>
        <w:tc>
          <w:tcPr>
            <w:tcW w:type="dxa" w:w="4082"/>
            <w:vMerge w:val="restart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รายการประเมินแบบมิติเดียว</w:t>
            </w:r>
          </w:p>
        </w:tc>
        <w:tc>
          <w:tcPr>
            <w:tcW w:type="dxa" w:w="567"/>
            <w:gridSpan w:val="10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ผลการทดสอบ (ครั้งที่)</w:t>
            </w:r>
          </w:p>
        </w:tc>
      </w:tr>
      <w:tr>
        <w:tc>
          <w:tcPr>
            <w:tcW w:type="dxa" w:w="850"/>
            <w:vMerge/>
          </w:tcPr>
          <w:p/>
        </w:tc>
        <w:tc>
          <w:tcPr>
            <w:tcW w:type="dxa" w:w="850"/>
            <w:vMerge/>
          </w:tcPr>
          <w:p/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1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2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3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4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5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6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7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8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9</w:t>
            </w:r>
          </w:p>
        </w:tc>
        <w:tc>
          <w:tcPr>
            <w:tcW w:type="dxa" w:w="567"/>
            <w:shd w:fill="D9E2F3" w:val="clear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sz w:val="28"/>
              </w:rPr>
              <w:t>10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2.2.1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ตรวจสอบความถูกต้องของระบบลงชื่อเข้าใช้งานของเจ้าหน้าที่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2.2.2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ตรวจสอบความสามารถในการแกะข้อมูลบัญชีจากไฟล์ข้อมูลตาราง Excel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2.2.3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ตรวจสอบการจดจำกุญแจรหัสใหม่เข้าสู่ระบบฐานข้อมูล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2.2.4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ตรวจสอบกระบวนการจับคู่รหัสชิปกุญแจกับแผงวงจร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2.2.5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ตรวจสอบการอ่านโครงสร้างตารางสอนส่วนกลางเข้าสู่ระบบ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2.2.6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ตรวจสอบความทันสมัยของกระดานแสดงบรรยากาศการใช้งานของสถานะกุญแจเวลาจริง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2.2.7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ตรวจสอบความถูกต้องของแพลตฟอร์มเรียกดูหน้าประวัติเหตุการณ์ยืม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2.2.8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ตรวจสอบความถูกต้องของแพลตฟอร์มเรียกดูหน้าประวัติเหตุการณ์คืน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  <w:tr>
        <w:tc>
          <w:tcPr>
            <w:tcW w:type="dxa" w:w="454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2.2.9</w:t>
            </w:r>
          </w:p>
        </w:tc>
        <w:tc>
          <w:tcPr>
            <w:tcW w:type="dxa" w:w="4082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TH SarabunPSK" w:hAnsi="TH SarabunPSK"/>
                <w:sz w:val="28"/>
              </w:rPr>
              <w:t>ตรวจสอบความถูกต้องของแพลตฟอร์มเรียกดูประวัติการแบนและทำโทษผู้ใช้งาน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  <w:tc>
          <w:tcPr>
            <w:tcW w:type="dxa" w:w="567"/>
            <w:tcMar>
              <w:top w:w="0" w:type="dxa"/>
              <w:bottom w:w="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sz w:val="28"/>
              </w:rPr>
              <w:t>☐</w:t>
            </w:r>
          </w:p>
        </w:tc>
      </w:tr>
    </w:tbl>
    <w:p/>
    <w:p/>
    <w:p>
      <w:r>
        <w:t>ข้อคิดเห็นหรือข้อเสนอแนะเพิ่มเติม 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.........................................................................................................................................................................................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jc w:val="right"/>
            </w:pPr>
            <w:r>
              <w:rPr>
                <w:rFonts w:ascii="TH SarabunPSK" w:hAnsi="TH SarabunPSK"/>
                <w:sz w:val="32"/>
              </w:rPr>
              <w:t>ลงชื่อผู้ประเมิน ............................................................................</w:t>
            </w:r>
          </w:p>
          <w:p>
            <w:pPr>
              <w:jc w:val="right"/>
            </w:pPr>
            <w:r>
              <w:rPr>
                <w:rFonts w:ascii="TH SarabunPSK" w:hAnsi="TH SarabunPSK"/>
                <w:sz w:val="32"/>
              </w:rPr>
              <w:t>วันที่ประเมิน ............................................................................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rPr>
                <w:rFonts w:ascii="TH SarabunPSK" w:hAnsi="TH SarabunPSK"/>
                <w:sz w:val="32"/>
              </w:rPr>
              <w:t xml:space="preserve">    (............................................................................)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