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rFonts w:ascii="Arial" w:cs="Arial" w:eastAsia="Arial" w:hAnsi="Arial"/>
          <w:b/>
          <w:bCs/>
          <w:color w:val="1B3A6B"/>
          <w:sz w:val="48"/>
          <w:szCs w:val="48"/>
        </w:rPr>
        <w:t xml:space="preserve">BUSINESS TRANSFORMATION PROJECT</w:t>
      </w:r>
    </w:p>
    <w:p>
      <w:pPr>
        <w:spacing w:after="160"/>
        <w:jc w:val="center"/>
      </w:pPr>
      <w:r>
        <w:rPr>
          <w:rFonts w:ascii="Arial" w:cs="Arial" w:eastAsia="Arial" w:hAnsi="Arial"/>
          <w:i/>
          <w:iCs/>
          <w:color w:val="555555"/>
          <w:sz w:val="28"/>
          <w:szCs w:val="28"/>
        </w:rPr>
        <w:t xml:space="preserve">Executive MBA</w:t>
      </w:r>
    </w:p>
    <w:p>
      <w:pPr>
        <w:pBdr>
          <w:bottom w:val="single" w:color="1B3A6B" w:sz="12"/>
        </w:pBdr>
        <w:spacing w:after="320"/>
        <w:jc w:val="center"/>
      </w:pPr>
    </w:p>
    <w:p/>
    <w:p/>
    <w:p>
      <w:pPr>
        <w:spacing w:after="120"/>
        <w:jc w:val="center"/>
      </w:pPr>
      <w:r>
        <w:rPr>
          <w:rFonts w:ascii="Arial" w:cs="Arial" w:eastAsia="Arial" w:hAnsi="Arial"/>
          <w:b/>
          <w:bCs/>
          <w:color w:val="1B3A6B"/>
          <w:sz w:val="64"/>
          <w:szCs w:val="64"/>
        </w:rPr>
        <w:t xml:space="preserve">CondoCare</w:t>
      </w:r>
    </w:p>
    <w:p>
      <w:pPr>
        <w:spacing w:after="120"/>
        <w:jc w:val="center"/>
      </w:pPr>
      <w:r>
        <w:rPr>
          <w:rFonts w:ascii="Arial" w:cs="Arial" w:eastAsia="Arial" w:hAnsi="Arial"/>
          <w:i/>
          <w:iCs/>
          <w:color w:val="444444"/>
          <w:sz w:val="28"/>
          <w:szCs w:val="28"/>
        </w:rPr>
        <w:t xml:space="preserve">Piattaforma AI di supporto clienti per l'amministrazione condominiale</w:t>
      </w:r>
    </w:p>
    <w:p/>
    <w:p/>
    <w:p>
      <w:pPr>
        <w:spacing w:after="80"/>
        <w:jc w:val="center"/>
      </w:pPr>
      <w:r>
        <w:rPr>
          <w:rFonts w:ascii="Arial" w:cs="Arial" w:eastAsia="Arial" w:hAnsi="Arial"/>
          <w:color w:val="333333"/>
          <w:sz w:val="24"/>
          <w:szCs w:val="24"/>
        </w:rPr>
        <w:t xml:space="preserve">MVP &amp; Validazione Comportamentale — Test Card 5</w:t>
      </w:r>
    </w:p>
    <w:p/>
    <w:p/>
    <w:p/>
    <w:p/>
    <w:p>
      <w:pPr>
        <w:spacing w:after="60"/>
        <w:jc w:val="center"/>
      </w:pPr>
      <w:r>
        <w:rPr>
          <w:rFonts w:ascii="Arial" w:cs="Arial" w:eastAsia="Arial" w:hAnsi="Arial"/>
          <w:b/>
          <w:bCs/>
          <w:color w:val="1A1A1A"/>
          <w:sz w:val="22"/>
          <w:szCs w:val="22"/>
        </w:rPr>
        <w:t xml:space="preserve">Andrea Suraci</w:t>
      </w:r>
    </w:p>
    <w:p>
      <w:pPr>
        <w:spacing w:after="60"/>
        <w:jc w:val="center"/>
      </w:pPr>
      <w:r>
        <w:rPr>
          <w:rFonts w:ascii="Arial" w:cs="Arial" w:eastAsia="Arial" w:hAnsi="Arial"/>
          <w:color w:val="666666"/>
          <w:sz w:val="20"/>
          <w:szCs w:val="20"/>
        </w:rPr>
        <w:t xml:space="preserve">suraci.andrea@gmail.com</w:t>
      </w:r>
    </w:p>
    <w:p>
      <w:pPr>
        <w:spacing w:after="60"/>
        <w:jc w:val="center"/>
      </w:pPr>
      <w:r>
        <w:rPr>
          <w:rFonts w:ascii="Arial" w:cs="Arial" w:eastAsia="Arial" w:hAnsi="Arial"/>
          <w:color w:val="666666"/>
          <w:sz w:val="20"/>
          <w:szCs w:val="20"/>
        </w:rPr>
        <w:t xml:space="preserve">Giugno 2026</w:t>
      </w:r>
    </w:p>
    <w:p>
      <w:r>
        <w:br w:type="page"/>
      </w:r>
    </w:p>
    <w:p>
      <w:pPr>
        <w:pStyle w:val="Heading1"/>
        <w:spacing w:after="160" w:before="400"/>
      </w:pPr>
      <w:r>
        <w:rPr>
          <w:rFonts w:ascii="Arial" w:cs="Arial" w:eastAsia="Arial" w:hAnsi="Arial"/>
          <w:b/>
          <w:bCs/>
          <w:color w:val="1B3A6B"/>
          <w:sz w:val="28"/>
          <w:szCs w:val="28"/>
        </w:rPr>
        <w:t xml:space="preserve">1. Executive Summary</w:t>
      </w:r>
    </w:p>
    <w:p>
      <w:pPr>
        <w:spacing w:after="80" w:before="80"/>
        <w:jc w:val="both"/>
      </w:pPr>
      <w:r>
        <w:rPr>
          <w:rFonts w:ascii="Arial" w:cs="Arial" w:eastAsia="Arial" w:hAnsi="Arial"/>
          <w:b w:val="false"/>
          <w:bCs w:val="false"/>
          <w:i w:val="false"/>
          <w:iCs w:val="false"/>
          <w:color w:val="1A1A1A"/>
          <w:sz w:val="22"/>
          <w:szCs w:val="22"/>
        </w:rPr>
        <w:t xml:space="preserve">CondoCare è una piattaforma di intelligenza artificiale progettata per modernizzare il servizio clienti negli studi di amministrazione condominiale. Il settore, caratterizzato da elevati volumi di richieste ripetitive, comunicazione frammentata e scarsa digitalizzazione, rappresenta un'opportunità concreta di trasformazione mediante l'adozione di strumenti AI a bassa complessità implementativa.</w:t>
      </w:r>
    </w:p>
    <w:p>
      <w:pPr>
        <w:spacing w:after="80" w:before="80"/>
        <w:jc w:val="both"/>
      </w:pPr>
      <w:r>
        <w:rPr>
          <w:rFonts w:ascii="Arial" w:cs="Arial" w:eastAsia="Arial" w:hAnsi="Arial"/>
          <w:b w:val="false"/>
          <w:bCs w:val="false"/>
          <w:i w:val="false"/>
          <w:iCs w:val="false"/>
          <w:color w:val="1A1A1A"/>
          <w:sz w:val="22"/>
          <w:szCs w:val="22"/>
        </w:rPr>
        <w:t xml:space="preserve">Il presente documento descrive l'MVP funzionale sviluppato come prova di concetto, illustra le scelte architetturali adottate e presenta la Test Card 5 — Validazione Comportamentale, strumento con cui si intende verificare se il sistema genera valore operativo reale per i due attori principali: i condòmini e gli amministratori.</w:t>
      </w:r>
    </w:p>
    <w:p/>
    <w:p>
      <w:pPr>
        <w:pStyle w:val="Heading1"/>
        <w:spacing w:after="160" w:before="400"/>
      </w:pPr>
      <w:r>
        <w:rPr>
          <w:rFonts w:ascii="Arial" w:cs="Arial" w:eastAsia="Arial" w:hAnsi="Arial"/>
          <w:b/>
          <w:bCs/>
          <w:color w:val="1B3A6B"/>
          <w:sz w:val="28"/>
          <w:szCs w:val="28"/>
        </w:rPr>
        <w:t xml:space="preserve">2. Il Problema</w:t>
      </w:r>
    </w:p>
    <w:p>
      <w:pPr>
        <w:spacing w:after="80" w:before="80"/>
        <w:jc w:val="both"/>
      </w:pPr>
      <w:r>
        <w:rPr>
          <w:rFonts w:ascii="Arial" w:cs="Arial" w:eastAsia="Arial" w:hAnsi="Arial"/>
          <w:b w:val="false"/>
          <w:bCs w:val="false"/>
          <w:i w:val="false"/>
          <w:iCs w:val="false"/>
          <w:color w:val="1A1A1A"/>
          <w:sz w:val="22"/>
          <w:szCs w:val="22"/>
        </w:rPr>
        <w:t xml:space="preserve">Gli studi di amministrazione condominiale gestiscono quotidianamente centinaia di richieste da parte dei residenti: quesiti su regolamenti, verbali assembleari, segnalazioni di guasti, richieste di chiarimenti su oneri condominiali. La quasi totalità di queste interazioni avviene via telefono o e-mail, senza sistemi di tracciatura, prioritizzazione o risposta automatica.</w:t>
      </w:r>
    </w:p>
    <w:p>
      <w:pPr>
        <w:spacing w:after="80" w:before="80"/>
        <w:jc w:val="both"/>
      </w:pPr>
      <w:r>
        <w:rPr>
          <w:rFonts w:ascii="Arial" w:cs="Arial" w:eastAsia="Arial" w:hAnsi="Arial"/>
          <w:b w:val="false"/>
          <w:bCs w:val="false"/>
          <w:i w:val="false"/>
          <w:iCs w:val="false"/>
          <w:color w:val="1A1A1A"/>
          <w:sz w:val="22"/>
          <w:szCs w:val="22"/>
        </w:rPr>
        <w:t xml:space="preserve">Le principali criticità emerse dall'analisi del contesto sono:</w:t>
      </w:r>
    </w:p>
    <w:p>
      <w:pPr>
        <w:pStyle w:val="ListParagraph"/>
        <w:numPr>
          <w:ilvl w:val="0"/>
          <w:numId w:val="2"/>
        </w:numPr>
        <w:spacing w:after="60" w:before="60"/>
      </w:pPr>
      <w:r>
        <w:rPr>
          <w:rFonts w:ascii="Arial" w:cs="Arial" w:eastAsia="Arial" w:hAnsi="Arial"/>
          <w:color w:val="1A1A1A"/>
          <w:sz w:val="22"/>
          <w:szCs w:val="22"/>
        </w:rPr>
        <w:t xml:space="preserve">Carico operativo elevato su personale amministrativo per richieste a basso valore aggiunto</w:t>
      </w:r>
    </w:p>
    <w:p>
      <w:pPr>
        <w:pStyle w:val="ListParagraph"/>
        <w:numPr>
          <w:ilvl w:val="0"/>
          <w:numId w:val="2"/>
        </w:numPr>
        <w:spacing w:after="60" w:before="60"/>
      </w:pPr>
      <w:r>
        <w:rPr>
          <w:rFonts w:ascii="Arial" w:cs="Arial" w:eastAsia="Arial" w:hAnsi="Arial"/>
          <w:color w:val="1A1A1A"/>
          <w:sz w:val="22"/>
          <w:szCs w:val="22"/>
        </w:rPr>
        <w:t xml:space="preserve">Tempi di risposta lunghi che generano insoddisfazione nei condòmini</w:t>
      </w:r>
    </w:p>
    <w:p>
      <w:pPr>
        <w:pStyle w:val="ListParagraph"/>
        <w:numPr>
          <w:ilvl w:val="0"/>
          <w:numId w:val="2"/>
        </w:numPr>
        <w:spacing w:after="60" w:before="60"/>
      </w:pPr>
      <w:r>
        <w:rPr>
          <w:rFonts w:ascii="Arial" w:cs="Arial" w:eastAsia="Arial" w:hAnsi="Arial"/>
          <w:color w:val="1A1A1A"/>
          <w:sz w:val="22"/>
          <w:szCs w:val="22"/>
        </w:rPr>
        <w:t xml:space="preserve">Assenza di storico delle interazioni e delle risoluzioni</w:t>
      </w:r>
    </w:p>
    <w:p>
      <w:pPr>
        <w:pStyle w:val="ListParagraph"/>
        <w:numPr>
          <w:ilvl w:val="0"/>
          <w:numId w:val="2"/>
        </w:numPr>
        <w:spacing w:after="60" w:before="60"/>
      </w:pPr>
      <w:r>
        <w:rPr>
          <w:rFonts w:ascii="Arial" w:cs="Arial" w:eastAsia="Arial" w:hAnsi="Arial"/>
          <w:color w:val="1A1A1A"/>
          <w:sz w:val="22"/>
          <w:szCs w:val="22"/>
        </w:rPr>
        <w:t xml:space="preserve">Impossibilità di scalare il servizio senza aumentare proporzionalmente il personale</w:t>
      </w:r>
    </w:p>
    <w:p>
      <w:pPr>
        <w:pStyle w:val="ListParagraph"/>
        <w:numPr>
          <w:ilvl w:val="0"/>
          <w:numId w:val="2"/>
        </w:numPr>
        <w:spacing w:after="60" w:before="60"/>
      </w:pPr>
      <w:r>
        <w:rPr>
          <w:rFonts w:ascii="Arial" w:cs="Arial" w:eastAsia="Arial" w:hAnsi="Arial"/>
          <w:color w:val="1A1A1A"/>
          <w:sz w:val="22"/>
          <w:szCs w:val="22"/>
        </w:rPr>
        <w:t xml:space="preserve">Frammentazione delle informazioni tra documenti non digitalizzati o non accessibili</w:t>
      </w:r>
    </w:p>
    <w:p/>
    <w:p>
      <w:pPr>
        <w:pStyle w:val="Heading1"/>
        <w:spacing w:after="160" w:before="400"/>
      </w:pPr>
      <w:r>
        <w:rPr>
          <w:rFonts w:ascii="Arial" w:cs="Arial" w:eastAsia="Arial" w:hAnsi="Arial"/>
          <w:b/>
          <w:bCs/>
          <w:color w:val="1B3A6B"/>
          <w:sz w:val="28"/>
          <w:szCs w:val="28"/>
        </w:rPr>
        <w:t xml:space="preserve">3. La Soluzione: MVP CondoCare</w:t>
      </w:r>
    </w:p>
    <w:p>
      <w:pPr>
        <w:spacing w:after="80" w:before="80"/>
        <w:jc w:val="both"/>
      </w:pPr>
      <w:r>
        <w:rPr>
          <w:rFonts w:ascii="Arial" w:cs="Arial" w:eastAsia="Arial" w:hAnsi="Arial"/>
          <w:b w:val="false"/>
          <w:bCs w:val="false"/>
          <w:i w:val="false"/>
          <w:iCs w:val="false"/>
          <w:color w:val="1A1A1A"/>
          <w:sz w:val="22"/>
          <w:szCs w:val="22"/>
        </w:rPr>
        <w:t xml:space="preserve">CondoCare propone un assistente conversazionale AI accessibile via browser che risponde alle richieste dei condòmini basandosi sui documenti caricati dall'amministratore (regolamenti, verbali, circolari). Quando il sistema non dispone di informazioni sufficienti a rispondere con sicurezza, la richiesta viene automaticamente inoltrata all'amministratore umano, che la gestisce tramite una dashboard dedicata.</w:t>
      </w:r>
    </w:p>
    <w:p>
      <w:pPr>
        <w:pStyle w:val="Heading2"/>
        <w:spacing w:after="120" w:before="280"/>
      </w:pPr>
      <w:r>
        <w:rPr>
          <w:rFonts w:ascii="Arial" w:cs="Arial" w:eastAsia="Arial" w:hAnsi="Arial"/>
          <w:b/>
          <w:bCs/>
          <w:color w:val="1B3A6B"/>
          <w:sz w:val="24"/>
          <w:szCs w:val="24"/>
        </w:rPr>
        <w:t xml:space="preserve">3.1 Architettura Tecnica dell'MVP</w:t>
      </w:r>
    </w:p>
    <w:p>
      <w:pPr>
        <w:spacing w:after="80" w:before="80"/>
        <w:jc w:val="both"/>
      </w:pPr>
      <w:r>
        <w:rPr>
          <w:rFonts w:ascii="Arial" w:cs="Arial" w:eastAsia="Arial" w:hAnsi="Arial"/>
          <w:b w:val="false"/>
          <w:bCs w:val="false"/>
          <w:i w:val="false"/>
          <w:iCs w:val="false"/>
          <w:color w:val="1A1A1A"/>
          <w:sz w:val="22"/>
          <w:szCs w:val="22"/>
        </w:rPr>
        <w:t xml:space="preserve">L'MVP è stato sviluppato privilegiando la semplicità implementativa e la rapidità di validazione. Lo stack tecnologico scelto riflette una logica build-to-learn: l'obiettivo non è la scalabilità produttiva, ma la capacità di raccogliere dati comportamentali reali nel minor tempo possibile.</w:t>
      </w:r>
    </w:p>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tblHeader/>
        </w:trPr>
        <w:tc>
          <w:tcPr>
            <w:tcW w:type="dxa" w:w="24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Componente</w:t>
            </w:r>
          </w:p>
        </w:tc>
        <w:tc>
          <w:tcPr>
            <w:tcW w:type="dxa" w:w="690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Scelta tecnologica e motivazione</w:t>
            </w:r>
          </w:p>
        </w:tc>
      </w:tr>
      <w:tr>
        <w:tc>
          <w:tcPr>
            <w:tcW w:type="dxa" w:w="24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Backend</w:t>
            </w:r>
          </w:p>
        </w:tc>
        <w:tc>
          <w:tcPr>
            <w:tcW w:type="dxa" w:w="69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Node.js + Express — monolite in un singolo file (server.js), ideale per MVP con team ridotto</w:t>
            </w:r>
          </w:p>
        </w:tc>
      </w:tr>
      <w:tr>
        <w:tc>
          <w:tcPr>
            <w:tcW w:type="dxa" w:w="24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LLM</w:t>
            </w:r>
          </w:p>
        </w:tc>
        <w:tc>
          <w:tcPr>
            <w:tcW w:type="dxa" w:w="69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Groq API con modello llama-3.1-8b-instant — latenza bassa, costo zero in fase di test, API compatibile OpenAI</w:t>
            </w:r>
          </w:p>
        </w:tc>
      </w:tr>
      <w:tr>
        <w:tc>
          <w:tcPr>
            <w:tcW w:type="dxa" w:w="24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RAG documentale</w:t>
            </w:r>
          </w:p>
        </w:tc>
        <w:tc>
          <w:tcPr>
            <w:tcW w:type="dxa" w:w="69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Retrieval keyword-based senza embedding — sufficiente per knowledge base &lt; 50 documenti, nessuna dipendenza da vector store</w:t>
            </w:r>
          </w:p>
        </w:tc>
      </w:tr>
      <w:tr>
        <w:tc>
          <w:tcPr>
            <w:tcW w:type="dxa" w:w="24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Storage</w:t>
            </w:r>
          </w:p>
        </w:tc>
        <w:tc>
          <w:tcPr>
            <w:tcW w:type="dxa" w:w="69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File system (tickets.json + cartella raw/) — nessun database, deploy immediato su Railway</w:t>
            </w:r>
          </w:p>
        </w:tc>
      </w:tr>
      <w:tr>
        <w:tc>
          <w:tcPr>
            <w:tcW w:type="dxa" w:w="24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Frontend</w:t>
            </w:r>
          </w:p>
        </w:tc>
        <w:tc>
          <w:tcPr>
            <w:tcW w:type="dxa" w:w="69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HTML/CSS/JS vanilla — 4 pagine: landing, chat condòmino, dashboard admin, gestione documenti</w:t>
            </w:r>
          </w:p>
        </w:tc>
      </w:tr>
      <w:tr>
        <w:tc>
          <w:tcPr>
            <w:tcW w:type="dxa" w:w="24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Real-time</w:t>
            </w:r>
          </w:p>
        </w:tc>
        <w:tc>
          <w:tcPr>
            <w:tcW w:type="dxa" w:w="69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Server-Sent Events (SSE) — aggiornamento unidirezionale della dashboard admin senza WebSocket</w:t>
            </w:r>
          </w:p>
        </w:tc>
      </w:tr>
    </w:tbl>
    <w:p/>
    <w:p>
      <w:pPr>
        <w:pStyle w:val="Heading2"/>
        <w:spacing w:after="120" w:before="280"/>
      </w:pPr>
      <w:r>
        <w:rPr>
          <w:rFonts w:ascii="Arial" w:cs="Arial" w:eastAsia="Arial" w:hAnsi="Arial"/>
          <w:b/>
          <w:bCs/>
          <w:color w:val="1B3A6B"/>
          <w:sz w:val="24"/>
          <w:szCs w:val="24"/>
        </w:rPr>
        <w:t xml:space="preserve">3.2 Flusso Operativo</w:t>
      </w:r>
    </w:p>
    <w:p>
      <w:pPr>
        <w:spacing w:after="80" w:before="80"/>
        <w:jc w:val="both"/>
      </w:pPr>
      <w:r>
        <w:rPr>
          <w:rFonts w:ascii="Arial" w:cs="Arial" w:eastAsia="Arial" w:hAnsi="Arial"/>
          <w:b w:val="false"/>
          <w:bCs w:val="false"/>
          <w:i w:val="false"/>
          <w:iCs w:val="false"/>
          <w:color w:val="1A1A1A"/>
          <w:sz w:val="22"/>
          <w:szCs w:val="22"/>
        </w:rPr>
        <w:t xml:space="preserve">Il flusso core del sistema segue una logica di triage automatico: ogni messaggio inviato dal condòmino viene classificato per categoria (documentale, amministrativa, informativa, segnalazione) e priorità. Il sistema effettua quindi un retrieval semantico sui documenti caricati e genera una risposta. Se il livello di sicurezza della risposta è alto o medio, il ticket viene chiuso automaticamente dall'AI; altrimenti viene aperto e assegnato all'amministratore.</w:t>
      </w:r>
    </w:p>
    <w:p>
      <w:pPr>
        <w:pStyle w:val="ListParagraph"/>
        <w:numPr>
          <w:ilvl w:val="0"/>
          <w:numId w:val="2"/>
        </w:numPr>
        <w:spacing w:after="60" w:before="60"/>
      </w:pPr>
      <w:r>
        <w:rPr>
          <w:rFonts w:ascii="Arial" w:cs="Arial" w:eastAsia="Arial" w:hAnsi="Arial"/>
          <w:color w:val="1A1A1A"/>
          <w:sz w:val="22"/>
          <w:szCs w:val="22"/>
        </w:rPr>
        <w:t xml:space="preserve">Condòmino invia messaggio via chat web</w:t>
      </w:r>
    </w:p>
    <w:p>
      <w:pPr>
        <w:pStyle w:val="ListParagraph"/>
        <w:numPr>
          <w:ilvl w:val="0"/>
          <w:numId w:val="2"/>
        </w:numPr>
        <w:spacing w:after="60" w:before="60"/>
      </w:pPr>
      <w:r>
        <w:rPr>
          <w:rFonts w:ascii="Arial" w:cs="Arial" w:eastAsia="Arial" w:hAnsi="Arial"/>
          <w:color w:val="1A1A1A"/>
          <w:sz w:val="22"/>
          <w:szCs w:val="22"/>
        </w:rPr>
        <w:t xml:space="preserve">RAG estrae i chunk più rilevanti dai documenti caricati (top 6 per keyword score)</w:t>
      </w:r>
    </w:p>
    <w:p>
      <w:pPr>
        <w:pStyle w:val="ListParagraph"/>
        <w:numPr>
          <w:ilvl w:val="0"/>
          <w:numId w:val="2"/>
        </w:numPr>
        <w:spacing w:after="60" w:before="60"/>
      </w:pPr>
      <w:r>
        <w:rPr>
          <w:rFonts w:ascii="Arial" w:cs="Arial" w:eastAsia="Arial" w:hAnsi="Arial"/>
          <w:color w:val="1A1A1A"/>
          <w:sz w:val="22"/>
          <w:szCs w:val="22"/>
        </w:rPr>
        <w:t xml:space="preserve">Groq classifica la richiesta e genera una risposta con livello di confidenza</w:t>
      </w:r>
    </w:p>
    <w:p>
      <w:pPr>
        <w:pStyle w:val="ListParagraph"/>
        <w:numPr>
          <w:ilvl w:val="0"/>
          <w:numId w:val="2"/>
        </w:numPr>
        <w:spacing w:after="60" w:before="60"/>
      </w:pPr>
      <w:r>
        <w:rPr>
          <w:rFonts w:ascii="Arial" w:cs="Arial" w:eastAsia="Arial" w:hAnsi="Arial"/>
          <w:color w:val="1A1A1A"/>
          <w:sz w:val="22"/>
          <w:szCs w:val="22"/>
        </w:rPr>
        <w:t xml:space="preserve">Se confidenza alta/media → ticket chiuso, risposta inviata automaticamente</w:t>
      </w:r>
    </w:p>
    <w:p>
      <w:pPr>
        <w:pStyle w:val="ListParagraph"/>
        <w:numPr>
          <w:ilvl w:val="0"/>
          <w:numId w:val="2"/>
        </w:numPr>
        <w:spacing w:after="60" w:before="60"/>
      </w:pPr>
      <w:r>
        <w:rPr>
          <w:rFonts w:ascii="Arial" w:cs="Arial" w:eastAsia="Arial" w:hAnsi="Arial"/>
          <w:color w:val="1A1A1A"/>
          <w:sz w:val="22"/>
          <w:szCs w:val="22"/>
        </w:rPr>
        <w:t xml:space="preserve">Se confidenza bassa → ticket aperto, admin notificato via SSE in dashboard</w:t>
      </w:r>
    </w:p>
    <w:p>
      <w:pPr>
        <w:pStyle w:val="ListParagraph"/>
        <w:numPr>
          <w:ilvl w:val="0"/>
          <w:numId w:val="2"/>
        </w:numPr>
        <w:spacing w:after="60" w:before="60"/>
      </w:pPr>
      <w:r>
        <w:rPr>
          <w:rFonts w:ascii="Arial" w:cs="Arial" w:eastAsia="Arial" w:hAnsi="Arial"/>
          <w:color w:val="1A1A1A"/>
          <w:sz w:val="22"/>
          <w:szCs w:val="22"/>
        </w:rPr>
        <w:t xml:space="preserve">Admin risponde dalla dashboard → condòmino vede la risposta tramite polling</w:t>
      </w:r>
    </w:p>
    <w:p>
      <w:r>
        <w:br w:type="page"/>
      </w:r>
    </w:p>
    <w:p>
      <w:pPr>
        <w:pStyle w:val="Heading1"/>
        <w:spacing w:after="160" w:before="400"/>
      </w:pPr>
      <w:r>
        <w:rPr>
          <w:rFonts w:ascii="Arial" w:cs="Arial" w:eastAsia="Arial" w:hAnsi="Arial"/>
          <w:b/>
          <w:bCs/>
          <w:color w:val="1B3A6B"/>
          <w:sz w:val="28"/>
          <w:szCs w:val="28"/>
        </w:rPr>
        <w:t xml:space="preserve">4. Test Card 5 — Validazione Comportamentale</w:t>
      </w:r>
    </w:p>
    <w:p>
      <w:pPr>
        <w:spacing w:after="80" w:before="80"/>
        <w:jc w:val="both"/>
      </w:pPr>
      <w:r>
        <w:rPr>
          <w:rFonts w:ascii="Arial" w:cs="Arial" w:eastAsia="Arial" w:hAnsi="Arial"/>
          <w:b w:val="false"/>
          <w:bCs w:val="false"/>
          <w:i w:val="false"/>
          <w:iCs w:val="false"/>
          <w:color w:val="1A1A1A"/>
          <w:sz w:val="22"/>
          <w:szCs w:val="22"/>
        </w:rPr>
        <w:t xml:space="preserve">La Test Card 5 rappresenta il quinto e più avanzato step del processo di validazione iterativa condotto nell'ambito del BTP. Mentre le test card precedenti si sono concentrate sulla desiderabilità dichiarata (interviste) e sulla fattibilità tecnica (prototipo), la Test Card 5 sposta l'asse sulla validazione comportamentale: si vuole osservare non ciò che gli utenti dichiarano di voler fare, ma ciò che effettivamente fanno quando posti di fronte al sistema funzionante.</w:t>
      </w:r>
    </w:p>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00"/>
        <w:gridCol w:w="7206"/>
      </w:tblGrid>
      <w:tr>
        <w:trPr>
          <w:tblHeader/>
        </w:trPr>
        <w:tc>
          <w:tcPr>
            <w:tcW w:type="dxa" w:w="9306"/>
            <w:gridSpan w:val="2"/>
            <w:tcBorders>
              <w:top w:val="single" w:color="C5D5E8" w:sz="4"/>
              <w:left w:val="single" w:color="C5D5E8" w:sz="4"/>
              <w:bottom w:val="single" w:color="C5D5E8" w:sz="4"/>
              <w:right w:val="single" w:color="C5D5E8" w:sz="4"/>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Test Card 5 — Behavioral Validation</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Ipotesi</w:t>
            </w:r>
          </w:p>
        </w:tc>
        <w:tc>
          <w:tcPr>
            <w:tcW w:type="dxa" w:w="72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Crediamo che un MVP funzionale di CondoCare sia in grado di supportare la gestione di richieste condominiali reali, generando valore percepito sia per i condòmini sia per gli amministratori.</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Test</w:t>
            </w:r>
          </w:p>
        </w:tc>
        <w:tc>
          <w:tcPr>
            <w:tcW w:type="dxa" w:w="72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1A1A1A"/>
                <w:sz w:val="20"/>
                <w:szCs w:val="20"/>
              </w:rPr>
              <w:t xml:space="preserve">Sviluppo di un MVP funzionale a bassa fedeltà</w:t>
            </w:r>
          </w:p>
          <w:p>
            <w:pPr>
              <w:pStyle w:val="ListParagraph"/>
              <w:numPr>
                <w:ilvl w:val="0"/>
                <w:numId w:val="2"/>
              </w:numPr>
              <w:spacing w:after="40" w:before="40"/>
            </w:pPr>
            <w:r>
              <w:rPr>
                <w:rFonts w:ascii="Arial" w:cs="Arial" w:eastAsia="Arial" w:hAnsi="Arial"/>
                <w:color w:val="1A1A1A"/>
                <w:sz w:val="20"/>
                <w:szCs w:val="20"/>
              </w:rPr>
              <w:t xml:space="preserve">Caricamento di documenti reali forniti da 2 studi di amministrazione condominiale</w:t>
            </w:r>
          </w:p>
          <w:p>
            <w:pPr>
              <w:pStyle w:val="ListParagraph"/>
              <w:numPr>
                <w:ilvl w:val="0"/>
                <w:numId w:val="2"/>
              </w:numPr>
              <w:spacing w:after="40" w:before="40"/>
            </w:pPr>
            <w:r>
              <w:rPr>
                <w:rFonts w:ascii="Arial" w:cs="Arial" w:eastAsia="Arial" w:hAnsi="Arial"/>
                <w:color w:val="1A1A1A"/>
                <w:sz w:val="20"/>
                <w:szCs w:val="20"/>
              </w:rPr>
              <w:t xml:space="preserve">Utilizzo del chatbot AI da parte di 4 condòmini reali</w:t>
            </w:r>
          </w:p>
          <w:p>
            <w:pPr>
              <w:pStyle w:val="ListParagraph"/>
              <w:numPr>
                <w:ilvl w:val="0"/>
                <w:numId w:val="2"/>
              </w:numPr>
              <w:spacing w:after="40" w:before="40"/>
            </w:pPr>
            <w:r>
              <w:rPr>
                <w:rFonts w:ascii="Arial" w:cs="Arial" w:eastAsia="Arial" w:hAnsi="Arial"/>
                <w:color w:val="1A1A1A"/>
                <w:sz w:val="20"/>
                <w:szCs w:val="20"/>
              </w:rPr>
              <w:t xml:space="preserve">Visualizzazione dashboard e clusterizzazione richieste da parte degli amministratori coinvolti</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Metriche</w:t>
            </w:r>
          </w:p>
        </w:tc>
        <w:tc>
          <w:tcPr>
            <w:tcW w:type="dxa" w:w="72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1A1A1A"/>
                <w:sz w:val="20"/>
                <w:szCs w:val="20"/>
              </w:rPr>
              <w:t xml:space="preserve">Numero di interazioni generate</w:t>
            </w:r>
          </w:p>
          <w:p>
            <w:pPr>
              <w:pStyle w:val="ListParagraph"/>
              <w:numPr>
                <w:ilvl w:val="0"/>
                <w:numId w:val="2"/>
              </w:numPr>
              <w:spacing w:after="40" w:before="40"/>
            </w:pPr>
            <w:r>
              <w:rPr>
                <w:rFonts w:ascii="Arial" w:cs="Arial" w:eastAsia="Arial" w:hAnsi="Arial"/>
                <w:color w:val="1A1A1A"/>
                <w:sz w:val="20"/>
                <w:szCs w:val="20"/>
              </w:rPr>
              <w:t xml:space="preserve">Tipologia richieste gestite</w:t>
            </w:r>
          </w:p>
          <w:p>
            <w:pPr>
              <w:pStyle w:val="ListParagraph"/>
              <w:numPr>
                <w:ilvl w:val="0"/>
                <w:numId w:val="2"/>
              </w:numPr>
              <w:spacing w:after="40" w:before="40"/>
            </w:pPr>
            <w:r>
              <w:rPr>
                <w:rFonts w:ascii="Arial" w:cs="Arial" w:eastAsia="Arial" w:hAnsi="Arial"/>
                <w:color w:val="1A1A1A"/>
                <w:sz w:val="20"/>
                <w:szCs w:val="20"/>
              </w:rPr>
              <w:t xml:space="preserve">Capacità di clusterizzazione delle richieste</w:t>
            </w:r>
          </w:p>
          <w:p>
            <w:pPr>
              <w:pStyle w:val="ListParagraph"/>
              <w:numPr>
                <w:ilvl w:val="0"/>
                <w:numId w:val="2"/>
              </w:numPr>
              <w:spacing w:after="40" w:before="40"/>
            </w:pPr>
            <w:r>
              <w:rPr>
                <w:rFonts w:ascii="Arial" w:cs="Arial" w:eastAsia="Arial" w:hAnsi="Arial"/>
                <w:color w:val="1A1A1A"/>
                <w:sz w:val="20"/>
                <w:szCs w:val="20"/>
              </w:rPr>
              <w:t xml:space="preserve">Percezione utilità del sistema da parte degli amministratori</w:t>
            </w:r>
          </w:p>
          <w:p>
            <w:pPr>
              <w:pStyle w:val="ListParagraph"/>
              <w:numPr>
                <w:ilvl w:val="0"/>
                <w:numId w:val="2"/>
              </w:numPr>
              <w:spacing w:after="40" w:before="40"/>
            </w:pPr>
            <w:r>
              <w:rPr>
                <w:rFonts w:ascii="Arial" w:cs="Arial" w:eastAsia="Arial" w:hAnsi="Arial"/>
                <w:color w:val="1A1A1A"/>
                <w:sz w:val="20"/>
                <w:szCs w:val="20"/>
              </w:rPr>
              <w:t xml:space="preserve">Soddisfazione percepita dei condòmini</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Criteri di validazione</w:t>
            </w:r>
          </w:p>
        </w:tc>
        <w:tc>
          <w:tcPr>
            <w:tcW w:type="dxa" w:w="72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tcPr>
          <w:p>
            <w:pPr>
              <w:spacing w:after="80"/>
            </w:pPr>
            <w:r>
              <w:rPr>
                <w:rFonts w:ascii="Arial" w:cs="Arial" w:eastAsia="Arial" w:hAnsi="Arial"/>
                <w:b/>
                <w:bCs/>
                <w:color w:val="1B3A6B"/>
                <w:sz w:val="20"/>
                <w:szCs w:val="20"/>
              </w:rPr>
              <w:t xml:space="preserve">VALIDATO se:</w:t>
            </w:r>
          </w:p>
          <w:p>
            <w:pPr>
              <w:pStyle w:val="ListParagraph"/>
              <w:numPr>
                <w:ilvl w:val="0"/>
                <w:numId w:val="2"/>
              </w:numPr>
              <w:spacing w:after="40" w:before="40"/>
            </w:pPr>
            <w:r>
              <w:rPr>
                <w:rFonts w:ascii="Arial" w:cs="Arial" w:eastAsia="Arial" w:hAnsi="Arial"/>
                <w:color w:val="1A1A1A"/>
                <w:sz w:val="20"/>
                <w:szCs w:val="20"/>
              </w:rPr>
              <w:t xml:space="preserve">il chatbot gestisce correttamente richieste informative semplici</w:t>
            </w:r>
          </w:p>
          <w:p>
            <w:pPr>
              <w:pStyle w:val="ListParagraph"/>
              <w:numPr>
                <w:ilvl w:val="0"/>
                <w:numId w:val="2"/>
              </w:numPr>
              <w:spacing w:after="40" w:before="40"/>
            </w:pPr>
            <w:r>
              <w:rPr>
                <w:rFonts w:ascii="Arial" w:cs="Arial" w:eastAsia="Arial" w:hAnsi="Arial"/>
                <w:color w:val="1A1A1A"/>
                <w:sz w:val="20"/>
                <w:szCs w:val="20"/>
              </w:rPr>
              <w:t xml:space="preserve">gli amministratori riconoscono utilità operativa nella clusterizzazione e nella dashboard</w:t>
            </w:r>
          </w:p>
          <w:p>
            <w:pPr>
              <w:pStyle w:val="ListParagraph"/>
              <w:numPr>
                <w:ilvl w:val="0"/>
                <w:numId w:val="2"/>
              </w:numPr>
              <w:spacing w:after="40" w:before="40"/>
            </w:pPr>
            <w:r>
              <w:rPr>
                <w:rFonts w:ascii="Arial" w:cs="Arial" w:eastAsia="Arial" w:hAnsi="Arial"/>
                <w:color w:val="1A1A1A"/>
                <w:sz w:val="20"/>
                <w:szCs w:val="20"/>
              </w:rPr>
              <w:t xml:space="preserve">i condòmini percepiscono il sistema come semplice e comprensibile</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Risultati ottenuti</w:t>
            </w:r>
          </w:p>
        </w:tc>
        <w:tc>
          <w:tcPr>
            <w:tcW w:type="dxa" w:w="72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In fase di esecuzione nella successiva iterazione di validazione.</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Conclusione</w:t>
            </w:r>
          </w:p>
        </w:tc>
        <w:tc>
          <w:tcPr>
            <w:tcW w:type="dxa" w:w="72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Il test consente di distinguere tra interesse dichiarato e reale disponibilità all'adozione.</w:t>
            </w:r>
          </w:p>
        </w:tc>
      </w:tr>
      <w:tr>
        <w:tc>
          <w:tcPr>
            <w:tcW w:type="dxa" w:w="21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Esito</w:t>
            </w:r>
          </w:p>
        </w:tc>
        <w:tc>
          <w:tcPr>
            <w:tcW w:type="dxa" w:w="72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tcPr>
          <w:p>
            <w:r>
              <w:rPr>
                <w:rFonts w:ascii="Arial" w:cs="Arial" w:eastAsia="Arial" w:hAnsi="Arial"/>
                <w:b/>
                <w:bCs/>
                <w:color w:val="CC6600"/>
                <w:sz w:val="20"/>
                <w:szCs w:val="20"/>
              </w:rPr>
              <w:t xml:space="preserve">In attesa di validazione</w:t>
            </w:r>
          </w:p>
        </w:tc>
      </w:tr>
    </w:tbl>
    <w:p/>
    <w:p>
      <w:pPr>
        <w:spacing w:after="80" w:before="80"/>
        <w:jc w:val="left"/>
      </w:pPr>
      <w:r>
        <w:rPr>
          <w:rFonts w:ascii="Arial" w:cs="Arial" w:eastAsia="Arial" w:hAnsi="Arial"/>
          <w:b w:val="false"/>
          <w:bCs w:val="false"/>
          <w:i/>
          <w:iCs/>
          <w:color w:val="1A1A1A"/>
          <w:sz w:val="22"/>
          <w:szCs w:val="22"/>
        </w:rPr>
        <w:t xml:space="preserve">Tabella 9 – Test Card 5</w:t>
      </w:r>
    </w:p>
    <w:p/>
    <w:p>
      <w:pPr>
        <w:pStyle w:val="Heading1"/>
        <w:spacing w:after="160" w:before="400"/>
      </w:pPr>
      <w:r>
        <w:rPr>
          <w:rFonts w:ascii="Arial" w:cs="Arial" w:eastAsia="Arial" w:hAnsi="Arial"/>
          <w:b/>
          <w:bCs/>
          <w:color w:val="1B3A6B"/>
          <w:sz w:val="28"/>
          <w:szCs w:val="28"/>
        </w:rPr>
        <w:t xml:space="preserve">5. Logica di Validazione</w:t>
      </w:r>
    </w:p>
    <w:p>
      <w:pPr>
        <w:spacing w:after="80" w:before="80"/>
        <w:jc w:val="both"/>
      </w:pPr>
      <w:r>
        <w:rPr>
          <w:rFonts w:ascii="Arial" w:cs="Arial" w:eastAsia="Arial" w:hAnsi="Arial"/>
          <w:b w:val="false"/>
          <w:bCs w:val="false"/>
          <w:i w:val="false"/>
          <w:iCs w:val="false"/>
          <w:color w:val="1A1A1A"/>
          <w:sz w:val="22"/>
          <w:szCs w:val="22"/>
        </w:rPr>
        <w:t xml:space="preserve">La scelta di condurre una validazione comportamentale — invece di fermarsi alle interviste di interesse — risponde a un principio fondamentale del lean startup: gli utenti dichiarano spesso disponibilità all'uso che non si traduce in adozione reale quando il prodotto è disponibile. La Test Card 5 è progettata per misurare questa differenza.</w:t>
      </w:r>
    </w:p>
    <w:p>
      <w:pPr>
        <w:pStyle w:val="Heading2"/>
        <w:spacing w:after="120" w:before="280"/>
      </w:pPr>
      <w:r>
        <w:rPr>
          <w:rFonts w:ascii="Arial" w:cs="Arial" w:eastAsia="Arial" w:hAnsi="Arial"/>
          <w:b/>
          <w:bCs/>
          <w:color w:val="1B3A6B"/>
          <w:sz w:val="24"/>
          <w:szCs w:val="24"/>
        </w:rPr>
        <w:t xml:space="preserve">5.1 Perché la validazione comportamentale</w:t>
      </w:r>
    </w:p>
    <w:p>
      <w:pPr>
        <w:spacing w:after="80" w:before="80"/>
        <w:jc w:val="both"/>
      </w:pPr>
      <w:r>
        <w:rPr>
          <w:rFonts w:ascii="Arial" w:cs="Arial" w:eastAsia="Arial" w:hAnsi="Arial"/>
          <w:b w:val="false"/>
          <w:bCs w:val="false"/>
          <w:i w:val="false"/>
          <w:iCs w:val="false"/>
          <w:color w:val="1A1A1A"/>
          <w:sz w:val="22"/>
          <w:szCs w:val="22"/>
        </w:rPr>
        <w:t xml:space="preserve">Le test card precedenti hanno confermato che amministratori e condòmini percepiscono il problema e mostrano interesse verso una soluzione AI. Tuttavia, l'interesse dichiarato non è sufficiente per validare l'ipotesi di valore. Occorre verificare tre condizioni concrete:</w:t>
      </w:r>
    </w:p>
    <w:p>
      <w:pPr>
        <w:pStyle w:val="ListParagraph"/>
        <w:numPr>
          <w:ilvl w:val="0"/>
          <w:numId w:val="2"/>
        </w:numPr>
        <w:spacing w:after="60" w:before="60"/>
      </w:pPr>
      <w:r>
        <w:rPr>
          <w:rFonts w:ascii="Arial" w:cs="Arial" w:eastAsia="Arial" w:hAnsi="Arial"/>
          <w:color w:val="1A1A1A"/>
          <w:sz w:val="22"/>
          <w:szCs w:val="22"/>
        </w:rPr>
        <w:t xml:space="preserve">Il sistema funziona in condizioni reali (documenti veri, domande vere, utenti non filtrati)</w:t>
      </w:r>
    </w:p>
    <w:p>
      <w:pPr>
        <w:pStyle w:val="ListParagraph"/>
        <w:numPr>
          <w:ilvl w:val="0"/>
          <w:numId w:val="2"/>
        </w:numPr>
        <w:spacing w:after="60" w:before="60"/>
      </w:pPr>
      <w:r>
        <w:rPr>
          <w:rFonts w:ascii="Arial" w:cs="Arial" w:eastAsia="Arial" w:hAnsi="Arial"/>
          <w:color w:val="1A1A1A"/>
          <w:sz w:val="22"/>
          <w:szCs w:val="22"/>
        </w:rPr>
        <w:t xml:space="preserve">Gli utenti interagiscono spontaneamente con il sistema, senza assistenza</w:t>
      </w:r>
    </w:p>
    <w:p>
      <w:pPr>
        <w:pStyle w:val="ListParagraph"/>
        <w:numPr>
          <w:ilvl w:val="0"/>
          <w:numId w:val="2"/>
        </w:numPr>
        <w:spacing w:after="60" w:before="60"/>
      </w:pPr>
      <w:r>
        <w:rPr>
          <w:rFonts w:ascii="Arial" w:cs="Arial" w:eastAsia="Arial" w:hAnsi="Arial"/>
          <w:color w:val="1A1A1A"/>
          <w:sz w:val="22"/>
          <w:szCs w:val="22"/>
        </w:rPr>
        <w:t xml:space="preserve">Il valore percepito post-uso è coerente con le aspettative dichiarate pre-uso</w:t>
      </w:r>
    </w:p>
    <w:p/>
    <w:p>
      <w:pPr>
        <w:pStyle w:val="Heading2"/>
        <w:spacing w:after="120" w:before="280"/>
      </w:pPr>
      <w:r>
        <w:rPr>
          <w:rFonts w:ascii="Arial" w:cs="Arial" w:eastAsia="Arial" w:hAnsi="Arial"/>
          <w:b/>
          <w:bCs/>
          <w:color w:val="1B3A6B"/>
          <w:sz w:val="24"/>
          <w:szCs w:val="24"/>
        </w:rPr>
        <w:t xml:space="preserve">5.2 Campione di test</w:t>
      </w:r>
    </w:p>
    <w:p>
      <w:pPr>
        <w:spacing w:after="80" w:before="80"/>
        <w:jc w:val="both"/>
      </w:pPr>
      <w:r>
        <w:rPr>
          <w:rFonts w:ascii="Arial" w:cs="Arial" w:eastAsia="Arial" w:hAnsi="Arial"/>
          <w:b w:val="false"/>
          <w:bCs w:val="false"/>
          <w:i w:val="false"/>
          <w:iCs w:val="false"/>
          <w:color w:val="1A1A1A"/>
          <w:sz w:val="22"/>
          <w:szCs w:val="22"/>
        </w:rPr>
        <w:t xml:space="preserve">Il campione è volutamente ridotto (2 studi, 4 condòmini) per mantenere il test controllato e iterabile rapidamente. L'obiettivo non è la significatività statistica, ma la qualità delle osservazioni comportamentali: si cerca evidenza di pattern di utilizzo, non conferma quantitativa.</w:t>
      </w:r>
    </w:p>
    <w:p/>
    <w:p>
      <w:pPr>
        <w:pStyle w:val="Heading2"/>
        <w:spacing w:after="120" w:before="280"/>
      </w:pPr>
      <w:r>
        <w:rPr>
          <w:rFonts w:ascii="Arial" w:cs="Arial" w:eastAsia="Arial" w:hAnsi="Arial"/>
          <w:b/>
          <w:bCs/>
          <w:color w:val="1B3A6B"/>
          <w:sz w:val="24"/>
          <w:szCs w:val="24"/>
        </w:rPr>
        <w:t xml:space="preserve">5.3 Metriche e criteri di successo</w:t>
      </w:r>
    </w:p>
    <w:p>
      <w:pPr>
        <w:spacing w:after="80" w:before="80"/>
        <w:jc w:val="both"/>
      </w:pPr>
      <w:r>
        <w:rPr>
          <w:rFonts w:ascii="Arial" w:cs="Arial" w:eastAsia="Arial" w:hAnsi="Arial"/>
          <w:b w:val="false"/>
          <w:bCs w:val="false"/>
          <w:i w:val="false"/>
          <w:iCs w:val="false"/>
          <w:color w:val="1A1A1A"/>
          <w:sz w:val="22"/>
          <w:szCs w:val="22"/>
        </w:rPr>
        <w:t xml:space="preserve">I criteri di validazione sono stati definiti per essere osservabili e non ambigui. In particolare, la capacità di clusterizzazione delle richieste — cioè la possibilità per l'admin di vedere le richieste organizzate per categoria e priorità — è considerata un indicatore chiave di utilità operativa, perché risponde a un pain point esplicito emerso nelle interviste precedenti.</w:t>
      </w:r>
    </w:p>
    <w:p>
      <w:r>
        <w:br w:type="page"/>
      </w:r>
    </w:p>
    <w:p>
      <w:pPr>
        <w:pStyle w:val="Heading1"/>
        <w:spacing w:after="160" w:before="400"/>
      </w:pPr>
      <w:r>
        <w:rPr>
          <w:rFonts w:ascii="Arial" w:cs="Arial" w:eastAsia="Arial" w:hAnsi="Arial"/>
          <w:b/>
          <w:bCs/>
          <w:color w:val="1B3A6B"/>
          <w:sz w:val="28"/>
          <w:szCs w:val="28"/>
        </w:rPr>
        <w:t xml:space="preserve">6. Rischi e Limiti dell'MVP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6"/>
      </w:tblGrid>
      <w:tr>
        <w:trPr>
          <w:tblHeader/>
        </w:trPr>
        <w:tc>
          <w:tcPr>
            <w:tcW w:type="dxa" w:w="31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Rischio</w:t>
            </w:r>
          </w:p>
        </w:tc>
        <w:tc>
          <w:tcPr>
            <w:tcW w:type="dxa" w:w="31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Impatto</w:t>
            </w:r>
          </w:p>
        </w:tc>
        <w:tc>
          <w:tcPr>
            <w:tcW w:type="dxa" w:w="310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Mitigazione</w:t>
            </w:r>
          </w:p>
        </w:tc>
      </w:tr>
      <w:tr>
        <w:tc>
          <w:tcPr>
            <w:tcW w:type="dxa" w:w="31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Storage su filesystem efimero (Railway)</w:t>
            </w:r>
          </w:p>
        </w:tc>
        <w:tc>
          <w:tcPr>
            <w:tcW w:type="dxa" w:w="31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Perdita dati ticket a ogni redeploy</w:t>
            </w:r>
          </w:p>
        </w:tc>
        <w:tc>
          <w:tcPr>
            <w:tcW w:type="dxa" w:w="31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Sufficiente per MVP; da migrare a database per produzione</w:t>
            </w:r>
          </w:p>
        </w:tc>
      </w:tr>
      <w:tr>
        <w:tc>
          <w:tcPr>
            <w:tcW w:type="dxa" w:w="31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RAG keyword-based senza embedding</w:t>
            </w:r>
          </w:p>
        </w:tc>
        <w:tc>
          <w:tcPr>
            <w:tcW w:type="dxa" w:w="31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Degrado qualità su knowledge base &gt; 50 documenti</w:t>
            </w:r>
          </w:p>
        </w:tc>
        <w:tc>
          <w:tcPr>
            <w:tcW w:type="dxa" w:w="31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Monitorare il numero di documenti; upgrade a vector store se necessario</w:t>
            </w:r>
          </w:p>
        </w:tc>
      </w:tr>
      <w:tr>
        <w:tc>
          <w:tcPr>
            <w:tcW w:type="dxa" w:w="31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Modello LLM non fine-tuned sul dominio condominiale</w:t>
            </w:r>
          </w:p>
        </w:tc>
        <w:tc>
          <w:tcPr>
            <w:tcW w:type="dxa" w:w="31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Risposte imprecise su terminologia tecnica specifica</w:t>
            </w:r>
          </w:p>
        </w:tc>
        <w:tc>
          <w:tcPr>
            <w:tcW w:type="dxa" w:w="31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Mitigato dal RAG documentale; fallback su escalation admin</w:t>
            </w:r>
          </w:p>
        </w:tc>
      </w:tr>
      <w:tr>
        <w:tc>
          <w:tcPr>
            <w:tcW w:type="dxa" w:w="31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Semaforo isBusy serializza chiamate Groq</w:t>
            </w:r>
          </w:p>
        </w:tc>
        <w:tc>
          <w:tcPr>
            <w:tcW w:type="dxa" w:w="31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Un solo utente per volta; risposta 429 in caso di contesa</w:t>
            </w:r>
          </w:p>
        </w:tc>
        <w:tc>
          <w:tcPr>
            <w:tcW w:type="dxa" w:w="31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Accettabile in fase MVP; da rimuovere con rate limiting adeguato</w:t>
            </w:r>
          </w:p>
        </w:tc>
      </w:tr>
      <w:tr>
        <w:tc>
          <w:tcPr>
            <w:tcW w:type="dxa" w:w="31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Assenza di autenticazione utenti</w:t>
            </w:r>
          </w:p>
        </w:tc>
        <w:tc>
          <w:tcPr>
            <w:tcW w:type="dxa" w:w="31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Nessuna separazione tra condòmini di condomìni diversi</w:t>
            </w:r>
          </w:p>
        </w:tc>
        <w:tc>
          <w:tcPr>
            <w:tcW w:type="dxa" w:w="31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Fuori scope per MVP; da implementare prima del go-live</w:t>
            </w:r>
          </w:p>
        </w:tc>
      </w:tr>
    </w:tbl>
    <w:p/>
    <w:p>
      <w:pPr>
        <w:pStyle w:val="Heading1"/>
        <w:spacing w:after="160" w:before="400"/>
      </w:pPr>
      <w:r>
        <w:rPr>
          <w:rFonts w:ascii="Arial" w:cs="Arial" w:eastAsia="Arial" w:hAnsi="Arial"/>
          <w:b/>
          <w:bCs/>
          <w:color w:val="1B3A6B"/>
          <w:sz w:val="28"/>
          <w:szCs w:val="28"/>
        </w:rPr>
        <w:t xml:space="preserve">7. Next Steps</w:t>
      </w:r>
    </w:p>
    <w:p>
      <w:pPr>
        <w:spacing w:after="80" w:before="80"/>
        <w:jc w:val="both"/>
      </w:pPr>
      <w:r>
        <w:rPr>
          <w:rFonts w:ascii="Arial" w:cs="Arial" w:eastAsia="Arial" w:hAnsi="Arial"/>
          <w:b w:val="false"/>
          <w:bCs w:val="false"/>
          <w:i w:val="false"/>
          <w:iCs w:val="false"/>
          <w:color w:val="1A1A1A"/>
          <w:sz w:val="22"/>
          <w:szCs w:val="22"/>
        </w:rPr>
        <w:t xml:space="preserve">A seguito della validazione comportamentale, le iterazioni successive si concentreranno su tre direttrici, in ordine di priorità:</w:t>
      </w:r>
    </w:p>
    <w:p>
      <w:pPr>
        <w:pStyle w:val="ListParagraph"/>
        <w:numPr>
          <w:ilvl w:val="0"/>
          <w:numId w:val="2"/>
        </w:numPr>
        <w:spacing w:after="60" w:before="60"/>
      </w:pPr>
      <w:r>
        <w:rPr>
          <w:rFonts w:ascii="Arial" w:cs="Arial" w:eastAsia="Arial" w:hAnsi="Arial"/>
          <w:color w:val="1A1A1A"/>
          <w:sz w:val="22"/>
          <w:szCs w:val="22"/>
        </w:rPr>
        <w:t xml:space="preserve">Analisi qualitativa dei risultati della Test Card 5: interviste post-uso con amministratori e condòmini coinvolti, revisione dei ticket generati, valutazione della tasso di risoluzione automatica vs. escalation</w:t>
      </w:r>
    </w:p>
    <w:p>
      <w:pPr>
        <w:pStyle w:val="ListParagraph"/>
        <w:numPr>
          <w:ilvl w:val="0"/>
          <w:numId w:val="2"/>
        </w:numPr>
        <w:spacing w:after="60" w:before="60"/>
      </w:pPr>
      <w:r>
        <w:rPr>
          <w:rFonts w:ascii="Arial" w:cs="Arial" w:eastAsia="Arial" w:hAnsi="Arial"/>
          <w:color w:val="1A1A1A"/>
          <w:sz w:val="22"/>
          <w:szCs w:val="22"/>
        </w:rPr>
        <w:t xml:space="preserve">Raffinamento del modello di business: definizione del pricing, identificazione del canale di acquisizione prevalente (diretto vs. partnership con software gestionali condominiali già diffusi)</w:t>
      </w:r>
    </w:p>
    <w:p>
      <w:pPr>
        <w:pStyle w:val="ListParagraph"/>
        <w:numPr>
          <w:ilvl w:val="0"/>
          <w:numId w:val="2"/>
        </w:numPr>
        <w:spacing w:after="60" w:before="60"/>
      </w:pPr>
      <w:r>
        <w:rPr>
          <w:rFonts w:ascii="Arial" w:cs="Arial" w:eastAsia="Arial" w:hAnsi="Arial"/>
          <w:color w:val="1A1A1A"/>
          <w:sz w:val="22"/>
          <w:szCs w:val="22"/>
        </w:rPr>
        <w:t xml:space="preserve">Roadmap tecnica verso la produzione: autenticazione multi-tenant, persistenza su database esterno, miglioramento del RAG con embedding semantici, SLA di risposta garantiti</w:t>
      </w:r>
    </w:p>
    <w:p/>
    <w:p>
      <w:pPr>
        <w:spacing w:after="80" w:before="80"/>
        <w:jc w:val="both"/>
      </w:pPr>
      <w:r>
        <w:rPr>
          <w:rFonts w:ascii="Arial" w:cs="Arial" w:eastAsia="Arial" w:hAnsi="Arial"/>
          <w:b w:val="false"/>
          <w:bCs w:val="false"/>
          <w:i w:val="false"/>
          <w:iCs w:val="false"/>
          <w:color w:val="1A1A1A"/>
          <w:sz w:val="22"/>
          <w:szCs w:val="22"/>
        </w:rPr>
        <w:t xml:space="preserve">Il progetto è attualmente nella fase di validazione comportamentale. I risultati della Test Card 5 determineranno la decisione di procedere (pivot minore, o scale) o di riconsiderare le assunzioni di base sul modello di adozione.</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pBdr>
      <w:tabs>
        <w:tab w:val="right" w:pos="9026"/>
      </w:tabs>
      <w:spacing w:before="120"/>
    </w:pPr>
    <w:r>
      <w:rPr>
        <w:rFonts w:ascii="Arial" w:cs="Arial" w:eastAsia="Arial" w:hAnsi="Arial"/>
        <w:color w:val="999999"/>
        <w:sz w:val="16"/>
        <w:szCs w:val="16"/>
      </w:rPr>
      <w:t xml:space="preserve">Documento riservato — uso accademico</w:t>
    </w:r>
    <w:r>
      <w:rPr>
        <w:rFonts w:ascii="Arial" w:cs="Arial" w:eastAsia="Arial" w:hAnsi="Arial"/>
        <w:color w:val="999999"/>
        <w:sz w:val="16"/>
        <w:szCs w:val="16"/>
      </w:rPr>
      <w:t xml:space="preserve">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pBdr>
      <w:spacing w:after="120"/>
    </w:pPr>
    <w:r>
      <w:rPr>
        <w:rFonts w:ascii="Arial" w:cs="Arial" w:eastAsia="Arial" w:hAnsi="Arial"/>
        <w:color w:val="666666"/>
        <w:sz w:val="18"/>
        <w:szCs w:val="18"/>
      </w:rPr>
      <w:t xml:space="preserve">CondoCare — Business Transformation Project  |  EMBA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2026-06-07T16:06:02.034Z</dcterms:created>
  <dcterms:modified xsi:type="dcterms:W3CDTF">2026-06-07T16:06:02.034Z</dcterms:modified>
</cp:coreProperties>
</file>

<file path=docProps/custom.xml><?xml version="1.0" encoding="utf-8"?>
<Properties xmlns="http://schemas.openxmlformats.org/officeDocument/2006/custom-properties" xmlns:vt="http://schemas.openxmlformats.org/officeDocument/2006/docPropsVTypes"/>
</file>