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jc w:val="center"/>
      </w:pPr>
      <w:r>
        <w:rPr>
          <w:rFonts w:ascii="Arial" w:cs="Arial" w:eastAsia="Arial" w:hAnsi="Arial"/>
          <w:b/>
          <w:bCs/>
          <w:color w:val="1B3A6B"/>
          <w:sz w:val="48"/>
          <w:szCs w:val="48"/>
        </w:rPr>
        <w:t xml:space="preserve">BUSINESS TRANSFORMATION PROJECT</w:t>
      </w:r>
    </w:p>
    <w:p>
      <w:pPr>
        <w:spacing w:after="160"/>
        <w:jc w:val="center"/>
      </w:pPr>
      <w:r>
        <w:rPr>
          <w:rFonts w:ascii="Arial" w:cs="Arial" w:eastAsia="Arial" w:hAnsi="Arial"/>
          <w:i/>
          <w:iCs/>
          <w:color w:val="555555"/>
          <w:sz w:val="28"/>
          <w:szCs w:val="28"/>
        </w:rPr>
        <w:t xml:space="preserve">Executive MBA</w:t>
      </w:r>
    </w:p>
    <w:p>
      <w:pPr>
        <w:pBdr>
          <w:bottom w:val="single" w:color="1B3A6B" w:sz="12"/>
        </w:pBdr>
        <w:spacing w:after="320"/>
        <w:jc w:val="center"/>
      </w:pPr>
    </w:p>
    <w:p/>
    <w:p/>
    <w:p>
      <w:pPr>
        <w:spacing w:after="120"/>
        <w:jc w:val="center"/>
      </w:pPr>
      <w:r>
        <w:rPr>
          <w:rFonts w:ascii="Arial" w:cs="Arial" w:eastAsia="Arial" w:hAnsi="Arial"/>
          <w:b/>
          <w:bCs/>
          <w:color w:val="1B3A6B"/>
          <w:sz w:val="64"/>
          <w:szCs w:val="64"/>
        </w:rPr>
        <w:t xml:space="preserve">CondoCare</w:t>
      </w:r>
    </w:p>
    <w:p>
      <w:pPr>
        <w:spacing w:after="120"/>
        <w:jc w:val="center"/>
      </w:pPr>
      <w:r>
        <w:rPr>
          <w:rFonts w:ascii="Arial" w:cs="Arial" w:eastAsia="Arial" w:hAnsi="Arial"/>
          <w:i/>
          <w:iCs/>
          <w:color w:val="444444"/>
          <w:sz w:val="28"/>
          <w:szCs w:val="28"/>
        </w:rPr>
        <w:t xml:space="preserve">Piattaforma AI di supporto clienti per l'amministrazione condominiale</w:t>
      </w:r>
    </w:p>
    <w:p/>
    <w:p/>
    <w:p>
      <w:pPr>
        <w:spacing w:after="80"/>
        <w:jc w:val="center"/>
      </w:pPr>
      <w:r>
        <w:rPr>
          <w:rFonts w:ascii="Arial" w:cs="Arial" w:eastAsia="Arial" w:hAnsi="Arial"/>
          <w:color w:val="333333"/>
          <w:sz w:val="24"/>
          <w:szCs w:val="24"/>
        </w:rPr>
        <w:t xml:space="preserve">MVP &amp; Validazione Comportamentale — Test Card 5</w:t>
      </w:r>
    </w:p>
    <w:p/>
    <w:p/>
    <w:p/>
    <w:p/>
    <w:p>
      <w:pPr>
        <w:spacing w:after="60"/>
        <w:jc w:val="center"/>
      </w:pPr>
      <w:r>
        <w:rPr>
          <w:rFonts w:ascii="Arial" w:cs="Arial" w:eastAsia="Arial" w:hAnsi="Arial"/>
          <w:b/>
          <w:bCs/>
          <w:color w:val="1A1A1A"/>
          <w:sz w:val="22"/>
          <w:szCs w:val="22"/>
        </w:rPr>
        <w:t xml:space="preserve">Andrea Suraci</w:t>
      </w:r>
    </w:p>
    <w:p>
      <w:pPr>
        <w:spacing w:after="60"/>
        <w:jc w:val="center"/>
      </w:pPr>
      <w:r>
        <w:rPr>
          <w:rFonts w:ascii="Arial" w:cs="Arial" w:eastAsia="Arial" w:hAnsi="Arial"/>
          <w:color w:val="666666"/>
          <w:sz w:val="20"/>
          <w:szCs w:val="20"/>
        </w:rPr>
        <w:t xml:space="preserve">suraci.andrea@gmail.com</w:t>
      </w:r>
    </w:p>
    <w:p>
      <w:pPr>
        <w:spacing w:after="60"/>
        <w:jc w:val="center"/>
      </w:pPr>
      <w:r>
        <w:rPr>
          <w:rFonts w:ascii="Arial" w:cs="Arial" w:eastAsia="Arial" w:hAnsi="Arial"/>
          <w:color w:val="666666"/>
          <w:sz w:val="20"/>
          <w:szCs w:val="20"/>
        </w:rPr>
        <w:t xml:space="preserve">Giugno 2026</w:t>
      </w:r>
    </w:p>
    <w:p>
      <w:r>
        <w:br w:type="page"/>
      </w:r>
    </w:p>
    <w:p>
      <w:pPr>
        <w:pStyle w:val="Heading1"/>
        <w:spacing w:after="180" w:before="440"/>
      </w:pPr>
      <w:r>
        <w:rPr>
          <w:rFonts w:ascii="Arial" w:cs="Arial" w:eastAsia="Arial" w:hAnsi="Arial"/>
          <w:b/>
          <w:bCs/>
          <w:color w:val="1B3A6B"/>
          <w:sz w:val="28"/>
          <w:szCs w:val="28"/>
        </w:rPr>
        <w:t xml:space="preserve">1. Executive Summary</w:t>
      </w:r>
    </w:p>
    <w:p>
      <w:pPr>
        <w:spacing w:after="100" w:before="80"/>
        <w:jc w:val="both"/>
      </w:pPr>
      <w:r>
        <w:rPr>
          <w:rFonts w:ascii="Arial" w:cs="Arial" w:eastAsia="Arial" w:hAnsi="Arial"/>
          <w:b w:val="false"/>
          <w:bCs w:val="false"/>
          <w:i w:val="false"/>
          <w:iCs w:val="false"/>
          <w:color w:val="1A1A1A"/>
          <w:sz w:val="22"/>
          <w:szCs w:val="22"/>
        </w:rPr>
        <w:t xml:space="preserve">CondoCare è una piattaforma di intelligenza artificiale progettata per modernizzare il servizio clienti negli studi di amministrazione condominiale. Il settore — con oltre 35.000 studi attivi in Italia e circa 4,5 milioni di edifici condominiali — è caratterizzato da elevati volumi di richieste ripetitive, comunicazione frammentata e scarsa digitalizzazione. CondoCare si posiziona in questo gap come strumento di efficienza operativa, non come sostituto della figura professionale dell'amministratore.</w:t>
      </w:r>
    </w:p>
    <w:p>
      <w:pPr>
        <w:spacing w:after="100" w:before="80"/>
        <w:jc w:val="both"/>
      </w:pPr>
      <w:r>
        <w:rPr>
          <w:rFonts w:ascii="Arial" w:cs="Arial" w:eastAsia="Arial" w:hAnsi="Arial"/>
          <w:b w:val="false"/>
          <w:bCs w:val="false"/>
          <w:i w:val="false"/>
          <w:iCs w:val="false"/>
          <w:color w:val="1A1A1A"/>
          <w:sz w:val="22"/>
          <w:szCs w:val="22"/>
        </w:rPr>
        <w:t xml:space="preserve">Il modello di business si fonda su una logica SaaS B2B: l'utente pagante è lo studio di amministrazione, che sottoscrive un abbonamento mensile calibrato sul numero di condomìni gestiti. Il valore proposto è misurabile in riduzione del tempo dedicato a comunicazioni a basso valore aggiunto e in miglioramento della soddisfazione dei residenti.</w:t>
      </w:r>
    </w:p>
    <w:p>
      <w:pPr>
        <w:spacing w:after="100" w:before="80"/>
        <w:jc w:val="both"/>
      </w:pPr>
      <w:r>
        <w:rPr>
          <w:rFonts w:ascii="Arial" w:cs="Arial" w:eastAsia="Arial" w:hAnsi="Arial"/>
          <w:b w:val="false"/>
          <w:bCs w:val="false"/>
          <w:i w:val="false"/>
          <w:iCs w:val="false"/>
          <w:color w:val="1A1A1A"/>
          <w:sz w:val="22"/>
          <w:szCs w:val="22"/>
        </w:rPr>
        <w:t xml:space="preserve">Il presente documento descrive l'MVP funzionale sviluppato nella fase di validazione comportamentale del BTP, illustra le scelte architetturali adottate e presenta la Test Card 5, strumento con cui si intende verificare se il sistema genera valore operativo reale per entrambi gli attori della piattaforma.</w:t>
      </w:r>
    </w:p>
    <w:p/>
    <w:p>
      <w:pPr>
        <w:pStyle w:val="Heading1"/>
        <w:spacing w:after="180" w:before="440"/>
      </w:pPr>
      <w:r>
        <w:rPr>
          <w:rFonts w:ascii="Arial" w:cs="Arial" w:eastAsia="Arial" w:hAnsi="Arial"/>
          <w:b/>
          <w:bCs/>
          <w:color w:val="1B3A6B"/>
          <w:sz w:val="28"/>
          <w:szCs w:val="28"/>
        </w:rPr>
        <w:t xml:space="preserve">2. Contesto di Mercato e Opportunità</w:t>
      </w:r>
    </w:p>
    <w:p>
      <w:pPr>
        <w:spacing w:after="100" w:before="80"/>
        <w:jc w:val="both"/>
      </w:pPr>
      <w:r>
        <w:rPr>
          <w:rFonts w:ascii="Arial" w:cs="Arial" w:eastAsia="Arial" w:hAnsi="Arial"/>
          <w:b w:val="false"/>
          <w:bCs w:val="false"/>
          <w:i w:val="false"/>
          <w:iCs w:val="false"/>
          <w:color w:val="1A1A1A"/>
          <w:sz w:val="22"/>
          <w:szCs w:val="22"/>
        </w:rPr>
        <w:t xml:space="preserve">Il mercato dell'amministrazione condominiale in Italia presenta caratteristiche di frammentazione e sottomaturità digitale che lo rendono particolarmente ricettivo a soluzioni SaaS verticali. I dati strutturali del settore configurano un TAM (Total Addressable Market) rilevante:</w:t>
      </w:r>
    </w:p>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06"/>
      </w:tblGrid>
      <w:tr>
        <w:trPr>
          <w:tblHeader/>
        </w:trPr>
        <w:tc>
          <w:tcPr>
            <w:tcW w:type="dxa" w:w="35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Indicatore</w:t>
            </w:r>
          </w:p>
        </w:tc>
        <w:tc>
          <w:tcPr>
            <w:tcW w:type="dxa" w:w="30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Dato</w:t>
            </w:r>
          </w:p>
        </w:tc>
        <w:tc>
          <w:tcPr>
            <w:tcW w:type="dxa" w:w="2806"/>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Fonte / Note</w:t>
            </w:r>
          </w:p>
        </w:tc>
      </w:tr>
      <w:tr>
        <w:tc>
          <w:tcPr>
            <w:tcW w:type="dxa" w:w="35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Studi di amministrazione attivi in Italia</w:t>
            </w:r>
          </w:p>
        </w:tc>
        <w:tc>
          <w:tcPr>
            <w:tcW w:type="dxa" w:w="3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~35.000</w:t>
            </w:r>
          </w:p>
        </w:tc>
        <w:tc>
          <w:tcPr>
            <w:tcW w:type="dxa" w:w="28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ANACI, 2024</w:t>
            </w:r>
          </w:p>
        </w:tc>
      </w:tr>
      <w:tr>
        <w:tc>
          <w:tcPr>
            <w:tcW w:type="dxa" w:w="35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Edifici condominiali gestiti</w:t>
            </w:r>
          </w:p>
        </w:tc>
        <w:tc>
          <w:tcPr>
            <w:tcW w:type="dxa" w:w="3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~4,5 milioni</w:t>
            </w:r>
          </w:p>
        </w:tc>
        <w:tc>
          <w:tcPr>
            <w:tcW w:type="dxa" w:w="28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ISTAT, stima 2023</w:t>
            </w:r>
          </w:p>
        </w:tc>
      </w:tr>
      <w:tr>
        <w:tc>
          <w:tcPr>
            <w:tcW w:type="dxa" w:w="35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Condòmini potenzialmente coinvolti</w:t>
            </w:r>
          </w:p>
        </w:tc>
        <w:tc>
          <w:tcPr>
            <w:tcW w:type="dxa" w:w="3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~25 milioni di persone</w:t>
            </w:r>
          </w:p>
        </w:tc>
        <w:tc>
          <w:tcPr>
            <w:tcW w:type="dxa" w:w="28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Media 5,5 unità/edificio</w:t>
            </w:r>
          </w:p>
        </w:tc>
      </w:tr>
      <w:tr>
        <w:tc>
          <w:tcPr>
            <w:tcW w:type="dxa" w:w="35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Penetrazione software gestionale</w:t>
            </w:r>
          </w:p>
        </w:tc>
        <w:tc>
          <w:tcPr>
            <w:tcW w:type="dxa" w:w="3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&lt; 40% degli studi</w:t>
            </w:r>
          </w:p>
        </w:tc>
        <w:tc>
          <w:tcPr>
            <w:tcW w:type="dxa" w:w="28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Stima da ricerche di settore</w:t>
            </w:r>
          </w:p>
        </w:tc>
      </w:tr>
      <w:tr>
        <w:tc>
          <w:tcPr>
            <w:tcW w:type="dxa" w:w="35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SAM (studi con &gt; 20 condomìni, tech-open)</w:t>
            </w:r>
          </w:p>
        </w:tc>
        <w:tc>
          <w:tcPr>
            <w:tcW w:type="dxa" w:w="3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~8.000-10.000 studi</w:t>
            </w:r>
          </w:p>
        </w:tc>
        <w:tc>
          <w:tcPr>
            <w:tcW w:type="dxa" w:w="28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Stima progetto</w:t>
            </w:r>
          </w:p>
        </w:tc>
      </w:tr>
    </w:tbl>
    <w:p/>
    <w:p>
      <w:pPr>
        <w:spacing w:after="100" w:before="80"/>
        <w:jc w:val="both"/>
      </w:pPr>
      <w:r>
        <w:rPr>
          <w:rFonts w:ascii="Arial" w:cs="Arial" w:eastAsia="Arial" w:hAnsi="Arial"/>
          <w:b w:val="false"/>
          <w:bCs w:val="false"/>
          <w:i w:val="false"/>
          <w:iCs w:val="false"/>
          <w:color w:val="1A1A1A"/>
          <w:sz w:val="22"/>
          <w:szCs w:val="22"/>
        </w:rPr>
        <w:t xml:space="preserve">Il modello di pricing ipotizzato prevede una fascia di ingresso a 49 €/mese per studi con fino a 20 condomìni gestiti, scalando fino a 199 €/mese per studi enterprise. Con una penetrazione dell'1% del SAM, il ricavo annuo ricorrente (ARR) sarebbe nell'ordine di 5-10 M€ — dimensione sufficiente per giustificare l'investimento in sviluppo prodotto e sales.</w:t>
      </w:r>
    </w:p>
    <w:p/>
    <w:p>
      <w:pPr>
        <w:pStyle w:val="Heading1"/>
        <w:spacing w:after="180" w:before="440"/>
      </w:pPr>
      <w:r>
        <w:rPr>
          <w:rFonts w:ascii="Arial" w:cs="Arial" w:eastAsia="Arial" w:hAnsi="Arial"/>
          <w:b/>
          <w:bCs/>
          <w:color w:val="1B3A6B"/>
          <w:sz w:val="28"/>
          <w:szCs w:val="28"/>
        </w:rPr>
        <w:t xml:space="preserve">3. Framework Metodologico: Lean Startup e Build-Measure-Learn</w:t>
      </w:r>
    </w:p>
    <w:p>
      <w:pPr>
        <w:spacing w:after="100" w:before="80"/>
        <w:jc w:val="both"/>
      </w:pPr>
      <w:r>
        <w:rPr>
          <w:rFonts w:ascii="Arial" w:cs="Arial" w:eastAsia="Arial" w:hAnsi="Arial"/>
          <w:b w:val="false"/>
          <w:bCs w:val="false"/>
          <w:i w:val="false"/>
          <w:iCs w:val="false"/>
          <w:color w:val="1A1A1A"/>
          <w:sz w:val="22"/>
          <w:szCs w:val="22"/>
        </w:rPr>
        <w:t xml:space="preserve">Il processo di sviluppo di CondoCare segue il ciclo Build-Measure-Learn proposto da Eric Ries nel framework Lean Startup, integrato con strumenti di Design Thinking per la fase di discovery. La scelta non è ornamentale: in un contesto B2B con utenti professionali (gli amministratori) e utenti finali eterogenei (i condòmini), la validazione delle assunzioni prima dell'investimento tecnologico è condizione necessaria per evitare il product-market fit mismatch.</w:t>
      </w:r>
    </w:p>
    <w:p>
      <w:pPr>
        <w:spacing w:after="100" w:before="80"/>
        <w:jc w:val="both"/>
      </w:pPr>
      <w:r>
        <w:rPr>
          <w:rFonts w:ascii="Arial" w:cs="Arial" w:eastAsia="Arial" w:hAnsi="Arial"/>
          <w:b w:val="false"/>
          <w:bCs w:val="false"/>
          <w:i w:val="false"/>
          <w:iCs w:val="false"/>
          <w:color w:val="1A1A1A"/>
          <w:sz w:val="22"/>
          <w:szCs w:val="22"/>
        </w:rPr>
        <w:t xml:space="preserve">Il percorso di validazione è articolato in cinque test card progressive, ciascuna progettata per falsificare un'assunzione specifica:</w:t>
      </w:r>
    </w:p>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2306"/>
      </w:tblGrid>
      <w:tr>
        <w:trPr>
          <w:tblHeader/>
        </w:trPr>
        <w:tc>
          <w:tcPr>
            <w:tcW w:type="dxa" w:w="10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TC</w:t>
            </w:r>
          </w:p>
        </w:tc>
        <w:tc>
          <w:tcPr>
            <w:tcW w:type="dxa" w:w="28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 di validazione</w:t>
            </w:r>
          </w:p>
        </w:tc>
        <w:tc>
          <w:tcPr>
            <w:tcW w:type="dxa" w:w="32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Assunzione testata</w:t>
            </w:r>
          </w:p>
        </w:tc>
        <w:tc>
          <w:tcPr>
            <w:tcW w:type="dxa" w:w="2306"/>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Esito</w:t>
            </w:r>
          </w:p>
        </w:tc>
      </w:tr>
      <w:tr>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1</w:t>
            </w:r>
          </w:p>
        </w:tc>
        <w:tc>
          <w:tcPr>
            <w:tcW w:type="dxa" w:w="28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Desiderabilità — Problem interview</w:t>
            </w:r>
          </w:p>
        </w:tc>
        <w:tc>
          <w:tcPr>
            <w:tcW w:type="dxa" w:w="32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Gli amministratori percepiscono il carico di comunicazione come un problema rilevante</w:t>
            </w:r>
          </w:p>
        </w:tc>
        <w:tc>
          <w:tcPr>
            <w:tcW w:type="dxa" w:w="2306"/>
            <w:tcBorders>
              <w:top w:val="single" w:color="C5D5E8" w:sz="4"/>
              <w:left w:val="single" w:color="C5D5E8" w:sz="4"/>
              <w:bottom w:val="single" w:color="C5D5E8" w:sz="4"/>
              <w:right w:val="single" w:color="C5D5E8" w:sz="4"/>
            </w:tcBorders>
            <w:shd w:fill="D4EDDA"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Validata</w:t>
            </w:r>
          </w:p>
        </w:tc>
      </w:tr>
      <w:tr>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2</w:t>
            </w:r>
          </w:p>
        </w:tc>
        <w:tc>
          <w:tcPr>
            <w:tcW w:type="dxa" w:w="28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Desiderabilità — Solution interview</w:t>
            </w:r>
          </w:p>
        </w:tc>
        <w:tc>
          <w:tcPr>
            <w:tcW w:type="dxa" w:w="32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Gli amministratori sarebbero disposti a usare un chatbot AI per gestire le richieste dei condòmini</w:t>
            </w:r>
          </w:p>
        </w:tc>
        <w:tc>
          <w:tcPr>
            <w:tcW w:type="dxa" w:w="2306"/>
            <w:tcBorders>
              <w:top w:val="single" w:color="C5D5E8" w:sz="4"/>
              <w:left w:val="single" w:color="C5D5E8" w:sz="4"/>
              <w:bottom w:val="single" w:color="C5D5E8" w:sz="4"/>
              <w:right w:val="single" w:color="C5D5E8" w:sz="4"/>
            </w:tcBorders>
            <w:shd w:fill="FFF3CD"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Validata con riserve</w:t>
            </w:r>
          </w:p>
        </w:tc>
      </w:tr>
      <w:tr>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3</w:t>
            </w:r>
          </w:p>
        </w:tc>
        <w:tc>
          <w:tcPr>
            <w:tcW w:type="dxa" w:w="28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Fattibilità — Prototipo tecnico</w:t>
            </w:r>
          </w:p>
        </w:tc>
        <w:tc>
          <w:tcPr>
            <w:tcW w:type="dxa" w:w="32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Un sistema RAG su documenti condominiali produce risposte accettabili per richieste informative standard</w:t>
            </w:r>
          </w:p>
        </w:tc>
        <w:tc>
          <w:tcPr>
            <w:tcW w:type="dxa" w:w="2306"/>
            <w:tcBorders>
              <w:top w:val="single" w:color="C5D5E8" w:sz="4"/>
              <w:left w:val="single" w:color="C5D5E8" w:sz="4"/>
              <w:bottom w:val="single" w:color="C5D5E8" w:sz="4"/>
              <w:right w:val="single" w:color="C5D5E8" w:sz="4"/>
            </w:tcBorders>
            <w:shd w:fill="D4EDDA"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Validata</w:t>
            </w:r>
          </w:p>
        </w:tc>
      </w:tr>
      <w:tr>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4</w:t>
            </w:r>
          </w:p>
        </w:tc>
        <w:tc>
          <w:tcPr>
            <w:tcW w:type="dxa" w:w="28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Fattibilità — Integrazione reale</w:t>
            </w:r>
          </w:p>
        </w:tc>
        <w:tc>
          <w:tcPr>
            <w:tcW w:type="dxa" w:w="32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Il sistema funziona con documenti reali (PDF, DOCX) forniti da studi reali</w:t>
            </w:r>
          </w:p>
        </w:tc>
        <w:tc>
          <w:tcPr>
            <w:tcW w:type="dxa" w:w="2306"/>
            <w:tcBorders>
              <w:top w:val="single" w:color="C5D5E8" w:sz="4"/>
              <w:left w:val="single" w:color="C5D5E8" w:sz="4"/>
              <w:bottom w:val="single" w:color="C5D5E8" w:sz="4"/>
              <w:right w:val="single" w:color="C5D5E8" w:sz="4"/>
            </w:tcBorders>
            <w:shd w:fill="D4EDDA"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Validata</w:t>
            </w:r>
          </w:p>
        </w:tc>
      </w:tr>
      <w:tr>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5</w:t>
            </w:r>
          </w:p>
        </w:tc>
        <w:tc>
          <w:tcPr>
            <w:tcW w:type="dxa" w:w="28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Comportamentale — MVP in uso reale</w:t>
            </w:r>
          </w:p>
        </w:tc>
        <w:tc>
          <w:tcPr>
            <w:tcW w:type="dxa" w:w="32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Il sistema genera valore percepito in condizioni d'uso reale per entrambi gli attori</w:t>
            </w:r>
          </w:p>
        </w:tc>
        <w:tc>
          <w:tcPr>
            <w:tcW w:type="dxa" w:w="2306"/>
            <w:tcBorders>
              <w:top w:val="single" w:color="C5D5E8" w:sz="4"/>
              <w:left w:val="single" w:color="C5D5E8" w:sz="4"/>
              <w:bottom w:val="single" w:color="C5D5E8" w:sz="4"/>
              <w:right w:val="single" w:color="C5D5E8" w:sz="4"/>
            </w:tcBorders>
            <w:shd w:fill="FFE0B2"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In corso</w:t>
            </w:r>
          </w:p>
        </w:tc>
      </w:tr>
    </w:tbl>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both"/>
            </w:pPr>
            <w:r>
              <w:rPr>
                <w:rFonts w:ascii="Arial" w:cs="Arial" w:eastAsia="Arial" w:hAnsi="Arial"/>
                <w:i/>
                <w:iCs/>
                <w:color w:val="1B3A6B"/>
                <w:sz w:val="20"/>
                <w:szCs w:val="20"/>
              </w:rPr>
              <w:t xml:space="preserve">Nota metodologica: le Test Card 1-4 hanno già eliminato le assunzioni più rischiose sul problema e sulla fattibilità tecnica di base. La Test Card 5 opera su un rischio residuo di ordine superiore: la disponibilità comportamentale all'adozione, che storicamente diverge significativamente dall'interesse dichiarato nelle interviste.</w:t>
            </w:r>
          </w:p>
        </w:tc>
      </w:tr>
    </w:tbl>
    <w:p>
      <w:r>
        <w:br w:type="page"/>
      </w:r>
    </w:p>
    <w:p>
      <w:pPr>
        <w:pStyle w:val="Heading1"/>
        <w:spacing w:after="180" w:before="440"/>
      </w:pPr>
      <w:r>
        <w:rPr>
          <w:rFonts w:ascii="Arial" w:cs="Arial" w:eastAsia="Arial" w:hAnsi="Arial"/>
          <w:b/>
          <w:bCs/>
          <w:color w:val="1B3A6B"/>
          <w:sz w:val="28"/>
          <w:szCs w:val="28"/>
        </w:rPr>
        <w:t xml:space="preserve">4. La Soluzione: MVP CondoCare</w:t>
      </w:r>
    </w:p>
    <w:p>
      <w:pPr>
        <w:spacing w:after="100" w:before="80"/>
        <w:jc w:val="both"/>
      </w:pPr>
      <w:r>
        <w:rPr>
          <w:rFonts w:ascii="Arial" w:cs="Arial" w:eastAsia="Arial" w:hAnsi="Arial"/>
          <w:b w:val="false"/>
          <w:bCs w:val="false"/>
          <w:i w:val="false"/>
          <w:iCs w:val="false"/>
          <w:color w:val="1A1A1A"/>
          <w:sz w:val="22"/>
          <w:szCs w:val="22"/>
        </w:rPr>
        <w:t xml:space="preserve">CondoCare propone un assistente conversazionale AI accessibile via browser che risponde alle richieste dei condòmini basandosi sui documenti caricati dall'amministratore. Quando il sistema non dispone di informazioni sufficienti, la richiesta viene automaticamente inoltrata all'amministratore umano tramite una dashboard dedicata con aggiornamenti in tempo reale.</w:t>
      </w:r>
    </w:p>
    <w:p>
      <w:pPr>
        <w:pStyle w:val="Heading2"/>
        <w:spacing w:after="120" w:before="300"/>
      </w:pPr>
      <w:r>
        <w:rPr>
          <w:rFonts w:ascii="Arial" w:cs="Arial" w:eastAsia="Arial" w:hAnsi="Arial"/>
          <w:b/>
          <w:bCs/>
          <w:color w:val="1B3A6B"/>
          <w:sz w:val="24"/>
          <w:szCs w:val="24"/>
        </w:rPr>
        <w:t xml:space="preserve">4.1 Architettura Tecnica</w:t>
      </w:r>
    </w:p>
    <w:p>
      <w:pPr>
        <w:spacing w:after="100" w:before="80"/>
        <w:jc w:val="both"/>
      </w:pPr>
      <w:r>
        <w:rPr>
          <w:rFonts w:ascii="Arial" w:cs="Arial" w:eastAsia="Arial" w:hAnsi="Arial"/>
          <w:b w:val="false"/>
          <w:bCs w:val="false"/>
          <w:i w:val="false"/>
          <w:iCs w:val="false"/>
          <w:color w:val="1A1A1A"/>
          <w:sz w:val="22"/>
          <w:szCs w:val="22"/>
        </w:rPr>
        <w:t xml:space="preserve">Lo stack tecnologico riflette una logica build-to-learn: semplicità implementativa, zero costi infrastrutturali in fase di test, capacità di raccogliere dati comportamentali reali nel minor tempo possibile. Nessuna scelta è definitiva — la modularità del sistema consente di sostituire qualsiasi componente prima del go-live.</w:t>
      </w:r>
    </w:p>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4406"/>
        <w:gridCol w:w="2700"/>
      </w:tblGrid>
      <w:tr>
        <w:trPr>
          <w:tblHeader/>
        </w:trPr>
        <w:tc>
          <w:tcPr>
            <w:tcW w:type="dxa" w:w="22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Componente</w:t>
            </w:r>
          </w:p>
        </w:tc>
        <w:tc>
          <w:tcPr>
            <w:tcW w:type="dxa" w:w="4406"/>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Scelta MVP</w:t>
            </w:r>
          </w:p>
        </w:tc>
        <w:tc>
          <w:tcPr>
            <w:tcW w:type="dxa" w:w="27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Evoluzione prevista</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Backend</w:t>
            </w:r>
          </w:p>
        </w:tc>
        <w:tc>
          <w:tcPr>
            <w:tcW w:type="dxa" w:w="44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Node.js + Express — monolite in singolo file, deploy immediato su Railway</w:t>
            </w:r>
          </w:p>
        </w:tc>
        <w:tc>
          <w:tcPr>
            <w:tcW w:type="dxa" w:w="27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Microservizi / container</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LLM</w:t>
            </w:r>
          </w:p>
        </w:tc>
        <w:tc>
          <w:tcPr>
            <w:tcW w:type="dxa" w:w="44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Groq API (llama-3.1-8b-instant) — latenza &lt; 1s, costo zero in test, API OpenAI-compatible</w:t>
            </w:r>
          </w:p>
        </w:tc>
        <w:tc>
          <w:tcPr>
            <w:tcW w:type="dxa" w:w="27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Fine-tuning o modello verticale</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RAG</w:t>
            </w:r>
          </w:p>
        </w:tc>
        <w:tc>
          <w:tcPr>
            <w:tcW w:type="dxa" w:w="44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Retrieval keyword-based senza embedding — sufficiente per KB &lt; 50 documenti</w:t>
            </w:r>
          </w:p>
        </w:tc>
        <w:tc>
          <w:tcPr>
            <w:tcW w:type="dxa" w:w="27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Vector store con embedding semantici</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Storage</w:t>
            </w:r>
          </w:p>
        </w:tc>
        <w:tc>
          <w:tcPr>
            <w:tcW w:type="dxa" w:w="44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File system (tickets.json + cartella raw/) — zero dipendenze esterne</w:t>
            </w:r>
          </w:p>
        </w:tc>
        <w:tc>
          <w:tcPr>
            <w:tcW w:type="dxa" w:w="27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PostgreSQL o MongoDB</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Frontend</w:t>
            </w:r>
          </w:p>
        </w:tc>
        <w:tc>
          <w:tcPr>
            <w:tcW w:type="dxa" w:w="44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HTML/CSS/JS vanilla — 4 pagine: landing, chat, dashboard admin, gestione documenti</w:t>
            </w:r>
          </w:p>
        </w:tc>
        <w:tc>
          <w:tcPr>
            <w:tcW w:type="dxa" w:w="27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Framework React/Vue</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Real-time</w:t>
            </w:r>
          </w:p>
        </w:tc>
        <w:tc>
          <w:tcPr>
            <w:tcW w:type="dxa" w:w="44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Server-Sent Events — aggiornamento unidirezionale dashboard admin</w:t>
            </w:r>
          </w:p>
        </w:tc>
        <w:tc>
          <w:tcPr>
            <w:tcW w:type="dxa" w:w="27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WebSocket o push notification</w:t>
            </w:r>
          </w:p>
        </w:tc>
      </w:tr>
    </w:tbl>
    <w:p/>
    <w:p>
      <w:pPr>
        <w:pStyle w:val="Heading2"/>
        <w:spacing w:after="120" w:before="300"/>
      </w:pPr>
      <w:r>
        <w:rPr>
          <w:rFonts w:ascii="Arial" w:cs="Arial" w:eastAsia="Arial" w:hAnsi="Arial"/>
          <w:b/>
          <w:bCs/>
          <w:color w:val="1B3A6B"/>
          <w:sz w:val="24"/>
          <w:szCs w:val="24"/>
        </w:rPr>
        <w:t xml:space="preserve">4.2 Flusso Operativo</w:t>
      </w:r>
    </w:p>
    <w:p>
      <w:pPr>
        <w:pStyle w:val="ListParagraph"/>
        <w:numPr>
          <w:ilvl w:val="0"/>
          <w:numId w:val="2"/>
        </w:numPr>
        <w:spacing w:after="60" w:before="60"/>
      </w:pPr>
      <w:r>
        <w:rPr>
          <w:rFonts w:ascii="Arial" w:cs="Arial" w:eastAsia="Arial" w:hAnsi="Arial"/>
          <w:b w:val="false"/>
          <w:bCs w:val="false"/>
          <w:color w:val="1A1A1A"/>
          <w:sz w:val="22"/>
          <w:szCs w:val="22"/>
        </w:rPr>
        <w:t xml:space="preserve">Il condòmino invia un messaggio via chat web (nessuna app da installare)</w:t>
      </w:r>
    </w:p>
    <w:p>
      <w:pPr>
        <w:pStyle w:val="ListParagraph"/>
        <w:numPr>
          <w:ilvl w:val="0"/>
          <w:numId w:val="2"/>
        </w:numPr>
        <w:spacing w:after="60" w:before="60"/>
      </w:pPr>
      <w:r>
        <w:rPr>
          <w:rFonts w:ascii="Arial" w:cs="Arial" w:eastAsia="Arial" w:hAnsi="Arial"/>
          <w:b w:val="false"/>
          <w:bCs w:val="false"/>
          <w:color w:val="1A1A1A"/>
          <w:sz w:val="22"/>
          <w:szCs w:val="22"/>
        </w:rPr>
        <w:t xml:space="preserve">Il RAG estrae i chunk più rilevanti dai documenti caricati (top 6 per keyword score)</w:t>
      </w:r>
    </w:p>
    <w:p>
      <w:pPr>
        <w:pStyle w:val="ListParagraph"/>
        <w:numPr>
          <w:ilvl w:val="0"/>
          <w:numId w:val="2"/>
        </w:numPr>
        <w:spacing w:after="60" w:before="60"/>
      </w:pPr>
      <w:r>
        <w:rPr>
          <w:rFonts w:ascii="Arial" w:cs="Arial" w:eastAsia="Arial" w:hAnsi="Arial"/>
          <w:b w:val="false"/>
          <w:bCs w:val="false"/>
          <w:color w:val="1A1A1A"/>
          <w:sz w:val="22"/>
          <w:szCs w:val="22"/>
        </w:rPr>
        <w:t xml:space="preserve">Groq classifica la richiesta (categoria + priorità) e genera una risposta con livello di confidenza</w:t>
      </w:r>
    </w:p>
    <w:p>
      <w:pPr>
        <w:pStyle w:val="ListParagraph"/>
        <w:numPr>
          <w:ilvl w:val="0"/>
          <w:numId w:val="2"/>
        </w:numPr>
        <w:spacing w:after="60" w:before="60"/>
      </w:pPr>
      <w:r>
        <w:rPr>
          <w:rFonts w:ascii="Arial" w:cs="Arial" w:eastAsia="Arial" w:hAnsi="Arial"/>
          <w:b w:val="false"/>
          <w:bCs w:val="false"/>
          <w:color w:val="1A1A1A"/>
          <w:sz w:val="22"/>
          <w:szCs w:val="22"/>
        </w:rPr>
        <w:t xml:space="preserve">Se confidenza alta/media: ticket chiuso, risposta inviata automaticamente — zero effort per l'admin</w:t>
      </w:r>
    </w:p>
    <w:p>
      <w:pPr>
        <w:pStyle w:val="ListParagraph"/>
        <w:numPr>
          <w:ilvl w:val="0"/>
          <w:numId w:val="2"/>
        </w:numPr>
        <w:spacing w:after="60" w:before="60"/>
      </w:pPr>
      <w:r>
        <w:rPr>
          <w:rFonts w:ascii="Arial" w:cs="Arial" w:eastAsia="Arial" w:hAnsi="Arial"/>
          <w:b w:val="false"/>
          <w:bCs w:val="false"/>
          <w:color w:val="1A1A1A"/>
          <w:sz w:val="22"/>
          <w:szCs w:val="22"/>
        </w:rPr>
        <w:t xml:space="preserve">Se confidenza bassa: ticket aperto, admin notificato via SSE in tempo reale sulla dashboard</w:t>
      </w:r>
    </w:p>
    <w:p>
      <w:pPr>
        <w:pStyle w:val="ListParagraph"/>
        <w:numPr>
          <w:ilvl w:val="0"/>
          <w:numId w:val="2"/>
        </w:numPr>
        <w:spacing w:after="60" w:before="60"/>
      </w:pPr>
      <w:r>
        <w:rPr>
          <w:rFonts w:ascii="Arial" w:cs="Arial" w:eastAsia="Arial" w:hAnsi="Arial"/>
          <w:b w:val="false"/>
          <w:bCs w:val="false"/>
          <w:color w:val="1A1A1A"/>
          <w:sz w:val="22"/>
          <w:szCs w:val="22"/>
        </w:rPr>
        <w:t xml:space="preserve">L'admin risponde dalla dashboard; il condòmino vede la risposta entro pochi secondi</w:t>
      </w:r>
    </w:p>
    <w:p>
      <w:r>
        <w:br w:type="page"/>
      </w:r>
    </w:p>
    <w:p>
      <w:pPr>
        <w:pStyle w:val="Heading1"/>
        <w:spacing w:after="180" w:before="440"/>
      </w:pPr>
      <w:r>
        <w:rPr>
          <w:rFonts w:ascii="Arial" w:cs="Arial" w:eastAsia="Arial" w:hAnsi="Arial"/>
          <w:b/>
          <w:bCs/>
          <w:color w:val="1B3A6B"/>
          <w:sz w:val="28"/>
          <w:szCs w:val="28"/>
        </w:rPr>
        <w:t xml:space="preserve">5. Test Card 5 — Validazione Comportamentale</w:t>
      </w:r>
    </w:p>
    <w:p>
      <w:pPr>
        <w:spacing w:after="100" w:before="80"/>
        <w:jc w:val="both"/>
      </w:pPr>
      <w:r>
        <w:rPr>
          <w:rFonts w:ascii="Arial" w:cs="Arial" w:eastAsia="Arial" w:hAnsi="Arial"/>
          <w:b w:val="false"/>
          <w:bCs w:val="false"/>
          <w:i w:val="false"/>
          <w:iCs w:val="false"/>
          <w:color w:val="1A1A1A"/>
          <w:sz w:val="22"/>
          <w:szCs w:val="22"/>
        </w:rPr>
        <w:t xml:space="preserve">La Test Card 5 è il nodo critico del percorso di validazione. Le prime quattro test card hanno risposto alle domande: 'il problema esiste?' e 'la soluzione tecnica funziona?'. La quinta risponde alla domanda più difficile: 'gli utenti adotteranno il sistema quando sarà disponibile e non ci sarà nessuno che li guidi?'.</w:t>
      </w:r>
    </w:p>
    <w:p>
      <w:pPr>
        <w:spacing w:after="100" w:before="80"/>
        <w:jc w:val="both"/>
      </w:pPr>
      <w:r>
        <w:rPr>
          <w:rFonts w:ascii="Arial" w:cs="Arial" w:eastAsia="Arial" w:hAnsi="Arial"/>
          <w:b w:val="false"/>
          <w:bCs w:val="false"/>
          <w:i w:val="false"/>
          <w:iCs w:val="false"/>
          <w:color w:val="1A1A1A"/>
          <w:sz w:val="22"/>
          <w:szCs w:val="22"/>
        </w:rPr>
        <w:t xml:space="preserve">Questa distinzione — tra disponibilità dichiarata e comportamento reale — è il principale fattore di fallimento dei prodotti B2B che superano la fase di prototipo ma non raggiungono l'adozione. La validazione comportamentale è progettata esattamente per misurare questo gap prima di investire in sviluppo prodotto completo.</w:t>
      </w:r>
    </w:p>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00"/>
        <w:gridCol w:w="7206"/>
      </w:tblGrid>
      <w:tr>
        <w:trPr>
          <w:tblHeader/>
        </w:trPr>
        <w:tc>
          <w:tcPr>
            <w:tcW w:type="dxa" w:w="9306"/>
            <w:gridSpan w:val="2"/>
            <w:tcBorders>
              <w:top w:val="single" w:color="C5D5E8" w:sz="4"/>
              <w:left w:val="single" w:color="C5D5E8" w:sz="4"/>
              <w:bottom w:val="single" w:color="C5D5E8" w:sz="4"/>
              <w:right w:val="single" w:color="C5D5E8" w:sz="4"/>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Test Card 5 — Behavioral Validation</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Ipotesi</w:t>
            </w:r>
          </w:p>
        </w:tc>
        <w:tc>
          <w:tcPr>
            <w:tcW w:type="dxa" w:w="72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Crediamo che un MVP funzionale di CondoCare sia in grado di supportare la gestione di richieste condominiali reali, generando valore percepito sia per i condòmini sia per gli amministratori.</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Test</w:t>
            </w:r>
          </w:p>
        </w:tc>
        <w:tc>
          <w:tcPr>
            <w:tcW w:type="dxa" w:w="72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1A1A1A"/>
                <w:sz w:val="20"/>
                <w:szCs w:val="20"/>
              </w:rPr>
              <w:t xml:space="preserve">Sviluppo di un MVP funzionale a bassa fedeltà</w:t>
            </w:r>
          </w:p>
          <w:p>
            <w:pPr>
              <w:pStyle w:val="ListParagraph"/>
              <w:numPr>
                <w:ilvl w:val="0"/>
                <w:numId w:val="2"/>
              </w:numPr>
              <w:spacing w:after="40" w:before="40"/>
            </w:pPr>
            <w:r>
              <w:rPr>
                <w:rFonts w:ascii="Arial" w:cs="Arial" w:eastAsia="Arial" w:hAnsi="Arial"/>
                <w:color w:val="1A1A1A"/>
                <w:sz w:val="20"/>
                <w:szCs w:val="20"/>
              </w:rPr>
              <w:t xml:space="preserve">Caricamento di documenti reali forniti da 2 studi di amministrazione condominiale</w:t>
            </w:r>
          </w:p>
          <w:p>
            <w:pPr>
              <w:pStyle w:val="ListParagraph"/>
              <w:numPr>
                <w:ilvl w:val="0"/>
                <w:numId w:val="2"/>
              </w:numPr>
              <w:spacing w:after="40" w:before="40"/>
            </w:pPr>
            <w:r>
              <w:rPr>
                <w:rFonts w:ascii="Arial" w:cs="Arial" w:eastAsia="Arial" w:hAnsi="Arial"/>
                <w:color w:val="1A1A1A"/>
                <w:sz w:val="20"/>
                <w:szCs w:val="20"/>
              </w:rPr>
              <w:t xml:space="preserve">Utilizzo del chatbot AI da parte di 4 condòmini reali</w:t>
            </w:r>
          </w:p>
          <w:p>
            <w:pPr>
              <w:pStyle w:val="ListParagraph"/>
              <w:numPr>
                <w:ilvl w:val="0"/>
                <w:numId w:val="2"/>
              </w:numPr>
              <w:spacing w:after="40" w:before="40"/>
            </w:pPr>
            <w:r>
              <w:rPr>
                <w:rFonts w:ascii="Arial" w:cs="Arial" w:eastAsia="Arial" w:hAnsi="Arial"/>
                <w:color w:val="1A1A1A"/>
                <w:sz w:val="20"/>
                <w:szCs w:val="20"/>
              </w:rPr>
              <w:t xml:space="preserve">Visualizzazione dashboard e clusterizzazione richieste da parte degli amministratori coinvolti</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Campione e criteri di selezione</w:t>
            </w:r>
          </w:p>
        </w:tc>
        <w:tc>
          <w:tcPr>
            <w:tcW w:type="dxa" w:w="72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tcPr>
          <w:p>
            <w:pPr>
              <w:spacing w:after="60"/>
            </w:pPr>
            <w:r>
              <w:rPr>
                <w:rFonts w:ascii="Arial" w:cs="Arial" w:eastAsia="Arial" w:hAnsi="Arial"/>
                <w:color w:val="1A1A1A"/>
                <w:sz w:val="20"/>
                <w:szCs w:val="20"/>
              </w:rPr>
              <w:t xml:space="preserve">Il campione ridotto (2 studi, 4 condòmini) è una scelta deliberata, non una limitazione. L'obiettivo della TC5 è qualitativo: osservare pattern di interazione e raccogliere evidenza comportamentale, non produrre significatività statistica. I criteri di selezione del campione:</w:t>
            </w:r>
          </w:p>
          <w:p>
            <w:pPr>
              <w:pStyle w:val="ListParagraph"/>
              <w:numPr>
                <w:ilvl w:val="0"/>
                <w:numId w:val="2"/>
              </w:numPr>
              <w:spacing w:after="40" w:before="40"/>
            </w:pPr>
            <w:r>
              <w:rPr>
                <w:rFonts w:ascii="Arial" w:cs="Arial" w:eastAsia="Arial" w:hAnsi="Arial"/>
                <w:color w:val="1A1A1A"/>
                <w:sz w:val="20"/>
                <w:szCs w:val="20"/>
              </w:rPr>
              <w:t xml:space="preserve">Studi con almeno 15 condomìni gestiti (dimensione sufficiente a generare volume di richieste)</w:t>
            </w:r>
          </w:p>
          <w:p>
            <w:pPr>
              <w:pStyle w:val="ListParagraph"/>
              <w:numPr>
                <w:ilvl w:val="0"/>
                <w:numId w:val="2"/>
              </w:numPr>
              <w:spacing w:after="40" w:before="40"/>
            </w:pPr>
            <w:r>
              <w:rPr>
                <w:rFonts w:ascii="Arial" w:cs="Arial" w:eastAsia="Arial" w:hAnsi="Arial"/>
                <w:color w:val="1A1A1A"/>
                <w:sz w:val="20"/>
                <w:szCs w:val="20"/>
              </w:rPr>
              <w:t xml:space="preserve">Almeno un responsabile con familiarità di base con strumenti digitali (non necessariamente tech-savvy)</w:t>
            </w:r>
          </w:p>
          <w:p>
            <w:pPr>
              <w:pStyle w:val="ListParagraph"/>
              <w:numPr>
                <w:ilvl w:val="0"/>
                <w:numId w:val="2"/>
              </w:numPr>
              <w:spacing w:after="40" w:before="40"/>
            </w:pPr>
            <w:r>
              <w:rPr>
                <w:rFonts w:ascii="Arial" w:cs="Arial" w:eastAsia="Arial" w:hAnsi="Arial"/>
                <w:color w:val="1A1A1A"/>
                <w:sz w:val="20"/>
                <w:szCs w:val="20"/>
              </w:rPr>
              <w:t xml:space="preserve">Condòmini selezionati dallo studio stesso, per garantire naturalezza dell'interazione</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Metriche</w:t>
            </w:r>
          </w:p>
        </w:tc>
        <w:tc>
          <w:tcPr>
            <w:tcW w:type="dxa" w:w="72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1A1A1A"/>
                <w:sz w:val="20"/>
                <w:szCs w:val="20"/>
              </w:rPr>
              <w:t xml:space="preserve">Numero di interazioni generate (volume d'uso spontaneo)</w:t>
            </w:r>
          </w:p>
          <w:p>
            <w:pPr>
              <w:pStyle w:val="ListParagraph"/>
              <w:numPr>
                <w:ilvl w:val="0"/>
                <w:numId w:val="2"/>
              </w:numPr>
              <w:spacing w:after="40" w:before="40"/>
            </w:pPr>
            <w:r>
              <w:rPr>
                <w:rFonts w:ascii="Arial" w:cs="Arial" w:eastAsia="Arial" w:hAnsi="Arial"/>
                <w:color w:val="1A1A1A"/>
                <w:sz w:val="20"/>
                <w:szCs w:val="20"/>
              </w:rPr>
              <w:t xml:space="preserve">Tipologia richieste gestite (distribuzione per categoria)</w:t>
            </w:r>
          </w:p>
          <w:p>
            <w:pPr>
              <w:pStyle w:val="ListParagraph"/>
              <w:numPr>
                <w:ilvl w:val="0"/>
                <w:numId w:val="2"/>
              </w:numPr>
              <w:spacing w:after="40" w:before="40"/>
            </w:pPr>
            <w:r>
              <w:rPr>
                <w:rFonts w:ascii="Arial" w:cs="Arial" w:eastAsia="Arial" w:hAnsi="Arial"/>
                <w:color w:val="1A1A1A"/>
                <w:sz w:val="20"/>
                <w:szCs w:val="20"/>
              </w:rPr>
              <w:t xml:space="preserve">Tasso di risoluzione automatica AI vs. escalation all'amministratore</w:t>
            </w:r>
          </w:p>
          <w:p>
            <w:pPr>
              <w:pStyle w:val="ListParagraph"/>
              <w:numPr>
                <w:ilvl w:val="0"/>
                <w:numId w:val="2"/>
              </w:numPr>
              <w:spacing w:after="40" w:before="40"/>
            </w:pPr>
            <w:r>
              <w:rPr>
                <w:rFonts w:ascii="Arial" w:cs="Arial" w:eastAsia="Arial" w:hAnsi="Arial"/>
                <w:color w:val="1A1A1A"/>
                <w:sz w:val="20"/>
                <w:szCs w:val="20"/>
              </w:rPr>
              <w:t xml:space="preserve">Capacità di clusterizzazione delle richieste percepita dagli admin</w:t>
            </w:r>
          </w:p>
          <w:p>
            <w:pPr>
              <w:pStyle w:val="ListParagraph"/>
              <w:numPr>
                <w:ilvl w:val="0"/>
                <w:numId w:val="2"/>
              </w:numPr>
              <w:spacing w:after="40" w:before="40"/>
            </w:pPr>
            <w:r>
              <w:rPr>
                <w:rFonts w:ascii="Arial" w:cs="Arial" w:eastAsia="Arial" w:hAnsi="Arial"/>
                <w:color w:val="1A1A1A"/>
                <w:sz w:val="20"/>
                <w:szCs w:val="20"/>
              </w:rPr>
              <w:t xml:space="preserve">Percezione di utilità del sistema da parte degli amministratori (scala 1-5 + commento qualitativo)</w:t>
            </w:r>
          </w:p>
          <w:p>
            <w:pPr>
              <w:pStyle w:val="ListParagraph"/>
              <w:numPr>
                <w:ilvl w:val="0"/>
                <w:numId w:val="2"/>
              </w:numPr>
              <w:spacing w:after="40" w:before="40"/>
            </w:pPr>
            <w:r>
              <w:rPr>
                <w:rFonts w:ascii="Arial" w:cs="Arial" w:eastAsia="Arial" w:hAnsi="Arial"/>
                <w:color w:val="1A1A1A"/>
                <w:sz w:val="20"/>
                <w:szCs w:val="20"/>
              </w:rPr>
              <w:t xml:space="preserve">Soddisfazione percepita dei condòmini (scala 1-5 + commento qualitativo)</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Criteri di validazione</w:t>
            </w:r>
          </w:p>
        </w:tc>
        <w:tc>
          <w:tcPr>
            <w:tcW w:type="dxa" w:w="72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tcPr>
          <w:p>
            <w:pPr>
              <w:spacing w:after="80"/>
            </w:pPr>
            <w:r>
              <w:rPr>
                <w:rFonts w:ascii="Arial" w:cs="Arial" w:eastAsia="Arial" w:hAnsi="Arial"/>
                <w:b/>
                <w:bCs/>
                <w:color w:val="1B3A6B"/>
                <w:sz w:val="20"/>
                <w:szCs w:val="20"/>
              </w:rPr>
              <w:t xml:space="preserve">VALIDATO se (tutte e tre le condizioni):</w:t>
            </w:r>
          </w:p>
          <w:p>
            <w:pPr>
              <w:pStyle w:val="ListParagraph"/>
              <w:numPr>
                <w:ilvl w:val="0"/>
                <w:numId w:val="2"/>
              </w:numPr>
              <w:spacing w:after="40" w:before="40"/>
            </w:pPr>
            <w:r>
              <w:rPr>
                <w:rFonts w:ascii="Arial" w:cs="Arial" w:eastAsia="Arial" w:hAnsi="Arial"/>
                <w:color w:val="1A1A1A"/>
                <w:sz w:val="20"/>
                <w:szCs w:val="20"/>
              </w:rPr>
              <w:t xml:space="preserve">Il chatbot gestisce correttamente almeno il 70% delle richieste informative semplici senza escalation</w:t>
            </w:r>
          </w:p>
          <w:p>
            <w:pPr>
              <w:pStyle w:val="ListParagraph"/>
              <w:numPr>
                <w:ilvl w:val="0"/>
                <w:numId w:val="2"/>
              </w:numPr>
              <w:spacing w:after="40" w:before="40"/>
            </w:pPr>
            <w:r>
              <w:rPr>
                <w:rFonts w:ascii="Arial" w:cs="Arial" w:eastAsia="Arial" w:hAnsi="Arial"/>
                <w:color w:val="1A1A1A"/>
                <w:sz w:val="20"/>
                <w:szCs w:val="20"/>
              </w:rPr>
              <w:t xml:space="preserve">Almeno 1 su 2 amministratori assegna utilità &gt;= 4/5 alla funzione di clusterizzazione e alla dashboard</w:t>
            </w:r>
          </w:p>
          <w:p>
            <w:pPr>
              <w:pStyle w:val="ListParagraph"/>
              <w:numPr>
                <w:ilvl w:val="0"/>
                <w:numId w:val="2"/>
              </w:numPr>
              <w:spacing w:after="40" w:before="40"/>
            </w:pPr>
            <w:r>
              <w:rPr>
                <w:rFonts w:ascii="Arial" w:cs="Arial" w:eastAsia="Arial" w:hAnsi="Arial"/>
                <w:color w:val="1A1A1A"/>
                <w:sz w:val="20"/>
                <w:szCs w:val="20"/>
              </w:rPr>
              <w:t xml:space="preserve">Almeno 3 su 4 condòmini dichiarano di ripetere l'esperienza autonomamente</w:t>
            </w:r>
          </w:p>
          <w:p>
            <w:pPr>
              <w:spacing w:after="40" w:before="80"/>
            </w:pPr>
            <w:r>
              <w:rPr>
                <w:rFonts w:ascii="Arial" w:cs="Arial" w:eastAsia="Arial" w:hAnsi="Arial"/>
                <w:i/>
                <w:iCs/>
                <w:color w:val="1A1A1A"/>
                <w:sz w:val="20"/>
                <w:szCs w:val="20"/>
              </w:rPr>
              <w:t xml:space="preserve">PARZIALMENTE VALIDATO se 2 su 3 criteri sono soddisfatti — da iterare con modifiche mirate.</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Risultati ottenuti</w:t>
            </w:r>
          </w:p>
        </w:tc>
        <w:tc>
          <w:tcPr>
            <w:tcW w:type="dxa" w:w="72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In fase di esecuzione nella successiva iterazione di validazione.</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Conclusione</w:t>
            </w:r>
          </w:p>
        </w:tc>
        <w:tc>
          <w:tcPr>
            <w:tcW w:type="dxa" w:w="72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Il test consente di distinguere tra interesse dichiarato e reale disponibilità all'adozione — gap che costituisce il principale fattore di fallimento nei prodotti B2B verticali.</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Esito</w:t>
            </w:r>
          </w:p>
        </w:tc>
        <w:tc>
          <w:tcPr>
            <w:tcW w:type="dxa" w:w="72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tcPr>
          <w:p>
            <w:r>
              <w:rPr>
                <w:rFonts w:ascii="Arial" w:cs="Arial" w:eastAsia="Arial" w:hAnsi="Arial"/>
                <w:b/>
                <w:bCs/>
                <w:color w:val="CC6600"/>
                <w:sz w:val="20"/>
                <w:szCs w:val="20"/>
              </w:rPr>
              <w:t xml:space="preserve">In attesa di validazione</w:t>
            </w:r>
          </w:p>
        </w:tc>
      </w:tr>
    </w:tbl>
    <w:p/>
    <w:p>
      <w:pPr>
        <w:spacing w:after="100" w:before="80"/>
        <w:jc w:val="left"/>
      </w:pPr>
      <w:r>
        <w:rPr>
          <w:rFonts w:ascii="Arial" w:cs="Arial" w:eastAsia="Arial" w:hAnsi="Arial"/>
          <w:b w:val="false"/>
          <w:bCs w:val="false"/>
          <w:i/>
          <w:iCs/>
          <w:color w:val="1A1A1A"/>
          <w:sz w:val="22"/>
          <w:szCs w:val="22"/>
        </w:rPr>
        <w:t xml:space="preserve">Tabella 9 – Test Card 5</w:t>
      </w:r>
    </w:p>
    <w:p>
      <w:r>
        <w:br w:type="page"/>
      </w:r>
    </w:p>
    <w:p>
      <w:pPr>
        <w:pStyle w:val="Heading1"/>
        <w:spacing w:after="180" w:before="440"/>
      </w:pPr>
      <w:r>
        <w:rPr>
          <w:rFonts w:ascii="Arial" w:cs="Arial" w:eastAsia="Arial" w:hAnsi="Arial"/>
          <w:b/>
          <w:bCs/>
          <w:color w:val="1B3A6B"/>
          <w:sz w:val="28"/>
          <w:szCs w:val="28"/>
        </w:rPr>
        <w:t xml:space="preserve">6. Analisi dei Rischi</w:t>
      </w:r>
    </w:p>
    <w:p>
      <w:pPr>
        <w:spacing w:after="100" w:before="80"/>
        <w:jc w:val="both"/>
      </w:pPr>
      <w:r>
        <w:rPr>
          <w:rFonts w:ascii="Arial" w:cs="Arial" w:eastAsia="Arial" w:hAnsi="Arial"/>
          <w:b w:val="false"/>
          <w:bCs w:val="false"/>
          <w:i w:val="false"/>
          <w:iCs w:val="false"/>
          <w:color w:val="1A1A1A"/>
          <w:sz w:val="22"/>
          <w:szCs w:val="22"/>
        </w:rPr>
        <w:t xml:space="preserve">L'analisi dei rischi considera tre dimensioni: tecnica, di adozione e normativa/competitiva. Le sole limitazioni tecniche, pur reali, non sono il rischio dominante in questa fase — l'esperienza sui prodotti B2B verticali mostra che i fallimenti post-MVP sono quasi sempre riconducibili a fattori di adozione o regolatori.</w:t>
      </w:r>
    </w:p>
    <w:p>
      <w:pPr>
        <w:pStyle w:val="Heading2"/>
        <w:spacing w:after="120" w:before="300"/>
      </w:pPr>
      <w:r>
        <w:rPr>
          <w:rFonts w:ascii="Arial" w:cs="Arial" w:eastAsia="Arial" w:hAnsi="Arial"/>
          <w:b/>
          <w:bCs/>
          <w:color w:val="1B3A6B"/>
          <w:sz w:val="24"/>
          <w:szCs w:val="24"/>
        </w:rPr>
        <w:t xml:space="preserve">6.1 Rischi Tecnici</w:t>
      </w:r>
    </w:p>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506"/>
        <w:gridCol w:w="2000"/>
      </w:tblGrid>
      <w:tr>
        <w:trPr>
          <w:tblHeader/>
        </w:trPr>
        <w:tc>
          <w:tcPr>
            <w:tcW w:type="dxa" w:w="30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Rischio</w:t>
            </w:r>
          </w:p>
        </w:tc>
        <w:tc>
          <w:tcPr>
            <w:tcW w:type="dxa" w:w="18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Probabilità</w:t>
            </w:r>
          </w:p>
        </w:tc>
        <w:tc>
          <w:tcPr>
            <w:tcW w:type="dxa" w:w="2506"/>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Impatto e mitigazione</w:t>
            </w:r>
          </w:p>
        </w:tc>
        <w:tc>
          <w:tcPr>
            <w:tcW w:type="dxa" w:w="20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Scadenza</w:t>
            </w:r>
          </w:p>
        </w:tc>
      </w:tr>
      <w:tr>
        <w:tc>
          <w:tcPr>
            <w:tcW w:type="dxa" w:w="3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Storage su filesystem efimero (Railway)</w:t>
            </w:r>
          </w:p>
        </w:tc>
        <w:tc>
          <w:tcPr>
            <w:tcW w:type="dxa" w:w="18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Alta</w:t>
            </w:r>
          </w:p>
        </w:tc>
        <w:tc>
          <w:tcPr>
            <w:tcW w:type="dxa" w:w="25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Perdita dati a ogni redeploy → migrare a database prima di qualsiasi test con dati reali</w:t>
            </w:r>
          </w:p>
        </w:tc>
        <w:tc>
          <w:tcPr>
            <w:tcW w:type="dxa" w:w="2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Prima del go-live</w:t>
            </w:r>
          </w:p>
        </w:tc>
      </w:tr>
      <w:tr>
        <w:tc>
          <w:tcPr>
            <w:tcW w:type="dxa" w:w="3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RAG keyword-based su KB ampia (&gt;50 doc)</w:t>
            </w:r>
          </w:p>
        </w:tc>
        <w:tc>
          <w:tcPr>
            <w:tcW w:type="dxa" w:w="18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Media</w:t>
            </w:r>
          </w:p>
        </w:tc>
        <w:tc>
          <w:tcPr>
            <w:tcW w:type="dxa" w:w="25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Degrado qualità risposte → monitorare; upgrade a embedding semantici se necessario</w:t>
            </w:r>
          </w:p>
        </w:tc>
        <w:tc>
          <w:tcPr>
            <w:tcW w:type="dxa" w:w="2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Post-validazione TC5</w:t>
            </w:r>
          </w:p>
        </w:tc>
      </w:tr>
      <w:tr>
        <w:tc>
          <w:tcPr>
            <w:tcW w:type="dxa" w:w="3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Modello LLM generico, non fine-tuned</w:t>
            </w:r>
          </w:p>
        </w:tc>
        <w:tc>
          <w:tcPr>
            <w:tcW w:type="dxa" w:w="18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Media</w:t>
            </w:r>
          </w:p>
        </w:tc>
        <w:tc>
          <w:tcPr>
            <w:tcW w:type="dxa" w:w="25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Risposte imprecise su terminologia tecnica → mitigato dal RAG; escalation come fallback</w:t>
            </w:r>
          </w:p>
        </w:tc>
        <w:tc>
          <w:tcPr>
            <w:tcW w:type="dxa" w:w="2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Continuo</w:t>
            </w:r>
          </w:p>
        </w:tc>
      </w:tr>
      <w:tr>
        <w:tc>
          <w:tcPr>
            <w:tcW w:type="dxa" w:w="3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Semaforo isBusy: un solo utente per volta</w:t>
            </w:r>
          </w:p>
        </w:tc>
        <w:tc>
          <w:tcPr>
            <w:tcW w:type="dxa" w:w="18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Bassa (in MVP)</w:t>
            </w:r>
          </w:p>
        </w:tc>
        <w:tc>
          <w:tcPr>
            <w:tcW w:type="dxa" w:w="25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429 in caso di contesa → accettabile per test; da sostituire con rate limiting in produzione</w:t>
            </w:r>
          </w:p>
        </w:tc>
        <w:tc>
          <w:tcPr>
            <w:tcW w:type="dxa" w:w="2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Prima di scale</w:t>
            </w:r>
          </w:p>
        </w:tc>
      </w:tr>
    </w:tbl>
    <w:p/>
    <w:p>
      <w:pPr>
        <w:pStyle w:val="Heading2"/>
        <w:spacing w:after="120" w:before="300"/>
      </w:pPr>
      <w:r>
        <w:rPr>
          <w:rFonts w:ascii="Arial" w:cs="Arial" w:eastAsia="Arial" w:hAnsi="Arial"/>
          <w:b/>
          <w:bCs/>
          <w:color w:val="1B3A6B"/>
          <w:sz w:val="24"/>
          <w:szCs w:val="24"/>
        </w:rPr>
        <w:t xml:space="preserve">6.2 Rischi di Adozione</w:t>
      </w:r>
    </w:p>
    <w:p>
      <w:pPr>
        <w:pStyle w:val="ListParagraph"/>
        <w:numPr>
          <w:ilvl w:val="0"/>
          <w:numId w:val="2"/>
        </w:numPr>
        <w:spacing w:after="60" w:before="60"/>
      </w:pPr>
      <w:r>
        <w:rPr>
          <w:rFonts w:ascii="Arial" w:cs="Arial" w:eastAsia="Arial" w:hAnsi="Arial"/>
          <w:b w:val="false"/>
          <w:bCs w:val="false"/>
          <w:color w:val="1A1A1A"/>
          <w:sz w:val="22"/>
          <w:szCs w:val="22"/>
        </w:rPr>
        <w:t xml:space="preserve">Resistenza al cambiamento da parte degli amministratori: la professione ha una cultura operativa consolidata e diffidenza verso la delega di comunicazioni a sistemi automatici. Mitigazione: posizionamento del prodotto come 'assistente' non come 'sostituto', con controllo umano sempre disponibile.</w:t>
      </w:r>
    </w:p>
    <w:p>
      <w:pPr>
        <w:pStyle w:val="ListParagraph"/>
        <w:numPr>
          <w:ilvl w:val="0"/>
          <w:numId w:val="2"/>
        </w:numPr>
        <w:spacing w:after="60" w:before="60"/>
      </w:pPr>
      <w:r>
        <w:rPr>
          <w:rFonts w:ascii="Arial" w:cs="Arial" w:eastAsia="Arial" w:hAnsi="Arial"/>
          <w:b w:val="false"/>
          <w:bCs w:val="false"/>
          <w:color w:val="1A1A1A"/>
          <w:sz w:val="22"/>
          <w:szCs w:val="22"/>
        </w:rPr>
        <w:t xml:space="preserve">Bassa qualità dei documenti caricati: il RAG dipende dalla qualità e completezza della knowledge base. Se i documenti degli studi sono incompleti o non strutturati, il tasso di escalation sarà alto. Mitigazione: onboarding guidato con checklist di documenti minimi.</w:t>
      </w:r>
    </w:p>
    <w:p>
      <w:pPr>
        <w:pStyle w:val="ListParagraph"/>
        <w:numPr>
          <w:ilvl w:val="0"/>
          <w:numId w:val="2"/>
        </w:numPr>
        <w:spacing w:after="60" w:before="60"/>
      </w:pPr>
      <w:r>
        <w:rPr>
          <w:rFonts w:ascii="Arial" w:cs="Arial" w:eastAsia="Arial" w:hAnsi="Arial"/>
          <w:b w:val="false"/>
          <w:bCs w:val="false"/>
          <w:color w:val="1A1A1A"/>
          <w:sz w:val="22"/>
          <w:szCs w:val="22"/>
        </w:rPr>
        <w:t xml:space="preserve">Disabitudine digitale dei condòmini: la fascia anagrafica più attiva nelle richieste condominiali (50-70 anni) ha spesso bassa familiarità con chatbot. Mitigazione: UX estremamente semplificata, nessuna curva di apprendimento, accesso via link diretto senza registrazione.</w:t>
      </w:r>
    </w:p>
    <w:p/>
    <w:p>
      <w:pPr>
        <w:pStyle w:val="Heading2"/>
        <w:spacing w:after="120" w:before="300"/>
      </w:pPr>
      <w:r>
        <w:rPr>
          <w:rFonts w:ascii="Arial" w:cs="Arial" w:eastAsia="Arial" w:hAnsi="Arial"/>
          <w:b/>
          <w:bCs/>
          <w:color w:val="1B3A6B"/>
          <w:sz w:val="24"/>
          <w:szCs w:val="24"/>
        </w:rPr>
        <w:t xml:space="preserve">6.3 Rischi Normativi e Competitivi</w:t>
      </w:r>
    </w:p>
    <w:p>
      <w:pPr>
        <w:pStyle w:val="ListParagraph"/>
        <w:numPr>
          <w:ilvl w:val="0"/>
          <w:numId w:val="2"/>
        </w:numPr>
        <w:spacing w:after="60" w:before="60"/>
      </w:pPr>
      <w:r>
        <w:rPr>
          <w:rFonts w:ascii="Arial" w:cs="Arial" w:eastAsia="Arial" w:hAnsi="Arial"/>
          <w:b w:val="false"/>
          <w:bCs w:val="false"/>
          <w:color w:val="1A1A1A"/>
          <w:sz w:val="22"/>
          <w:szCs w:val="22"/>
        </w:rPr>
        <w:t xml:space="preserve">GDPR e dati condominiali: i messaggi dei condòmini e i documenti condominiali (verbali, contabilità) sono potenzialmente dati sensibili. Il sistema deve implementare cifratura, controllo degli accessi e policy di data retention prima del go-live. Questo rischio non è bloccante ma richiede attenzione legale dedicata.</w:t>
      </w:r>
    </w:p>
    <w:p>
      <w:pPr>
        <w:pStyle w:val="ListParagraph"/>
        <w:numPr>
          <w:ilvl w:val="0"/>
          <w:numId w:val="2"/>
        </w:numPr>
        <w:spacing w:after="60" w:before="60"/>
      </w:pPr>
      <w:r>
        <w:rPr>
          <w:rFonts w:ascii="Arial" w:cs="Arial" w:eastAsia="Arial" w:hAnsi="Arial"/>
          <w:b w:val="false"/>
          <w:bCs w:val="false"/>
          <w:color w:val="1A1A1A"/>
          <w:sz w:val="22"/>
          <w:szCs w:val="22"/>
        </w:rPr>
        <w:t xml:space="preserve">Concorrenza da software gestionali esistenti: player come Domustudio, Gecosei e Buildium potrebbero integrare funzionalità AI simili. Vantaggio di CondoCare: focus esclusivo sul layer di comunicazione, integrabile con qualsiasi gestionale esistente, non concorrente.</w:t>
      </w:r>
    </w:p>
    <w:p>
      <w:pPr>
        <w:pStyle w:val="ListParagraph"/>
        <w:numPr>
          <w:ilvl w:val="0"/>
          <w:numId w:val="2"/>
        </w:numPr>
        <w:spacing w:after="60" w:before="60"/>
      </w:pPr>
      <w:r>
        <w:rPr>
          <w:rFonts w:ascii="Arial" w:cs="Arial" w:eastAsia="Arial" w:hAnsi="Arial"/>
          <w:b w:val="false"/>
          <w:bCs w:val="false"/>
          <w:color w:val="1A1A1A"/>
          <w:sz w:val="22"/>
          <w:szCs w:val="22"/>
        </w:rPr>
        <w:t xml:space="preserve">Dipendenza da provider LLM di terze parti (Groq/Anthropic/OpenAI): variazioni di pricing o di availability impattano direttamente i costi operativi. Mitigazione: architettura multi-provider con fallback, già facilitata dall'interfaccia OpenAI-compatible adottata.</w:t>
      </w:r>
    </w:p>
    <w:p>
      <w:r>
        <w:br w:type="page"/>
      </w:r>
    </w:p>
    <w:p>
      <w:pPr>
        <w:pStyle w:val="Heading1"/>
        <w:spacing w:after="180" w:before="440"/>
      </w:pPr>
      <w:r>
        <w:rPr>
          <w:rFonts w:ascii="Arial" w:cs="Arial" w:eastAsia="Arial" w:hAnsi="Arial"/>
          <w:b/>
          <w:bCs/>
          <w:color w:val="1B3A6B"/>
          <w:sz w:val="28"/>
          <w:szCs w:val="28"/>
        </w:rPr>
        <w:t xml:space="preserve">7. Modello di Business</w:t>
      </w:r>
    </w:p>
    <w:p>
      <w:pPr>
        <w:pStyle w:val="Heading2"/>
        <w:spacing w:after="120" w:before="300"/>
      </w:pPr>
      <w:r>
        <w:rPr>
          <w:rFonts w:ascii="Arial" w:cs="Arial" w:eastAsia="Arial" w:hAnsi="Arial"/>
          <w:b/>
          <w:bCs/>
          <w:color w:val="1B3A6B"/>
          <w:sz w:val="24"/>
          <w:szCs w:val="24"/>
        </w:rPr>
        <w:t xml:space="preserve">7.1 Value Proposition</w:t>
      </w:r>
    </w:p>
    <w:p>
      <w:pPr>
        <w:spacing w:after="100" w:before="80"/>
        <w:jc w:val="left"/>
      </w:pPr>
      <w:r>
        <w:rPr>
          <w:rFonts w:ascii="Arial" w:cs="Arial" w:eastAsia="Arial" w:hAnsi="Arial"/>
          <w:b/>
          <w:bCs/>
          <w:i w:val="false"/>
          <w:iCs w:val="false"/>
          <w:color w:val="1A1A1A"/>
          <w:sz w:val="22"/>
          <w:szCs w:val="22"/>
        </w:rPr>
        <w:t xml:space="preserve">Per gli amministratori:</w:t>
      </w:r>
    </w:p>
    <w:p>
      <w:pPr>
        <w:pStyle w:val="ListParagraph"/>
        <w:numPr>
          <w:ilvl w:val="0"/>
          <w:numId w:val="2"/>
        </w:numPr>
        <w:spacing w:after="60" w:before="60"/>
      </w:pPr>
      <w:r>
        <w:rPr>
          <w:rFonts w:ascii="Arial" w:cs="Arial" w:eastAsia="Arial" w:hAnsi="Arial"/>
          <w:b w:val="false"/>
          <w:bCs w:val="false"/>
          <w:color w:val="1A1A1A"/>
          <w:sz w:val="22"/>
          <w:szCs w:val="22"/>
        </w:rPr>
        <w:t xml:space="preserve">Riduzione del 40-60% del tempo dedicato a comunicazioni ripetitive (stima da benchmark settore)</w:t>
      </w:r>
    </w:p>
    <w:p>
      <w:pPr>
        <w:pStyle w:val="ListParagraph"/>
        <w:numPr>
          <w:ilvl w:val="0"/>
          <w:numId w:val="2"/>
        </w:numPr>
        <w:spacing w:after="60" w:before="60"/>
      </w:pPr>
      <w:r>
        <w:rPr>
          <w:rFonts w:ascii="Arial" w:cs="Arial" w:eastAsia="Arial" w:hAnsi="Arial"/>
          <w:b w:val="false"/>
          <w:bCs w:val="false"/>
          <w:color w:val="1A1A1A"/>
          <w:sz w:val="22"/>
          <w:szCs w:val="22"/>
        </w:rPr>
        <w:t xml:space="preserve">Dashboard centralizzata con clusterizzazione automatica delle richieste per categoria e priorità</w:t>
      </w:r>
    </w:p>
    <w:p>
      <w:pPr>
        <w:pStyle w:val="ListParagraph"/>
        <w:numPr>
          <w:ilvl w:val="0"/>
          <w:numId w:val="2"/>
        </w:numPr>
        <w:spacing w:after="60" w:before="60"/>
      </w:pPr>
      <w:r>
        <w:rPr>
          <w:rFonts w:ascii="Arial" w:cs="Arial" w:eastAsia="Arial" w:hAnsi="Arial"/>
          <w:b w:val="false"/>
          <w:bCs w:val="false"/>
          <w:color w:val="1A1A1A"/>
          <w:sz w:val="22"/>
          <w:szCs w:val="22"/>
        </w:rPr>
        <w:t xml:space="preserve">Storico completo delle interazioni — tracciabilità e accountability</w:t>
      </w:r>
    </w:p>
    <w:p>
      <w:pPr>
        <w:spacing w:after="100" w:before="80"/>
        <w:jc w:val="left"/>
      </w:pPr>
      <w:r>
        <w:rPr>
          <w:rFonts w:ascii="Arial" w:cs="Arial" w:eastAsia="Arial" w:hAnsi="Arial"/>
          <w:b/>
          <w:bCs/>
          <w:i w:val="false"/>
          <w:iCs w:val="false"/>
          <w:color w:val="1A1A1A"/>
          <w:sz w:val="22"/>
          <w:szCs w:val="22"/>
        </w:rPr>
        <w:t xml:space="preserve">Per i condòmini:</w:t>
      </w:r>
    </w:p>
    <w:p>
      <w:pPr>
        <w:pStyle w:val="ListParagraph"/>
        <w:numPr>
          <w:ilvl w:val="0"/>
          <w:numId w:val="2"/>
        </w:numPr>
        <w:spacing w:after="60" w:before="60"/>
      </w:pPr>
      <w:r>
        <w:rPr>
          <w:rFonts w:ascii="Arial" w:cs="Arial" w:eastAsia="Arial" w:hAnsi="Arial"/>
          <w:b w:val="false"/>
          <w:bCs w:val="false"/>
          <w:color w:val="1A1A1A"/>
          <w:sz w:val="22"/>
          <w:szCs w:val="22"/>
        </w:rPr>
        <w:t xml:space="preserve">Risposta immediata 24/7 su domande informative standard (regolamenti, verbali, scadenze)</w:t>
      </w:r>
    </w:p>
    <w:p>
      <w:pPr>
        <w:pStyle w:val="ListParagraph"/>
        <w:numPr>
          <w:ilvl w:val="0"/>
          <w:numId w:val="2"/>
        </w:numPr>
        <w:spacing w:after="60" w:before="60"/>
      </w:pPr>
      <w:r>
        <w:rPr>
          <w:rFonts w:ascii="Arial" w:cs="Arial" w:eastAsia="Arial" w:hAnsi="Arial"/>
          <w:b w:val="false"/>
          <w:bCs w:val="false"/>
          <w:color w:val="1A1A1A"/>
          <w:sz w:val="22"/>
          <w:szCs w:val="22"/>
        </w:rPr>
        <w:t xml:space="preserve">Accesso via browser, nessuna app da installare, nessuna registrazione richiesta</w:t>
      </w:r>
    </w:p>
    <w:p>
      <w:pPr>
        <w:pStyle w:val="ListParagraph"/>
        <w:numPr>
          <w:ilvl w:val="0"/>
          <w:numId w:val="2"/>
        </w:numPr>
        <w:spacing w:after="60" w:before="60"/>
      </w:pPr>
      <w:r>
        <w:rPr>
          <w:rFonts w:ascii="Arial" w:cs="Arial" w:eastAsia="Arial" w:hAnsi="Arial"/>
          <w:b w:val="false"/>
          <w:bCs w:val="false"/>
          <w:color w:val="1A1A1A"/>
          <w:sz w:val="22"/>
          <w:szCs w:val="22"/>
        </w:rPr>
        <w:t xml:space="preserve">Escalation trasparente: il condòmino sa quando la richiesta viene presa in carico dall'admin</w:t>
      </w:r>
    </w:p>
    <w:p/>
    <w:p>
      <w:pPr>
        <w:pStyle w:val="Heading2"/>
        <w:spacing w:after="120" w:before="300"/>
      </w:pPr>
      <w:r>
        <w:rPr>
          <w:rFonts w:ascii="Arial" w:cs="Arial" w:eastAsia="Arial" w:hAnsi="Arial"/>
          <w:b/>
          <w:bCs/>
          <w:color w:val="1B3A6B"/>
          <w:sz w:val="24"/>
          <w:szCs w:val="24"/>
        </w:rPr>
        <w:t xml:space="preserve">7.2 Revenue Model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300"/>
        <w:gridCol w:w="2206"/>
      </w:tblGrid>
      <w:tr>
        <w:trPr>
          <w:tblHeader/>
        </w:trPr>
        <w:tc>
          <w:tcPr>
            <w:tcW w:type="dxa" w:w="24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Piano</w:t>
            </w:r>
          </w:p>
        </w:tc>
        <w:tc>
          <w:tcPr>
            <w:tcW w:type="dxa" w:w="24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23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Prezzo mensile</w:t>
            </w:r>
          </w:p>
        </w:tc>
        <w:tc>
          <w:tcPr>
            <w:tcW w:type="dxa" w:w="2206"/>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Include</w:t>
            </w:r>
          </w:p>
        </w:tc>
      </w:tr>
      <w:tr>
        <w:tc>
          <w:tcPr>
            <w:tcW w:type="dxa" w:w="24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Starter</w:t>
            </w:r>
          </w:p>
        </w:tc>
        <w:tc>
          <w:tcPr>
            <w:tcW w:type="dxa" w:w="24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Studi fino a 20 condomìni</w:t>
            </w:r>
          </w:p>
        </w:tc>
        <w:tc>
          <w:tcPr>
            <w:tcW w:type="dxa" w:w="23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49 €/mese</w:t>
            </w:r>
          </w:p>
        </w:tc>
        <w:tc>
          <w:tcPr>
            <w:tcW w:type="dxa" w:w="22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1 chatbot, 10 GB documenti, support email</w:t>
            </w:r>
          </w:p>
        </w:tc>
      </w:tr>
      <w:tr>
        <w:tc>
          <w:tcPr>
            <w:tcW w:type="dxa" w:w="24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Growth</w:t>
            </w:r>
          </w:p>
        </w:tc>
        <w:tc>
          <w:tcPr>
            <w:tcW w:type="dxa" w:w="24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Studi 20-100 condomìni</w:t>
            </w:r>
          </w:p>
        </w:tc>
        <w:tc>
          <w:tcPr>
            <w:tcW w:type="dxa" w:w="23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99 €/mese</w:t>
            </w:r>
          </w:p>
        </w:tc>
        <w:tc>
          <w:tcPr>
            <w:tcW w:type="dxa" w:w="22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Chatbot illimitati, analytics, API</w:t>
            </w:r>
          </w:p>
        </w:tc>
      </w:tr>
      <w:tr>
        <w:tc>
          <w:tcPr>
            <w:tcW w:type="dxa" w:w="24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Enterprise</w:t>
            </w:r>
          </w:p>
        </w:tc>
        <w:tc>
          <w:tcPr>
            <w:tcW w:type="dxa" w:w="24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Studi &gt; 100 condomìni o reti</w:t>
            </w:r>
          </w:p>
        </w:tc>
        <w:tc>
          <w:tcPr>
            <w:tcW w:type="dxa" w:w="23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199 €/mese</w:t>
            </w:r>
          </w:p>
        </w:tc>
        <w:tc>
          <w:tcPr>
            <w:tcW w:type="dxa" w:w="22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SLA garantito, onboarding dedicato, white label</w:t>
            </w:r>
          </w:p>
        </w:tc>
      </w:tr>
    </w:tbl>
    <w:p/>
    <w:p>
      <w:pPr>
        <w:spacing w:after="100" w:before="80"/>
        <w:jc w:val="both"/>
      </w:pPr>
      <w:r>
        <w:rPr>
          <w:rFonts w:ascii="Arial" w:cs="Arial" w:eastAsia="Arial" w:hAnsi="Arial"/>
          <w:b w:val="false"/>
          <w:bCs w:val="false"/>
          <w:i w:val="false"/>
          <w:iCs w:val="false"/>
          <w:color w:val="1A1A1A"/>
          <w:sz w:val="22"/>
          <w:szCs w:val="22"/>
        </w:rPr>
        <w:t xml:space="preserve">Canale di acquisizione prevalente: direct sales su referral dalla rete professionale ANACI e partnership con i principali software gestionali condominiali già adottati dal mercato (integrazione API).</w:t>
      </w:r>
    </w:p>
    <w:p>
      <w:r>
        <w:br w:type="page"/>
      </w:r>
    </w:p>
    <w:p>
      <w:pPr>
        <w:pStyle w:val="Heading1"/>
        <w:spacing w:after="180" w:before="440"/>
      </w:pPr>
      <w:r>
        <w:rPr>
          <w:rFonts w:ascii="Arial" w:cs="Arial" w:eastAsia="Arial" w:hAnsi="Arial"/>
          <w:b/>
          <w:bCs/>
          <w:color w:val="1B3A6B"/>
          <w:sz w:val="28"/>
          <w:szCs w:val="28"/>
        </w:rPr>
        <w:t xml:space="preserve">8. Next Steps e Decision Gate</w:t>
      </w:r>
    </w:p>
    <w:p>
      <w:pPr>
        <w:spacing w:after="100" w:before="80"/>
        <w:jc w:val="both"/>
      </w:pPr>
      <w:r>
        <w:rPr>
          <w:rFonts w:ascii="Arial" w:cs="Arial" w:eastAsia="Arial" w:hAnsi="Arial"/>
          <w:b w:val="false"/>
          <w:bCs w:val="false"/>
          <w:i w:val="false"/>
          <w:iCs w:val="false"/>
          <w:color w:val="1A1A1A"/>
          <w:sz w:val="22"/>
          <w:szCs w:val="22"/>
        </w:rPr>
        <w:t xml:space="preserve">La roadmap post-TC5 è strutturata su tre orizzonti temporali con un decision gate esplicito tra la fase MVP e la fase di scale. Il gate evita di investire in sviluppo prodotto prima di avere evidenza comportamentale sufficiente.</w:t>
      </w:r>
    </w:p>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506"/>
        <w:gridCol w:w="1800"/>
      </w:tblGrid>
      <w:tr>
        <w:trPr>
          <w:tblHeader/>
        </w:trPr>
        <w:tc>
          <w:tcPr>
            <w:tcW w:type="dxa" w:w="16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Orizzonte</w:t>
            </w:r>
          </w:p>
        </w:tc>
        <w:tc>
          <w:tcPr>
            <w:tcW w:type="dxa" w:w="24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Periodo</w:t>
            </w:r>
          </w:p>
        </w:tc>
        <w:tc>
          <w:tcPr>
            <w:tcW w:type="dxa" w:w="3506"/>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Attività principali</w:t>
            </w:r>
          </w:p>
        </w:tc>
        <w:tc>
          <w:tcPr>
            <w:tcW w:type="dxa" w:w="18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Responsabile</w:t>
            </w:r>
          </w:p>
        </w:tc>
      </w:tr>
      <w:tr>
        <w:tc>
          <w:tcPr>
            <w:tcW w:type="dxa" w:w="16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Breve</w:t>
            </w:r>
          </w:p>
        </w:tc>
        <w:tc>
          <w:tcPr>
            <w:tcW w:type="dxa" w:w="24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Luglio 2026</w:t>
            </w:r>
          </w:p>
        </w:tc>
        <w:tc>
          <w:tcPr>
            <w:tcW w:type="dxa" w:w="35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1A1A1A"/>
                <w:sz w:val="20"/>
                <w:szCs w:val="20"/>
              </w:rPr>
              <w:t xml:space="preserve">Esecuzione TC5 con 2 studi pilota</w:t>
            </w:r>
          </w:p>
          <w:p>
            <w:pPr>
              <w:pStyle w:val="ListParagraph"/>
              <w:numPr>
                <w:ilvl w:val="0"/>
                <w:numId w:val="2"/>
              </w:numPr>
              <w:spacing w:after="40" w:before="40"/>
            </w:pPr>
            <w:r>
              <w:rPr>
                <w:rFonts w:ascii="Arial" w:cs="Arial" w:eastAsia="Arial" w:hAnsi="Arial"/>
                <w:color w:val="1A1A1A"/>
                <w:sz w:val="20"/>
                <w:szCs w:val="20"/>
              </w:rPr>
              <w:t xml:space="preserve">Raccolta dati metriche e interviste post-uso</w:t>
            </w:r>
          </w:p>
          <w:p>
            <w:pPr>
              <w:pStyle w:val="ListParagraph"/>
              <w:numPr>
                <w:ilvl w:val="0"/>
                <w:numId w:val="2"/>
              </w:numPr>
              <w:spacing w:after="40" w:before="40"/>
            </w:pPr>
            <w:r>
              <w:rPr>
                <w:rFonts w:ascii="Arial" w:cs="Arial" w:eastAsia="Arial" w:hAnsi="Arial"/>
                <w:color w:val="1A1A1A"/>
                <w:sz w:val="20"/>
                <w:szCs w:val="20"/>
              </w:rPr>
              <w:t xml:space="preserve">Analisi qualitativa risultati</w:t>
            </w:r>
          </w:p>
        </w:tc>
        <w:tc>
          <w:tcPr>
            <w:tcW w:type="dxa" w:w="18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Founder / Team</w:t>
            </w:r>
          </w:p>
        </w:tc>
      </w:tr>
      <w:tr>
        <w:tc>
          <w:tcPr>
            <w:tcW w:type="dxa" w:w="16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DECISION GATE</w:t>
            </w:r>
          </w:p>
        </w:tc>
        <w:tc>
          <w:tcPr>
            <w:tcW w:type="dxa" w:w="7706"/>
            <w:gridSpan w:val="3"/>
            <w:tcBorders>
              <w:top w:val="single" w:color="C5D5E8" w:sz="4"/>
              <w:left w:val="single" w:color="C5D5E8" w:sz="4"/>
              <w:bottom w:val="single" w:color="C5D5E8" w:sz="4"/>
              <w:right w:val="single" w:color="C5D5E8" w:sz="4"/>
            </w:tcBorders>
            <w:shd w:fill="FFF3CD" w:val="clear"/>
            <w:tcMar>
              <w:top w:type="dxa" w:w="100"/>
              <w:left w:type="dxa" w:w="140"/>
              <w:bottom w:type="dxa" w:w="100"/>
              <w:right w:type="dxa" w:w="140"/>
            </w:tcMar>
          </w:tcPr>
          <w:p>
            <w:r>
              <w:rPr>
                <w:rFonts w:ascii="Arial" w:cs="Arial" w:eastAsia="Arial" w:hAnsi="Arial"/>
                <w:b/>
                <w:bCs/>
                <w:color w:val="1A1A1A"/>
                <w:sz w:val="20"/>
                <w:szCs w:val="20"/>
              </w:rPr>
              <w:t xml:space="preserve">Se TC5 VALIDATA: procedere con Medio termine</w:t>
            </w:r>
          </w:p>
          <w:p>
            <w:r>
              <w:rPr>
                <w:rFonts w:ascii="Arial" w:cs="Arial" w:eastAsia="Arial" w:hAnsi="Arial"/>
                <w:color w:val="1A1A1A"/>
                <w:sz w:val="20"/>
                <w:szCs w:val="20"/>
              </w:rPr>
              <w:t xml:space="preserve">Se TC5 PARZIALE: iterare su elementi falliti, ripetere test con campione esteso</w:t>
            </w:r>
          </w:p>
          <w:p>
            <w:r>
              <w:rPr>
                <w:rFonts w:ascii="Arial" w:cs="Arial" w:eastAsia="Arial" w:hAnsi="Arial"/>
                <w:color w:val="1A1A1A"/>
                <w:sz w:val="20"/>
                <w:szCs w:val="20"/>
              </w:rPr>
              <w:t xml:space="preserve">Se TC5 NON VALIDATA: pivot su segmento o proposta di valore</w:t>
            </w:r>
          </w:p>
        </w:tc>
      </w:tr>
      <w:tr>
        <w:tc>
          <w:tcPr>
            <w:tcW w:type="dxa" w:w="16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Medio</w:t>
            </w:r>
          </w:p>
        </w:tc>
        <w:tc>
          <w:tcPr>
            <w:tcW w:type="dxa" w:w="24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Ago–Ott 2026</w:t>
            </w:r>
          </w:p>
        </w:tc>
        <w:tc>
          <w:tcPr>
            <w:tcW w:type="dxa" w:w="35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1A1A1A"/>
                <w:sz w:val="20"/>
                <w:szCs w:val="20"/>
              </w:rPr>
              <w:t xml:space="preserve">Sviluppo autenticazione multi-tenant</w:t>
            </w:r>
          </w:p>
          <w:p>
            <w:pPr>
              <w:pStyle w:val="ListParagraph"/>
              <w:numPr>
                <w:ilvl w:val="0"/>
                <w:numId w:val="2"/>
              </w:numPr>
              <w:spacing w:after="40" w:before="40"/>
            </w:pPr>
            <w:r>
              <w:rPr>
                <w:rFonts w:ascii="Arial" w:cs="Arial" w:eastAsia="Arial" w:hAnsi="Arial"/>
                <w:color w:val="1A1A1A"/>
                <w:sz w:val="20"/>
                <w:szCs w:val="20"/>
              </w:rPr>
              <w:t xml:space="preserve">Migrazione storage su database PostgreSQL</w:t>
            </w:r>
          </w:p>
          <w:p>
            <w:pPr>
              <w:pStyle w:val="ListParagraph"/>
              <w:numPr>
                <w:ilvl w:val="0"/>
                <w:numId w:val="2"/>
              </w:numPr>
              <w:spacing w:after="40" w:before="40"/>
            </w:pPr>
            <w:r>
              <w:rPr>
                <w:rFonts w:ascii="Arial" w:cs="Arial" w:eastAsia="Arial" w:hAnsi="Arial"/>
                <w:color w:val="1A1A1A"/>
                <w:sz w:val="20"/>
                <w:szCs w:val="20"/>
              </w:rPr>
              <w:t xml:space="preserve">Upgrade RAG con embedding (es. pgvector)</w:t>
            </w:r>
          </w:p>
          <w:p>
            <w:pPr>
              <w:pStyle w:val="ListParagraph"/>
              <w:numPr>
                <w:ilvl w:val="0"/>
                <w:numId w:val="2"/>
              </w:numPr>
              <w:spacing w:after="40" w:before="40"/>
            </w:pPr>
            <w:r>
              <w:rPr>
                <w:rFonts w:ascii="Arial" w:cs="Arial" w:eastAsia="Arial" w:hAnsi="Arial"/>
                <w:color w:val="1A1A1A"/>
                <w:sz w:val="20"/>
                <w:szCs w:val="20"/>
              </w:rPr>
              <w:t xml:space="preserve">Onboarding 5 studi in beta privata</w:t>
            </w:r>
          </w:p>
          <w:p>
            <w:pPr>
              <w:pStyle w:val="ListParagraph"/>
              <w:numPr>
                <w:ilvl w:val="0"/>
                <w:numId w:val="2"/>
              </w:numPr>
              <w:spacing w:after="40" w:before="40"/>
            </w:pPr>
            <w:r>
              <w:rPr>
                <w:rFonts w:ascii="Arial" w:cs="Arial" w:eastAsia="Arial" w:hAnsi="Arial"/>
                <w:color w:val="1A1A1A"/>
                <w:sz w:val="20"/>
                <w:szCs w:val="20"/>
              </w:rPr>
              <w:t xml:space="preserve">Compliance GDPR: DPA e cifratura dati</w:t>
            </w:r>
          </w:p>
        </w:tc>
        <w:tc>
          <w:tcPr>
            <w:tcW w:type="dxa" w:w="18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Tech lead + Legal</w:t>
            </w:r>
          </w:p>
        </w:tc>
      </w:tr>
      <w:tr>
        <w:tc>
          <w:tcPr>
            <w:tcW w:type="dxa" w:w="16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Lungo</w:t>
            </w:r>
          </w:p>
        </w:tc>
        <w:tc>
          <w:tcPr>
            <w:tcW w:type="dxa" w:w="24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Nov 2026 +</w:t>
            </w:r>
          </w:p>
        </w:tc>
        <w:tc>
          <w:tcPr>
            <w:tcW w:type="dxa" w:w="35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1A1A1A"/>
                <w:sz w:val="20"/>
                <w:szCs w:val="20"/>
              </w:rPr>
              <w:t xml:space="preserve">Go-to-market: direct sales su referral ANACI</w:t>
            </w:r>
          </w:p>
          <w:p>
            <w:pPr>
              <w:pStyle w:val="ListParagraph"/>
              <w:numPr>
                <w:ilvl w:val="0"/>
                <w:numId w:val="2"/>
              </w:numPr>
              <w:spacing w:after="40" w:before="40"/>
            </w:pPr>
            <w:r>
              <w:rPr>
                <w:rFonts w:ascii="Arial" w:cs="Arial" w:eastAsia="Arial" w:hAnsi="Arial"/>
                <w:color w:val="1A1A1A"/>
                <w:sz w:val="20"/>
                <w:szCs w:val="20"/>
              </w:rPr>
              <w:t xml:space="preserve">Integrazione API con software gestionali</w:t>
            </w:r>
          </w:p>
          <w:p>
            <w:pPr>
              <w:pStyle w:val="ListParagraph"/>
              <w:numPr>
                <w:ilvl w:val="0"/>
                <w:numId w:val="2"/>
              </w:numPr>
              <w:spacing w:after="40" w:before="40"/>
            </w:pPr>
            <w:r>
              <w:rPr>
                <w:rFonts w:ascii="Arial" w:cs="Arial" w:eastAsia="Arial" w:hAnsi="Arial"/>
                <w:color w:val="1A1A1A"/>
                <w:sz w:val="20"/>
                <w:szCs w:val="20"/>
              </w:rPr>
              <w:t xml:space="preserve">Lancio piano Starter con freemium 30 giorni</w:t>
            </w:r>
          </w:p>
          <w:p>
            <w:pPr>
              <w:pStyle w:val="ListParagraph"/>
              <w:numPr>
                <w:ilvl w:val="0"/>
                <w:numId w:val="2"/>
              </w:numPr>
              <w:spacing w:after="40" w:before="40"/>
            </w:pPr>
            <w:r>
              <w:rPr>
                <w:rFonts w:ascii="Arial" w:cs="Arial" w:eastAsia="Arial" w:hAnsi="Arial"/>
                <w:color w:val="1A1A1A"/>
                <w:sz w:val="20"/>
                <w:szCs w:val="20"/>
              </w:rPr>
              <w:t xml:space="preserve">Target: 50 studi paganti entro Q1 2027</w:t>
            </w:r>
          </w:p>
        </w:tc>
        <w:tc>
          <w:tcPr>
            <w:tcW w:type="dxa" w:w="18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Sales + Marketing</w:t>
            </w:r>
          </w:p>
        </w:tc>
      </w:tr>
    </w:tbl>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both"/>
            </w:pPr>
            <w:r>
              <w:rPr>
                <w:rFonts w:ascii="Arial" w:cs="Arial" w:eastAsia="Arial" w:hAnsi="Arial"/>
                <w:i/>
                <w:iCs/>
                <w:color w:val="1B3A6B"/>
                <w:sz w:val="20"/>
                <w:szCs w:val="20"/>
              </w:rPr>
              <w:t xml:space="preserve">Il successo del BTP non si misura nel completamento dell'MVP tecnico — già raggiunto. Si misura nella capacità di raccogliere evidenza comportamentale sufficiente a prendere una decisione di investimento informata. La Test Card 5 è il momento di verità.</w:t>
            </w:r>
          </w:p>
        </w:tc>
      </w:tr>
    </w:tbl>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pBdr>
      <w:tabs>
        <w:tab w:val="right" w:pos="9026"/>
      </w:tabs>
      <w:spacing w:before="120"/>
    </w:pPr>
    <w:r>
      <w:rPr>
        <w:rFonts w:ascii="Arial" w:cs="Arial" w:eastAsia="Arial" w:hAnsi="Arial"/>
        <w:color w:val="999999"/>
        <w:sz w:val="16"/>
        <w:szCs w:val="16"/>
      </w:rPr>
      <w:t xml:space="preserve">Documento riservato — uso accademico</w:t>
    </w:r>
    <w:r>
      <w:rPr>
        <w:rFonts w:ascii="Arial" w:cs="Arial" w:eastAsia="Arial" w:hAnsi="Arial"/>
        <w:color w:val="999999"/>
        <w:sz w:val="16"/>
        <w:szCs w:val="16"/>
      </w:rPr>
      <w:t xml:space="preserve">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pBdr>
      <w:spacing w:after="120"/>
    </w:pPr>
    <w:r>
      <w:rPr>
        <w:rFonts w:ascii="Arial" w:cs="Arial" w:eastAsia="Arial" w:hAnsi="Arial"/>
        <w:color w:val="666666"/>
        <w:sz w:val="18"/>
        <w:szCs w:val="18"/>
      </w:rPr>
      <w:t xml:space="preserve">CondoCare — Business Transformation Project  |  EMBA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2026-06-07T16:09:28.682Z</dcterms:created>
  <dcterms:modified xsi:type="dcterms:W3CDTF">2026-06-07T16:09:28.683Z</dcterms:modified>
</cp:coreProperties>
</file>

<file path=docProps/custom.xml><?xml version="1.0" encoding="utf-8"?>
<Properties xmlns="http://schemas.openxmlformats.org/officeDocument/2006/custom-properties" xmlns:vt="http://schemas.openxmlformats.org/officeDocument/2006/docPropsVTypes"/>
</file>